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440B" w14:textId="1EAF1652" w:rsidR="00E30FF0" w:rsidRPr="00307EEC" w:rsidRDefault="00E30FF0" w:rsidP="008F6D8A">
      <w:pPr>
        <w:spacing w:line="271" w:lineRule="auto"/>
        <w:jc w:val="both"/>
        <w:rPr>
          <w:color w:val="auto"/>
          <w:sz w:val="8"/>
          <w:szCs w:val="8"/>
        </w:rPr>
      </w:pPr>
      <w:bookmarkStart w:id="0" w:name="_Hlk189282661"/>
      <w:bookmarkEnd w:id="0"/>
    </w:p>
    <w:p w14:paraId="301838C8" w14:textId="77777777" w:rsidR="00E30FF0" w:rsidRPr="00307EEC" w:rsidRDefault="00E30FF0" w:rsidP="008F6D8A">
      <w:pPr>
        <w:spacing w:line="271" w:lineRule="auto"/>
        <w:jc w:val="both"/>
        <w:rPr>
          <w:color w:val="auto"/>
        </w:rPr>
        <w:sectPr w:rsidR="00E30FF0" w:rsidRPr="00307EEC">
          <w:headerReference w:type="default" r:id="rId8"/>
          <w:footerReference w:type="default" r:id="rId9"/>
          <w:headerReference w:type="first" r:id="rId10"/>
          <w:footerReference w:type="first" r:id="rId11"/>
          <w:type w:val="continuous"/>
          <w:pgSz w:w="11900" w:h="16840"/>
          <w:pgMar w:top="1023" w:right="0" w:bottom="1642" w:left="0" w:header="0" w:footer="3" w:gutter="0"/>
          <w:cols w:space="720"/>
          <w:noEndnote/>
          <w:docGrid w:linePitch="360"/>
        </w:sectPr>
      </w:pPr>
    </w:p>
    <w:p w14:paraId="073FDB60" w14:textId="0721A480" w:rsidR="00CF4BB8" w:rsidRDefault="00CF4BB8" w:rsidP="00D40C31">
      <w:pPr>
        <w:pStyle w:val="MSGENFONTSTYLENAMETEMPLATEROLEMSGENFONTSTYLENAMEBYROLETEXT30"/>
        <w:jc w:val="center"/>
        <w:rPr>
          <w:rStyle w:val="MSGENFONTSTYLENAMETEMPLATEROLEMSGENFONTSTYLENAMEBYROLETEXT3"/>
          <w:b/>
          <w:bCs/>
          <w:color w:val="auto"/>
        </w:rPr>
      </w:pPr>
      <w:r w:rsidRPr="00307EEC">
        <w:rPr>
          <w:rStyle w:val="MSGENFONTSTYLENAMETEMPLATEROLEMSGENFONTSTYLENAMEBYROLETEXT3"/>
          <w:b/>
          <w:bCs/>
          <w:color w:val="auto"/>
        </w:rPr>
        <w:t>Research Article</w:t>
      </w:r>
    </w:p>
    <w:p w14:paraId="30B08869" w14:textId="77777777" w:rsidR="00B35EFD" w:rsidRPr="00307EEC" w:rsidRDefault="00B35EFD" w:rsidP="00B35EFD">
      <w:pPr>
        <w:pStyle w:val="MSGENFONTSTYLENAMETEMPLATEROLEMSGENFONTSTYLENAMEBYROLETEXT30"/>
        <w:rPr>
          <w:color w:val="auto"/>
        </w:rPr>
      </w:pPr>
    </w:p>
    <w:p w14:paraId="35E469E6" w14:textId="1F41AE99" w:rsidR="00CF4BB8" w:rsidRPr="00307EEC" w:rsidRDefault="00E33D99" w:rsidP="008F1EBE">
      <w:pPr>
        <w:pStyle w:val="MSGENFONTSTYLENAMETEMPLATEROLELEVELMSGENFONTSTYLENAMEBYROLEHEADING110"/>
        <w:keepNext/>
        <w:keepLines/>
        <w:spacing w:after="0" w:line="271" w:lineRule="auto"/>
        <w:rPr>
          <w:rStyle w:val="MSGENFONTSTYLENAMETEMPLATEROLELEVELMSGENFONTSTYLENAMEBYROLEHEADING11"/>
          <w:b/>
          <w:bCs/>
          <w:color w:val="auto"/>
        </w:rPr>
      </w:pPr>
      <w:r w:rsidRPr="00E33D99">
        <w:rPr>
          <w:rStyle w:val="MSGENFONTSTYLENAMETEMPLATEROLELEVELMSGENFONTSTYLENAMEBYROLEHEADING11"/>
          <w:b/>
          <w:bCs/>
          <w:color w:val="auto"/>
        </w:rPr>
        <w:t xml:space="preserve">The Digital Transformation of </w:t>
      </w:r>
      <w:bookmarkStart w:id="1" w:name="_Hlk191006173"/>
      <w:r w:rsidRPr="00E33D99">
        <w:rPr>
          <w:rStyle w:val="MSGENFONTSTYLENAMETEMPLATEROLELEVELMSGENFONTSTYLENAMEBYROLEHEADING11"/>
          <w:b/>
          <w:bCs/>
          <w:color w:val="auto"/>
        </w:rPr>
        <w:t>Pharmacovigilance</w:t>
      </w:r>
      <w:bookmarkEnd w:id="1"/>
      <w:r w:rsidRPr="00E33D99">
        <w:rPr>
          <w:rStyle w:val="MSGENFONTSTYLENAMETEMPLATEROLELEVELMSGENFONTSTYLENAMEBYROLEHEADING11"/>
          <w:b/>
          <w:bCs/>
          <w:color w:val="auto"/>
        </w:rPr>
        <w:t xml:space="preserve">: Enhancing Adverse Event Reporting Through </w:t>
      </w:r>
      <w:r w:rsidR="00B35EFD">
        <w:rPr>
          <w:rStyle w:val="MSGENFONTSTYLENAMETEMPLATEROLELEVELMSGENFONTSTYLENAMEBYROLEHEADING11"/>
          <w:b/>
          <w:bCs/>
          <w:color w:val="auto"/>
        </w:rPr>
        <w:t>S</w:t>
      </w:r>
      <w:r w:rsidR="00B35EFD" w:rsidRPr="00B35EFD">
        <w:rPr>
          <w:rStyle w:val="MSGENFONTSTYLENAMETEMPLATEROLELEVELMSGENFONTSTYLENAMEBYROLEHEADING11"/>
          <w:b/>
          <w:bCs/>
          <w:color w:val="auto"/>
        </w:rPr>
        <w:t xml:space="preserve">ocial </w:t>
      </w:r>
      <w:r w:rsidR="00B35EFD">
        <w:rPr>
          <w:rStyle w:val="MSGENFONTSTYLENAMETEMPLATEROLELEVELMSGENFONTSTYLENAMEBYROLEHEADING11"/>
          <w:b/>
          <w:bCs/>
          <w:color w:val="auto"/>
        </w:rPr>
        <w:t>M</w:t>
      </w:r>
      <w:r w:rsidR="00B35EFD" w:rsidRPr="00B35EFD">
        <w:rPr>
          <w:rStyle w:val="MSGENFONTSTYLENAMETEMPLATEROLELEVELMSGENFONTSTYLENAMEBYROLEHEADING11"/>
          <w:b/>
          <w:bCs/>
          <w:color w:val="auto"/>
        </w:rPr>
        <w:t xml:space="preserve">edia and Apps </w:t>
      </w:r>
    </w:p>
    <w:p w14:paraId="7A02191A" w14:textId="77777777" w:rsidR="004A478A" w:rsidRDefault="004A478A" w:rsidP="004A478A">
      <w:pPr>
        <w:jc w:val="center"/>
        <w:rPr>
          <w:b/>
          <w:bCs/>
          <w:color w:val="auto"/>
        </w:rPr>
      </w:pPr>
      <w:bookmarkStart w:id="2" w:name="bookmark6"/>
      <w:r>
        <w:rPr>
          <w:b/>
          <w:bCs/>
          <w:color w:val="auto"/>
        </w:rPr>
        <w:t xml:space="preserve">Vani </w:t>
      </w:r>
      <w:proofErr w:type="spellStart"/>
      <w:r>
        <w:rPr>
          <w:b/>
          <w:bCs/>
          <w:color w:val="auto"/>
        </w:rPr>
        <w:t>Pathuri</w:t>
      </w:r>
      <w:proofErr w:type="spellEnd"/>
    </w:p>
    <w:p w14:paraId="3D89E6CB" w14:textId="77777777" w:rsidR="004A478A" w:rsidRDefault="004A478A" w:rsidP="004A478A">
      <w:pPr>
        <w:jc w:val="center"/>
        <w:rPr>
          <w:rStyle w:val="MSGENFONTSTYLENAMETEMPLATEROLEMSGENFONTSTYLENAMEBYROLETEXT1"/>
        </w:rPr>
      </w:pPr>
      <w:r>
        <w:rPr>
          <w:rStyle w:val="MSGENFONTSTYLENAMETEMPLATEROLEMSGENFONTSTYLENAMEBYROLETEXT1"/>
          <w:color w:val="auto"/>
        </w:rPr>
        <w:t xml:space="preserve">Pharmacovigilance Department, </w:t>
      </w:r>
      <w:proofErr w:type="spellStart"/>
      <w:r>
        <w:rPr>
          <w:rStyle w:val="MSGENFONTSTYLENAMETEMPLATEROLEMSGENFONTSTYLENAMEBYROLETEXT1"/>
          <w:color w:val="auto"/>
        </w:rPr>
        <w:t>Nexpro</w:t>
      </w:r>
      <w:proofErr w:type="spellEnd"/>
      <w:r>
        <w:rPr>
          <w:rStyle w:val="MSGENFONTSTYLENAMETEMPLATEROLEMSGENFONTSTYLENAMEBYROLETEXT1"/>
          <w:color w:val="auto"/>
        </w:rPr>
        <w:t xml:space="preserve"> Technologies Inc, Hillsborough, New Jersey, United States of America.</w:t>
      </w:r>
    </w:p>
    <w:p w14:paraId="6E67C665" w14:textId="77777777" w:rsidR="004A478A" w:rsidRDefault="004A478A" w:rsidP="004A478A">
      <w:pPr>
        <w:pStyle w:val="MSGENFONTSTYLENAMETEMPLATEROLEMSGENFONTSTYLENAMEBYROLETEXT10"/>
        <w:pBdr>
          <w:bottom w:val="single" w:sz="4" w:space="0" w:color="auto"/>
        </w:pBdr>
        <w:spacing w:line="264" w:lineRule="auto"/>
        <w:jc w:val="center"/>
      </w:pPr>
      <w:r>
        <w:rPr>
          <w:rStyle w:val="MSGENFONTSTYLENAMETEMPLATEROLEMSGENFONTSTYLENAMEBYROLETEXT1"/>
        </w:rPr>
        <w:t>Vanipathuri0229@gmail.com</w:t>
      </w:r>
    </w:p>
    <w:p w14:paraId="4B13C804" w14:textId="77777777" w:rsidR="00CF4BB8" w:rsidRPr="00307EEC" w:rsidRDefault="00CF4BB8" w:rsidP="008F6D8A">
      <w:pPr>
        <w:pStyle w:val="MSGENFONTSTYLENAMETEMPLATEROLELEVELMSGENFONTSTYLENAMEBYROLEHEADING310"/>
        <w:keepNext/>
        <w:keepLines/>
        <w:spacing w:line="271" w:lineRule="auto"/>
        <w:jc w:val="both"/>
        <w:rPr>
          <w:rStyle w:val="MSGENFONTSTYLENAMETEMPLATEROLELEVELMSGENFONTSTYLENAMEBYROLEHEADING31"/>
          <w:rFonts w:asciiTheme="majorBidi" w:hAnsiTheme="majorBidi" w:cstheme="majorBidi"/>
          <w:b/>
          <w:bCs/>
          <w:color w:val="auto"/>
        </w:rPr>
      </w:pPr>
    </w:p>
    <w:p w14:paraId="65A659F2" w14:textId="16BF7C64" w:rsidR="00E30FF0" w:rsidRPr="00307EEC" w:rsidRDefault="004D419A" w:rsidP="008F6D8A">
      <w:pPr>
        <w:pStyle w:val="MSGENFONTSTYLENAMETEMPLATEROLELEVELMSGENFONTSTYLENAMEBYROLEHEADING310"/>
        <w:keepNext/>
        <w:keepLines/>
        <w:spacing w:line="271" w:lineRule="auto"/>
        <w:jc w:val="both"/>
        <w:rPr>
          <w:rFonts w:asciiTheme="majorBidi" w:hAnsiTheme="majorBidi" w:cstheme="majorBidi"/>
          <w:color w:val="auto"/>
        </w:rPr>
      </w:pPr>
      <w:r w:rsidRPr="00307EEC">
        <w:rPr>
          <w:rStyle w:val="MSGENFONTSTYLENAMETEMPLATEROLELEVELMSGENFONTSTYLENAMEBYROLEHEADING31"/>
          <w:rFonts w:asciiTheme="majorBidi" w:hAnsiTheme="majorBidi" w:cstheme="majorBidi"/>
          <w:b/>
          <w:bCs/>
          <w:color w:val="auto"/>
        </w:rPr>
        <w:t>ABSTRACT</w:t>
      </w:r>
      <w:bookmarkEnd w:id="2"/>
    </w:p>
    <w:p w14:paraId="39D58257" w14:textId="15775ECC" w:rsidR="00E30FF0" w:rsidRPr="00307EEC" w:rsidRDefault="00850180" w:rsidP="00850180">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850180">
        <w:rPr>
          <w:rStyle w:val="MSGENFONTSTYLENAMETEMPLATEROLEMSGENFONTSTYLENAMEBYROLETEXT1"/>
          <w:rFonts w:asciiTheme="majorBidi" w:hAnsiTheme="majorBidi" w:cstheme="majorBidi"/>
          <w:color w:val="auto"/>
        </w:rPr>
        <w:t>Pharmacovigilance plays a crucial role in ensuring drug safety, and the rise of digital technologies has transformed how adverse events (AEs) are reported and monitored. Social media, mobile applications, and digital platforms have enabled real-time data collection, yet challenges such as data reliability, regulatory inconsistencies, and integration with traditional systems remain. As global regulatory bodies adapt to digital AE reporting, there is a growing need to harmonize standards and improve patient engagement.</w:t>
      </w:r>
      <w:r>
        <w:rPr>
          <w:rStyle w:val="MSGENFONTSTYLENAMETEMPLATEROLEMSGENFONTSTYLENAMEBYROLETEXT1"/>
          <w:rFonts w:asciiTheme="majorBidi" w:hAnsiTheme="majorBidi" w:cstheme="majorBidi"/>
          <w:color w:val="auto"/>
        </w:rPr>
        <w:t xml:space="preserve"> </w:t>
      </w:r>
      <w:r w:rsidRPr="00850180">
        <w:rPr>
          <w:rStyle w:val="MSGENFONTSTYLENAMETEMPLATEROLEMSGENFONTSTYLENAMEBYROLETEXT1"/>
          <w:rFonts w:asciiTheme="majorBidi" w:hAnsiTheme="majorBidi" w:cstheme="majorBidi"/>
          <w:color w:val="auto"/>
        </w:rPr>
        <w:t>This paper will explore the role of social media in AE reporting, the benefits of pharmacovigilance mobile apps, and the challenges limiting digital adoption. It will also examine global regulatory perspectives and successful case studies to highlight best practices in implementation. Additionally, future trends in digital pharmacovigilance, such as AI-driven analysis and blockchain security, will be discussed to outline the evolving landscape of drug safety monitoring.</w:t>
      </w:r>
      <w:r>
        <w:rPr>
          <w:rStyle w:val="MSGENFONTSTYLENAMETEMPLATEROLEMSGENFONTSTYLENAMEBYROLETEXT1"/>
          <w:rFonts w:asciiTheme="majorBidi" w:hAnsiTheme="majorBidi" w:cstheme="majorBidi"/>
          <w:color w:val="auto"/>
        </w:rPr>
        <w:t xml:space="preserve"> </w:t>
      </w:r>
      <w:r w:rsidRPr="00850180">
        <w:rPr>
          <w:rStyle w:val="MSGENFONTSTYLENAMETEMPLATEROLEMSGENFONTSTYLENAMEBYROLETEXT1"/>
          <w:rFonts w:asciiTheme="majorBidi" w:hAnsiTheme="majorBidi" w:cstheme="majorBidi"/>
          <w:color w:val="auto"/>
        </w:rPr>
        <w:t>We propose a strategic approach to integrating digital pharmacovigilance tools with existing frameworks, leveraging emerging technologies to enhance efficiency, data accuracy, and regulatory compliance in adverse event reporting.</w:t>
      </w:r>
    </w:p>
    <w:p w14:paraId="39CB048D" w14:textId="77777777" w:rsidR="00307EEC" w:rsidRPr="00307EEC" w:rsidRDefault="00307EEC" w:rsidP="008F6D8A">
      <w:pPr>
        <w:pStyle w:val="MSGENFONTSTYLENAMETEMPLATEROLEMSGENFONTSTYLENAMEBYROLETEXT10"/>
        <w:spacing w:line="271" w:lineRule="auto"/>
        <w:jc w:val="both"/>
        <w:rPr>
          <w:rFonts w:asciiTheme="majorBidi" w:hAnsiTheme="majorBidi" w:cstheme="majorBidi"/>
          <w:color w:val="auto"/>
        </w:rPr>
      </w:pPr>
    </w:p>
    <w:p w14:paraId="1278B428" w14:textId="2ED3FC00" w:rsidR="00850180" w:rsidRPr="00850180" w:rsidRDefault="004D419A" w:rsidP="00850180">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307EEC">
        <w:rPr>
          <w:rStyle w:val="MSGENFONTSTYLENAMETEMPLATEROLEMSGENFONTSTYLENAMEBYROLETEXT1"/>
          <w:rFonts w:asciiTheme="majorBidi" w:hAnsiTheme="majorBidi" w:cstheme="majorBidi"/>
          <w:b/>
          <w:bCs/>
          <w:color w:val="auto"/>
        </w:rPr>
        <w:t>Keywords:</w:t>
      </w:r>
      <w:r w:rsidR="00850180">
        <w:rPr>
          <w:rStyle w:val="MSGENFONTSTYLENAMETEMPLATEROLEMSGENFONTSTYLENAMEBYROLETEXT1"/>
          <w:rFonts w:asciiTheme="majorBidi" w:hAnsiTheme="majorBidi" w:cstheme="majorBidi"/>
          <w:b/>
          <w:bCs/>
          <w:color w:val="auto"/>
        </w:rPr>
        <w:t xml:space="preserve"> </w:t>
      </w:r>
      <w:r w:rsidR="00850180" w:rsidRPr="00850180">
        <w:rPr>
          <w:rStyle w:val="MSGENFONTSTYLENAMETEMPLATEROLEMSGENFONTSTYLENAMEBYROLETEXT1"/>
          <w:rFonts w:asciiTheme="majorBidi" w:hAnsiTheme="majorBidi" w:cstheme="majorBidi"/>
          <w:color w:val="auto"/>
        </w:rPr>
        <w:t>Pharmacovigilance, adverse event reporting, digital health technology, drug safety monitoring, regulatory compliance</w:t>
      </w:r>
      <w:r w:rsidR="009C1FB3">
        <w:rPr>
          <w:rStyle w:val="MSGENFONTSTYLENAMETEMPLATEROLEMSGENFONTSTYLENAMEBYROLETEXT1"/>
          <w:rFonts w:asciiTheme="majorBidi" w:hAnsiTheme="majorBidi" w:cstheme="majorBidi"/>
          <w:color w:val="auto"/>
        </w:rPr>
        <w:t>, social media apps</w:t>
      </w:r>
    </w:p>
    <w:p w14:paraId="4EF60CE2" w14:textId="0E5837B1" w:rsidR="00E30FF0" w:rsidRPr="00307EEC" w:rsidRDefault="00E30FF0" w:rsidP="008F6D8A">
      <w:pPr>
        <w:pStyle w:val="MSGENFONTSTYLENAMETEMPLATEROLEMSGENFONTSTYLENAMEBYROLETEXT10"/>
        <w:spacing w:line="271" w:lineRule="auto"/>
        <w:jc w:val="both"/>
        <w:rPr>
          <w:rStyle w:val="MSGENFONTSTYLENAMETEMPLATEROLEMSGENFONTSTYLENAMEBYROLETEXT1"/>
          <w:rFonts w:asciiTheme="majorBidi" w:hAnsiTheme="majorBidi" w:cstheme="majorBidi"/>
          <w:color w:val="auto"/>
        </w:rPr>
      </w:pPr>
    </w:p>
    <w:p w14:paraId="7ED727B3" w14:textId="6A60A441" w:rsidR="00D475EB" w:rsidRPr="004A478A" w:rsidRDefault="00D475EB" w:rsidP="008F6D8A">
      <w:pPr>
        <w:pStyle w:val="MSGENFONTSTYLENAMETEMPLATEROLELEVELMSGENFONTSTYLENAMEBYROLEHEADING310"/>
        <w:keepNext/>
        <w:keepLines/>
        <w:spacing w:line="271" w:lineRule="auto"/>
        <w:jc w:val="both"/>
        <w:rPr>
          <w:rStyle w:val="MSGENFONTSTYLENAMETEMPLATEROLELEVELMSGENFONTSTYLENAMEBYROLEHEADING41"/>
          <w:b/>
          <w:bCs/>
          <w:caps/>
          <w:color w:val="auto"/>
          <w:sz w:val="20"/>
          <w:szCs w:val="20"/>
        </w:rPr>
      </w:pPr>
      <w:r w:rsidRPr="004A478A">
        <w:rPr>
          <w:rStyle w:val="MSGENFONTSTYLENAMETEMPLATEROLELEVELMSGENFONTSTYLENAMEBYROLEHEADING41"/>
          <w:b/>
          <w:bCs/>
          <w:caps/>
          <w:color w:val="auto"/>
          <w:sz w:val="20"/>
          <w:szCs w:val="20"/>
        </w:rPr>
        <w:t>Introduction</w:t>
      </w:r>
    </w:p>
    <w:p w14:paraId="6EC56619" w14:textId="65CBE83F"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 xml:space="preserve">Pharmacovigilance, the science of detecting, assessing, understanding, and preventing adverse drug reactions (ADRs), has traditionally relied on healthcare professionals and regulatory agencies for </w:t>
      </w:r>
      <w:r w:rsidR="00D77AC8">
        <w:rPr>
          <w:rStyle w:val="MSGENFONTSTYLENAMETEMPLATEROLEMSGENFONTSTYLENAMEBYROLETEXT1"/>
          <w:rFonts w:asciiTheme="majorBidi" w:hAnsiTheme="majorBidi" w:cstheme="majorBidi"/>
          <w:color w:val="auto"/>
        </w:rPr>
        <w:t>reporting adverse events (AE)</w:t>
      </w:r>
      <w:r w:rsidRPr="006A06B9">
        <w:rPr>
          <w:rStyle w:val="MSGENFONTSTYLENAMETEMPLATEROLEMSGENFONTSTYLENAMEBYROLETEXT1"/>
          <w:rFonts w:asciiTheme="majorBidi" w:hAnsiTheme="majorBidi" w:cstheme="majorBidi"/>
          <w:color w:val="auto"/>
        </w:rPr>
        <w:t>. However, with the rapid advancements in digital technology, new channels for AE reporting have emerged, including social media platforms and mobile applications. These digital tools provide real-time, user-generated data that can complement traditional pharmacovigilance methods and enhance drug safety monitoring. By leveraging digital transformation, pharmacovigilance systems can improve the efficiency, accessibility, and accuracy of AE reporting, ultimately leading to better patient safety and regulatory decision-making</w:t>
      </w:r>
      <w:r>
        <w:rPr>
          <w:rStyle w:val="MSGENFONTSTYLENAMETEMPLATEROLEMSGENFONTSTYLENAMEBYROLETEXT1"/>
          <w:rFonts w:asciiTheme="majorBidi" w:hAnsiTheme="majorBidi" w:cstheme="majorBidi"/>
          <w:color w:val="auto"/>
        </w:rPr>
        <w:t xml:space="preserve"> [1]</w:t>
      </w:r>
      <w:r w:rsidRPr="006A06B9">
        <w:rPr>
          <w:rStyle w:val="MSGENFONTSTYLENAMETEMPLATEROLEMSGENFONTSTYLENAMEBYROLETEXT1"/>
          <w:rFonts w:asciiTheme="majorBidi" w:hAnsiTheme="majorBidi" w:cstheme="majorBidi"/>
          <w:color w:val="auto"/>
        </w:rPr>
        <w:t>.</w:t>
      </w:r>
    </w:p>
    <w:p w14:paraId="3B4B2145" w14:textId="0269F498"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Social media platforms, such as Twitter, Facebook, and online health forums, have become valuable sources of pharmacovigilance data. Patients and healthcare professionals often share their medication experiences on these platforms, providing insights into ADRs that may not be captured through conventional reporting systems. The unstructured nature of social media data presents challenges in data validation and analysis</w:t>
      </w:r>
      <w:r w:rsidR="00D77AC8">
        <w:rPr>
          <w:rStyle w:val="MSGENFONTSTYLENAMETEMPLATEROLEMSGENFONTSTYLENAMEBYROLETEXT1"/>
          <w:rFonts w:asciiTheme="majorBidi" w:hAnsiTheme="majorBidi" w:cstheme="majorBidi"/>
          <w:color w:val="auto"/>
        </w:rPr>
        <w:t>. Still,</w:t>
      </w:r>
      <w:r w:rsidRPr="006A06B9">
        <w:rPr>
          <w:rStyle w:val="MSGENFONTSTYLENAMETEMPLATEROLEMSGENFONTSTYLENAMEBYROLETEXT1"/>
          <w:rFonts w:asciiTheme="majorBidi" w:hAnsiTheme="majorBidi" w:cstheme="majorBidi"/>
          <w:color w:val="auto"/>
        </w:rPr>
        <w:t xml:space="preserve"> advances in artificial intelligence (AI) and natural language processing (NLP) are helping to extract meaningful information from these vast datasets. Researchers and regulatory agencies are increasingly exploring social media analytics to identify safety signals and monitor public perceptions of drug safety.</w:t>
      </w:r>
    </w:p>
    <w:p w14:paraId="084C8C80" w14:textId="16131AE6"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Mobile health (mHealth) applications have also revolutionized AE reporting by providing user-friendly platforms for patients to document and submit adverse events directly to regulatory authorities. These apps offer symptom tracking, automated reminders, and real-time reporting, making it easier for users to report ADRs accurately. Several regulatory agencies, including the U.S. Food and Drug Administration (FDA) and the European Medicines Agency (EMA), have developed mobile-based pharmacovigilance initiatives to encourage patient participation in drug safety monitoring. Digital AE reporting tools can help bridge the gap between patients and regulatory bodies, leading to more comprehensive pharmacovigilance data collection.</w:t>
      </w:r>
    </w:p>
    <w:p w14:paraId="2C5554FC" w14:textId="62C40C27"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 xml:space="preserve">Despite the potential benefits of digital pharmacovigilance, challenges remain in ensuring data reliability, regulatory compliance, and ethical considerations. The quality and credibility of patient-reported data on social media must be carefully evaluated to avoid misinformation and biases. </w:t>
      </w:r>
      <w:r w:rsidR="00D77AC8">
        <w:rPr>
          <w:rStyle w:val="MSGENFONTSTYLENAMETEMPLATEROLEMSGENFONTSTYLENAMEBYROLETEXT1"/>
          <w:rFonts w:asciiTheme="majorBidi" w:hAnsiTheme="majorBidi" w:cstheme="majorBidi"/>
          <w:color w:val="auto"/>
        </w:rPr>
        <w:t>D</w:t>
      </w:r>
      <w:r w:rsidRPr="006A06B9">
        <w:rPr>
          <w:rStyle w:val="MSGENFONTSTYLENAMETEMPLATEROLEMSGENFONTSTYLENAMEBYROLETEXT1"/>
          <w:rFonts w:asciiTheme="majorBidi" w:hAnsiTheme="majorBidi" w:cstheme="majorBidi"/>
          <w:color w:val="auto"/>
        </w:rPr>
        <w:t>ata privacy concerns must be addressed to protect user confidentiality while enabling effective AE surveillance. Standardizing digital AE reporting systems and integrating them with existing regulatory frameworks will be crucial in maximizing their impact on global pharmacovigilance efforts.</w:t>
      </w:r>
    </w:p>
    <w:p w14:paraId="60AA1D30" w14:textId="77777777"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p>
    <w:p w14:paraId="39D64D21" w14:textId="77777777" w:rsidR="00A460DC" w:rsidRPr="00B07BDA" w:rsidRDefault="00A460DC" w:rsidP="008F6D8A">
      <w:pPr>
        <w:pStyle w:val="MSGENFONTSTYLENAMETEMPLATEROLEMSGENFONTSTYLENAMEBYROLETEXT10"/>
        <w:spacing w:line="271" w:lineRule="auto"/>
        <w:jc w:val="both"/>
        <w:rPr>
          <w:rStyle w:val="MSGENFONTSTYLENAMETEMPLATEROLEMSGENFONTSTYLENAMEBYROLETEXT1"/>
          <w:rFonts w:asciiTheme="majorBidi" w:hAnsiTheme="majorBidi" w:cstheme="majorBidi"/>
          <w:b/>
          <w:bCs/>
          <w:caps/>
          <w:color w:val="auto"/>
        </w:rPr>
      </w:pPr>
      <w:r w:rsidRPr="00B07BDA">
        <w:rPr>
          <w:rStyle w:val="MSGENFONTSTYLENAMETEMPLATEROLEMSGENFONTSTYLENAMEBYROLETEXT1"/>
          <w:rFonts w:asciiTheme="majorBidi" w:hAnsiTheme="majorBidi" w:cstheme="majorBidi"/>
          <w:b/>
          <w:bCs/>
          <w:caps/>
          <w:color w:val="auto"/>
        </w:rPr>
        <w:t>Literature Review</w:t>
      </w:r>
    </w:p>
    <w:p w14:paraId="00DF7FCC" w14:textId="77777777"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The digital transformation of pharmacovigilance has significantly altered adverse event (AE) reporting, with social media and mobile applications playing a crucial role in improving drug safety monitoring. Several studies have explored the potential of these digital tools in enhancing pharmacovigilance efforts, emphasizing their ability to provide real-time data, increase patient engagement, and complement traditional reporting systems.</w:t>
      </w:r>
    </w:p>
    <w:p w14:paraId="5499B3B8" w14:textId="53B9D2FE"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Social media platforms have emerged as valuable sources of pharmacovigilance data, allowing researchers and regulatory agencies to track drug safety concerns through user-generated content. A study by Sarker et al. [</w:t>
      </w:r>
      <w:r>
        <w:rPr>
          <w:rStyle w:val="MSGENFONTSTYLENAMETEMPLATEROLEMSGENFONTSTYLENAMEBYROLETEXT1"/>
          <w:rFonts w:asciiTheme="majorBidi" w:hAnsiTheme="majorBidi" w:cstheme="majorBidi"/>
          <w:color w:val="auto"/>
        </w:rPr>
        <w:t>2</w:t>
      </w:r>
      <w:r w:rsidRPr="006A06B9">
        <w:rPr>
          <w:rStyle w:val="MSGENFONTSTYLENAMETEMPLATEROLEMSGENFONTSTYLENAMEBYROLETEXT1"/>
          <w:rFonts w:asciiTheme="majorBidi" w:hAnsiTheme="majorBidi" w:cstheme="majorBidi"/>
          <w:color w:val="auto"/>
        </w:rPr>
        <w:t>] highlighted how data mining techniques applied to Twitter and Facebook posts have helped detect adverse drug reactions (ADRs) that were not reported through conventional channels. Similarly, Golder et al. [</w:t>
      </w:r>
      <w:r w:rsidR="00DD3E8C">
        <w:rPr>
          <w:rStyle w:val="MSGENFONTSTYLENAMETEMPLATEROLEMSGENFONTSTYLENAMEBYROLETEXT1"/>
          <w:rFonts w:asciiTheme="majorBidi" w:hAnsiTheme="majorBidi" w:cstheme="majorBidi"/>
          <w:color w:val="auto"/>
        </w:rPr>
        <w:t>3</w:t>
      </w:r>
      <w:r w:rsidRPr="006A06B9">
        <w:rPr>
          <w:rStyle w:val="MSGENFONTSTYLENAMETEMPLATEROLEMSGENFONTSTYLENAMEBYROLETEXT1"/>
          <w:rFonts w:asciiTheme="majorBidi" w:hAnsiTheme="majorBidi" w:cstheme="majorBidi"/>
          <w:color w:val="auto"/>
        </w:rPr>
        <w:t>] found that patients often share personal experiences about medication side effects on online forums, providing early signals of potential drug safety issues. However, challenges remain in filtering and verifying these data due to the unstructured nature of social media content.</w:t>
      </w:r>
    </w:p>
    <w:p w14:paraId="6E91413D" w14:textId="3C09D65C"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 xml:space="preserve">Mobile applications have also been increasingly utilized to facilitate AE reporting. Research by </w:t>
      </w:r>
      <w:proofErr w:type="spellStart"/>
      <w:r w:rsidRPr="006A06B9">
        <w:rPr>
          <w:rStyle w:val="MSGENFONTSTYLENAMETEMPLATEROLEMSGENFONTSTYLENAMEBYROLETEXT1"/>
          <w:rFonts w:asciiTheme="majorBidi" w:hAnsiTheme="majorBidi" w:cstheme="majorBidi"/>
          <w:color w:val="auto"/>
        </w:rPr>
        <w:t>Plachouras</w:t>
      </w:r>
      <w:proofErr w:type="spellEnd"/>
      <w:r w:rsidRPr="006A06B9">
        <w:rPr>
          <w:rStyle w:val="MSGENFONTSTYLENAMETEMPLATEROLEMSGENFONTSTYLENAMEBYROLETEXT1"/>
          <w:rFonts w:asciiTheme="majorBidi" w:hAnsiTheme="majorBidi" w:cstheme="majorBidi"/>
          <w:color w:val="auto"/>
        </w:rPr>
        <w:t xml:space="preserve"> et al. [</w:t>
      </w:r>
      <w:r w:rsidR="00DD3E8C">
        <w:rPr>
          <w:rStyle w:val="MSGENFONTSTYLENAMETEMPLATEROLEMSGENFONTSTYLENAMEBYROLETEXT1"/>
          <w:rFonts w:asciiTheme="majorBidi" w:hAnsiTheme="majorBidi" w:cstheme="majorBidi"/>
          <w:color w:val="auto"/>
        </w:rPr>
        <w:t>4</w:t>
      </w:r>
      <w:r w:rsidRPr="006A06B9">
        <w:rPr>
          <w:rStyle w:val="MSGENFONTSTYLENAMETEMPLATEROLEMSGENFONTSTYLENAMEBYROLETEXT1"/>
          <w:rFonts w:asciiTheme="majorBidi" w:hAnsiTheme="majorBidi" w:cstheme="majorBidi"/>
          <w:color w:val="auto"/>
        </w:rPr>
        <w:t>] examined the impact of mobile health (mHealth) apps on patient-reported outcomes and found that these tools improved the timeliness and accuracy of AE submissions. Regulatory agencies, such as the U.S. Food and Drug Administration (FDA) and the European Medicines Agency (EMA), have recognized the importance of mobile-based pharmacovigilance. According to Patel et al. [</w:t>
      </w:r>
      <w:r w:rsidR="00DD3E8C">
        <w:rPr>
          <w:rStyle w:val="MSGENFONTSTYLENAMETEMPLATEROLEMSGENFONTSTYLENAMEBYROLETEXT1"/>
          <w:rFonts w:asciiTheme="majorBidi" w:hAnsiTheme="majorBidi" w:cstheme="majorBidi"/>
          <w:color w:val="auto"/>
        </w:rPr>
        <w:t>5</w:t>
      </w:r>
      <w:r w:rsidRPr="006A06B9">
        <w:rPr>
          <w:rStyle w:val="MSGENFONTSTYLENAMETEMPLATEROLEMSGENFONTSTYLENAMEBYROLETEXT1"/>
          <w:rFonts w:asciiTheme="majorBidi" w:hAnsiTheme="majorBidi" w:cstheme="majorBidi"/>
          <w:color w:val="auto"/>
        </w:rPr>
        <w:t>], integrating mobile AE reporting into existing pharmacovigilance frameworks can enhance data collection and enable more proactive drug safety measures.</w:t>
      </w:r>
    </w:p>
    <w:p w14:paraId="456A76D8" w14:textId="7832AF79" w:rsidR="006A06B9" w:rsidRPr="006A06B9" w:rsidRDefault="006A06B9" w:rsidP="006A06B9">
      <w:pPr>
        <w:pStyle w:val="MSGENFONTSTYLENAMETEMPLATEROLEMSGENFONTSTYLENAMEBYROLETEXT10"/>
        <w:spacing w:line="271" w:lineRule="auto"/>
        <w:rPr>
          <w:rStyle w:val="MSGENFONTSTYLENAMETEMPLATEROLEMSGENFONTSTYLENAMEBYROLETEXT1"/>
          <w:rFonts w:asciiTheme="majorBidi" w:hAnsiTheme="majorBidi" w:cstheme="majorBidi"/>
          <w:color w:val="auto"/>
        </w:rPr>
      </w:pPr>
      <w:r w:rsidRPr="006A06B9">
        <w:rPr>
          <w:rStyle w:val="MSGENFONTSTYLENAMETEMPLATEROLEMSGENFONTSTYLENAMEBYROLETEXT1"/>
          <w:rFonts w:asciiTheme="majorBidi" w:hAnsiTheme="majorBidi" w:cstheme="majorBidi"/>
          <w:color w:val="auto"/>
        </w:rPr>
        <w:t>Despite their advantages, digital pharmacovigilance methods present certain limitations. The reliability and credibility of social media-reported ADRs remain a concern, as identified by Pappa et al. [</w:t>
      </w:r>
      <w:r w:rsidR="00DD3E8C">
        <w:rPr>
          <w:rStyle w:val="MSGENFONTSTYLENAMETEMPLATEROLEMSGENFONTSTYLENAMEBYROLETEXT1"/>
          <w:rFonts w:asciiTheme="majorBidi" w:hAnsiTheme="majorBidi" w:cstheme="majorBidi"/>
          <w:color w:val="auto"/>
        </w:rPr>
        <w:t>6</w:t>
      </w:r>
      <w:r w:rsidRPr="006A06B9">
        <w:rPr>
          <w:rStyle w:val="MSGENFONTSTYLENAMETEMPLATEROLEMSGENFONTSTYLENAMEBYROLETEXT1"/>
          <w:rFonts w:asciiTheme="majorBidi" w:hAnsiTheme="majorBidi" w:cstheme="majorBidi"/>
          <w:color w:val="auto"/>
        </w:rPr>
        <w:t xml:space="preserve">], who argued that data validation techniques and artificial intelligence (AI) models need further refinement to ensure accuracy. Additionally, privacy concerns associated with digital AE reporting have been highlighted by </w:t>
      </w:r>
      <w:proofErr w:type="spellStart"/>
      <w:r w:rsidRPr="006A06B9">
        <w:rPr>
          <w:rStyle w:val="MSGENFONTSTYLENAMETEMPLATEROLEMSGENFONTSTYLENAMEBYROLETEXT1"/>
          <w:rFonts w:asciiTheme="majorBidi" w:hAnsiTheme="majorBidi" w:cstheme="majorBidi"/>
          <w:color w:val="auto"/>
        </w:rPr>
        <w:t>Vayena</w:t>
      </w:r>
      <w:proofErr w:type="spellEnd"/>
      <w:r w:rsidRPr="006A06B9">
        <w:rPr>
          <w:rStyle w:val="MSGENFONTSTYLENAMETEMPLATEROLEMSGENFONTSTYLENAMEBYROLETEXT1"/>
          <w:rFonts w:asciiTheme="majorBidi" w:hAnsiTheme="majorBidi" w:cstheme="majorBidi"/>
          <w:color w:val="auto"/>
        </w:rPr>
        <w:t xml:space="preserve"> et al. [</w:t>
      </w:r>
      <w:r w:rsidR="00DD3E8C">
        <w:rPr>
          <w:rStyle w:val="MSGENFONTSTYLENAMETEMPLATEROLEMSGENFONTSTYLENAMEBYROLETEXT1"/>
          <w:rFonts w:asciiTheme="majorBidi" w:hAnsiTheme="majorBidi" w:cstheme="majorBidi"/>
          <w:color w:val="auto"/>
        </w:rPr>
        <w:t>7</w:t>
      </w:r>
      <w:r w:rsidRPr="006A06B9">
        <w:rPr>
          <w:rStyle w:val="MSGENFONTSTYLENAMETEMPLATEROLEMSGENFONTSTYLENAMEBYROLETEXT1"/>
          <w:rFonts w:asciiTheme="majorBidi" w:hAnsiTheme="majorBidi" w:cstheme="majorBidi"/>
          <w:color w:val="auto"/>
        </w:rPr>
        <w:t>], stressing the need for regulatory frameworks to protect patient confidentiality while enabling efficient data collection.</w:t>
      </w:r>
    </w:p>
    <w:p w14:paraId="7AA6DC61" w14:textId="77777777" w:rsidR="00802FAF" w:rsidRDefault="00D77AC8" w:rsidP="00802FAF">
      <w:pPr>
        <w:pStyle w:val="MSGENFONTSTYLENAMETEMPLATEROLEMSGENFONTSTYLENAMEBYROLETEXT10"/>
        <w:spacing w:line="271" w:lineRule="auto"/>
        <w:jc w:val="both"/>
        <w:rPr>
          <w:rStyle w:val="MSGENFONTSTYLENAMETEMPLATEROLEMSGENFONTSTYLENAMEBYROLETEXT1"/>
          <w:rFonts w:asciiTheme="majorBidi" w:hAnsiTheme="majorBidi" w:cstheme="majorBidi"/>
          <w:color w:val="auto"/>
        </w:rPr>
      </w:pPr>
      <w:r>
        <w:rPr>
          <w:rStyle w:val="MSGENFONTSTYLENAMETEMPLATEROLEMSGENFONTSTYLENAMEBYROLETEXT1"/>
          <w:rFonts w:asciiTheme="majorBidi" w:hAnsiTheme="majorBidi" w:cstheme="majorBidi"/>
          <w:color w:val="auto"/>
        </w:rPr>
        <w:t>Integrating</w:t>
      </w:r>
      <w:r w:rsidR="006A06B9" w:rsidRPr="006A06B9">
        <w:rPr>
          <w:rStyle w:val="MSGENFONTSTYLENAMETEMPLATEROLEMSGENFONTSTYLENAMEBYROLETEXT1"/>
          <w:rFonts w:asciiTheme="majorBidi" w:hAnsiTheme="majorBidi" w:cstheme="majorBidi"/>
          <w:color w:val="auto"/>
        </w:rPr>
        <w:t xml:space="preserve"> digital tools into pharmacovigilance is an evolving field with significant potential to enhance drug safety monitoring. While social media and mobile applications offer promising solutions for AE reporting, their successful implementation requires robust validation mechanisms, regulatory oversight, and ethical considerations. Future research should </w:t>
      </w:r>
      <w:r>
        <w:rPr>
          <w:rStyle w:val="MSGENFONTSTYLENAMETEMPLATEROLEMSGENFONTSTYLENAMEBYROLETEXT1"/>
          <w:rFonts w:asciiTheme="majorBidi" w:hAnsiTheme="majorBidi" w:cstheme="majorBidi"/>
          <w:color w:val="auto"/>
        </w:rPr>
        <w:t>improve AI-driven data analysis and develop</w:t>
      </w:r>
      <w:r w:rsidR="006A06B9" w:rsidRPr="006A06B9">
        <w:rPr>
          <w:rStyle w:val="MSGENFONTSTYLENAMETEMPLATEROLEMSGENFONTSTYLENAMEBYROLETEXT1"/>
          <w:rFonts w:asciiTheme="majorBidi" w:hAnsiTheme="majorBidi" w:cstheme="majorBidi"/>
          <w:color w:val="auto"/>
        </w:rPr>
        <w:t xml:space="preserve"> standardized methodologies for incorporating digital AE reporting into global pharmacovigilance systems</w:t>
      </w:r>
      <w:r w:rsidR="00BC3542" w:rsidRPr="00BC3542">
        <w:rPr>
          <w:rStyle w:val="MSGENFONTSTYLENAMETEMPLATEROLEMSGENFONTSTYLENAMEBYROLETEXT1"/>
          <w:rFonts w:asciiTheme="majorBidi" w:hAnsiTheme="majorBidi" w:cstheme="majorBidi"/>
          <w:color w:val="auto"/>
        </w:rPr>
        <w:t>.</w:t>
      </w:r>
    </w:p>
    <w:p w14:paraId="4E52F5F2" w14:textId="77777777" w:rsidR="00802FAF" w:rsidRDefault="00C5675B" w:rsidP="00802FAF">
      <w:pPr>
        <w:pStyle w:val="MSGENFONTSTYLENAMETEMPLATEROLEMSGENFONTSTYLENAMEBYROLETEXT10"/>
        <w:spacing w:line="271" w:lineRule="auto"/>
        <w:jc w:val="both"/>
        <w:rPr>
          <w:rStyle w:val="MSGENFONTSTYLENAMETEMPLATEROLELEVELMSGENFONTSTYLENAMEBYROLEHEADING41"/>
          <w:caps/>
          <w:color w:val="auto"/>
          <w:sz w:val="20"/>
          <w:szCs w:val="20"/>
        </w:rPr>
      </w:pPr>
      <w:r w:rsidRPr="003A7934">
        <w:rPr>
          <w:rStyle w:val="MSGENFONTSTYLENAMETEMPLATEROLELEVELMSGENFONTSTYLENAMEBYROLEHEADING41"/>
          <w:caps/>
          <w:color w:val="auto"/>
          <w:sz w:val="20"/>
          <w:szCs w:val="20"/>
        </w:rPr>
        <w:t>Problem Statement: Challenges in Digital Adverse Event Reporting</w:t>
      </w:r>
    </w:p>
    <w:p w14:paraId="32CC0DFB" w14:textId="77777777" w:rsidR="00AA1777" w:rsidRDefault="00D77AC8"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802FAF">
        <w:rPr>
          <w:rStyle w:val="MSGENFONTSTYLENAMETEMPLATEROLELEVELMSGENFONTSTYLENAMEBYROLEHEADING41"/>
          <w:b w:val="0"/>
          <w:bCs w:val="0"/>
          <w:color w:val="auto"/>
          <w:sz w:val="20"/>
          <w:szCs w:val="20"/>
        </w:rPr>
        <w:t>Integrating</w:t>
      </w:r>
      <w:r w:rsidR="004C15F6" w:rsidRPr="00802FAF">
        <w:rPr>
          <w:rStyle w:val="MSGENFONTSTYLENAMETEMPLATEROLELEVELMSGENFONTSTYLENAMEBYROLEHEADING41"/>
          <w:b w:val="0"/>
          <w:bCs w:val="0"/>
          <w:color w:val="auto"/>
          <w:sz w:val="20"/>
          <w:szCs w:val="20"/>
        </w:rPr>
        <w:t xml:space="preserve"> digital platforms, such as social media and mobile applications, into pharmacovigilance has revolutionized adverse event (AE) reporting by enabling real-time data collection and increasing patient engagement. However, despite the advantages of digital AE reporting, several challenges hinder its full potential. </w:t>
      </w:r>
    </w:p>
    <w:p w14:paraId="6DB6E728" w14:textId="59412648" w:rsidR="00802FAF" w:rsidRDefault="004C15F6"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802FAF">
        <w:rPr>
          <w:rStyle w:val="MSGENFONTSTYLENAMETEMPLATEROLELEVELMSGENFONTSTYLENAMEBYROLEHEADING41"/>
          <w:b w:val="0"/>
          <w:bCs w:val="0"/>
          <w:color w:val="auto"/>
          <w:sz w:val="20"/>
          <w:szCs w:val="20"/>
        </w:rPr>
        <w:t>Issues related to data reliability, regulatory compliance, and technological limitations pose significant barriers to effective implementation. The unstructured nature of social media data</w:t>
      </w:r>
      <w:r w:rsidR="00D77AC8" w:rsidRPr="00802FAF">
        <w:rPr>
          <w:rStyle w:val="MSGENFONTSTYLENAMETEMPLATEROLELEVELMSGENFONTSTYLENAMEBYROLEHEADING41"/>
          <w:b w:val="0"/>
          <w:bCs w:val="0"/>
          <w:color w:val="auto"/>
          <w:sz w:val="20"/>
          <w:szCs w:val="20"/>
        </w:rPr>
        <w:t xml:space="preserve"> and concerns over patient privacy and security further complicate</w:t>
      </w:r>
      <w:r w:rsidRPr="00802FAF">
        <w:rPr>
          <w:rStyle w:val="MSGENFONTSTYLENAMETEMPLATEROLELEVELMSGENFONTSTYLENAMEBYROLEHEADING41"/>
          <w:b w:val="0"/>
          <w:bCs w:val="0"/>
          <w:color w:val="auto"/>
          <w:sz w:val="20"/>
          <w:szCs w:val="20"/>
        </w:rPr>
        <w:t xml:space="preserve"> the use of digital tools for pharmacovigilance. Addressing these challenges is critical to ensuring </w:t>
      </w:r>
      <w:r w:rsidR="00D77AC8" w:rsidRPr="00802FAF">
        <w:rPr>
          <w:rStyle w:val="MSGENFONTSTYLENAMETEMPLATEROLELEVELMSGENFONTSTYLENAMEBYROLEHEADING41"/>
          <w:b w:val="0"/>
          <w:bCs w:val="0"/>
          <w:color w:val="auto"/>
          <w:sz w:val="20"/>
          <w:szCs w:val="20"/>
        </w:rPr>
        <w:t>digital AE reporting systems' accuracy, credibility, and efficiency</w:t>
      </w:r>
      <w:r w:rsidRPr="00802FAF">
        <w:rPr>
          <w:rStyle w:val="MSGENFONTSTYLENAMETEMPLATEROLELEVELMSGENFONTSTYLENAMEBYROLEHEADING41"/>
          <w:b w:val="0"/>
          <w:bCs w:val="0"/>
          <w:color w:val="auto"/>
          <w:sz w:val="20"/>
          <w:szCs w:val="20"/>
        </w:rPr>
        <w:t>.</w:t>
      </w:r>
    </w:p>
    <w:p w14:paraId="0746D927" w14:textId="76A38B09" w:rsidR="00AA1777" w:rsidRDefault="00AA1777" w:rsidP="00AA1777">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p>
    <w:p w14:paraId="489D6572" w14:textId="512C8A60" w:rsidR="00AA1777" w:rsidRDefault="00AA1777" w:rsidP="00AA1777">
      <w:pPr>
        <w:pStyle w:val="MSGENFONTSTYLENAMETEMPLATEROLEMSGENFONTSTYLENAMEBYROLETEXT10"/>
        <w:spacing w:line="271" w:lineRule="auto"/>
        <w:jc w:val="both"/>
        <w:rPr>
          <w:rStyle w:val="MSGENFONTSTYLENAMETEMPLATEROLELEVELMSGENFONTSTYLENAMEBYROLEHEADING41"/>
          <w:color w:val="auto"/>
          <w:sz w:val="20"/>
          <w:szCs w:val="20"/>
        </w:rPr>
      </w:pPr>
      <w:r>
        <w:rPr>
          <w:b/>
          <w:bCs/>
          <w:noProof/>
          <w:color w:val="auto"/>
        </w:rPr>
        <w:lastRenderedPageBreak/>
        <w:drawing>
          <wp:inline distT="0" distB="0" distL="0" distR="0" wp14:anchorId="34C553C7" wp14:editId="77F114FB">
            <wp:extent cx="5486400" cy="3200400"/>
            <wp:effectExtent l="25400" t="38100" r="38100" b="254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19CA15" w14:textId="4354300E" w:rsidR="00AA1777" w:rsidRPr="00AA1777" w:rsidRDefault="00AA1777" w:rsidP="00AA1777">
      <w:pPr>
        <w:pStyle w:val="MSGENFONTSTYLENAMETEMPLATEROLEMSGENFONTSTYLENAMEBYROLETEXT10"/>
        <w:spacing w:line="271" w:lineRule="auto"/>
        <w:jc w:val="both"/>
        <w:rPr>
          <w:rStyle w:val="MSGENFONTSTYLENAMETEMPLATEROLELEVELMSGENFONTSTYLENAMEBYROLEHEADING41"/>
          <w:color w:val="auto"/>
          <w:sz w:val="20"/>
          <w:szCs w:val="20"/>
        </w:rPr>
      </w:pPr>
      <w:r w:rsidRPr="00AA1777">
        <w:rPr>
          <w:rStyle w:val="MSGENFONTSTYLENAMETEMPLATEROLELEVELMSGENFONTSTYLENAMEBYROLEHEADING41"/>
          <w:color w:val="auto"/>
          <w:sz w:val="20"/>
          <w:szCs w:val="20"/>
        </w:rPr>
        <w:t xml:space="preserve">Figure 1: </w:t>
      </w:r>
      <w:r>
        <w:rPr>
          <w:rStyle w:val="MSGENFONTSTYLENAMETEMPLATEROLELEVELMSGENFONTSTYLENAMEBYROLEHEADING41"/>
          <w:color w:val="auto"/>
          <w:sz w:val="20"/>
          <w:szCs w:val="20"/>
        </w:rPr>
        <w:t xml:space="preserve">Main </w:t>
      </w:r>
      <w:r w:rsidRPr="00AA1777">
        <w:rPr>
          <w:rStyle w:val="MSGENFONTSTYLENAMETEMPLATEROLELEVELMSGENFONTSTYLENAMEBYROLEHEADING41"/>
          <w:color w:val="auto"/>
          <w:sz w:val="20"/>
          <w:szCs w:val="20"/>
        </w:rPr>
        <w:t>Issues with Adverse Event Reporting</w:t>
      </w:r>
    </w:p>
    <w:p w14:paraId="77DD0EDF" w14:textId="77777777" w:rsidR="00802FAF" w:rsidRDefault="004C15F6" w:rsidP="00802FAF">
      <w:pPr>
        <w:pStyle w:val="MSGENFONTSTYLENAMETEMPLATEROLEMSGENFONTSTYLENAMEBYROLETEXT10"/>
        <w:spacing w:line="271" w:lineRule="auto"/>
        <w:jc w:val="both"/>
        <w:rPr>
          <w:rStyle w:val="MSGENFONTSTYLENAMETEMPLATEROLELEVELMSGENFONTSTYLENAMEBYROLEHEADING41"/>
          <w:color w:val="auto"/>
          <w:sz w:val="20"/>
          <w:szCs w:val="20"/>
        </w:rPr>
      </w:pPr>
      <w:r w:rsidRPr="00802FAF">
        <w:rPr>
          <w:rStyle w:val="MSGENFONTSTYLENAMETEMPLATEROLELEVELMSGENFONTSTYLENAMEBYROLEHEADING41"/>
          <w:color w:val="auto"/>
          <w:sz w:val="20"/>
          <w:szCs w:val="20"/>
        </w:rPr>
        <w:t>3.1. Challenges in Adverse Event Reporting</w:t>
      </w:r>
    </w:p>
    <w:p w14:paraId="41218EA1" w14:textId="77777777" w:rsidR="00802FAF" w:rsidRDefault="004C15F6"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802FAF">
        <w:rPr>
          <w:rStyle w:val="MSGENFONTSTYLENAMETEMPLATEROLELEVELMSGENFONTSTYLENAMEBYROLEHEADING41"/>
          <w:b w:val="0"/>
          <w:bCs w:val="0"/>
          <w:color w:val="auto"/>
          <w:sz w:val="20"/>
          <w:szCs w:val="20"/>
        </w:rPr>
        <w:t xml:space="preserve">One of the </w:t>
      </w:r>
      <w:r w:rsidR="00D77AC8" w:rsidRPr="00802FAF">
        <w:rPr>
          <w:rStyle w:val="MSGENFONTSTYLENAMETEMPLATEROLELEVELMSGENFONTSTYLENAMEBYROLEHEADING41"/>
          <w:b w:val="0"/>
          <w:bCs w:val="0"/>
          <w:color w:val="auto"/>
          <w:sz w:val="20"/>
          <w:szCs w:val="20"/>
        </w:rPr>
        <w:t>significant</w:t>
      </w:r>
      <w:r w:rsidRPr="00802FAF">
        <w:rPr>
          <w:rStyle w:val="MSGENFONTSTYLENAMETEMPLATEROLELEVELMSGENFONTSTYLENAMEBYROLEHEADING41"/>
          <w:b w:val="0"/>
          <w:bCs w:val="0"/>
          <w:color w:val="auto"/>
          <w:sz w:val="20"/>
          <w:szCs w:val="20"/>
        </w:rPr>
        <w:t xml:space="preserve"> challenges in digital AE reporting is the unstructured and inconsistent nature of the data collected through social media platforms. Unlike traditional pharmacovigilance databases, which rely on structured case reports from healthcare professionals, social media data consist of informal language, slang, and abbreviations that can be difficult to interpret accurately. Additionally, identifying genuine AEs within a large volume of online discussions requires sophisticated artificial intelligence (AI) and natural language processing (NLP) tools, which are still evolving. Without proper validation mechanisms, misinformation and false reports can compromise the reliability of social media-based AE monitoring.</w:t>
      </w:r>
    </w:p>
    <w:p w14:paraId="6E0333F3" w14:textId="5C3B2629" w:rsidR="004C15F6" w:rsidRDefault="00D77AC8"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802FAF">
        <w:rPr>
          <w:rStyle w:val="MSGENFONTSTYLENAMETEMPLATEROLELEVELMSGENFONTSTYLENAMEBYROLEHEADING41"/>
          <w:b w:val="0"/>
          <w:bCs w:val="0"/>
          <w:color w:val="auto"/>
          <w:sz w:val="20"/>
          <w:szCs w:val="20"/>
        </w:rPr>
        <w:t>One often overlooked challenge in adverse event reporting</w:t>
      </w:r>
      <w:r w:rsidR="004C15F6" w:rsidRPr="00802FAF">
        <w:rPr>
          <w:rStyle w:val="MSGENFONTSTYLENAMETEMPLATEROLELEVELMSGENFONTSTYLENAMEBYROLEHEADING41"/>
          <w:b w:val="0"/>
          <w:bCs w:val="0"/>
          <w:color w:val="auto"/>
          <w:sz w:val="20"/>
          <w:szCs w:val="20"/>
        </w:rPr>
        <w:t xml:space="preserve"> is the lack of standardization in digital AE reporting across different platforms and regulatory agencies. </w:t>
      </w:r>
      <w:r w:rsidRPr="00802FAF">
        <w:rPr>
          <w:rStyle w:val="MSGENFONTSTYLENAMETEMPLATEROLELEVELMSGENFONTSTYLENAMEBYROLEHEADING41"/>
          <w:b w:val="0"/>
          <w:bCs w:val="0"/>
          <w:color w:val="auto"/>
          <w:sz w:val="20"/>
          <w:szCs w:val="20"/>
        </w:rPr>
        <w:t>For example, mobile health (mHealth) applications vary widely in</w:t>
      </w:r>
      <w:r w:rsidR="004C15F6" w:rsidRPr="00802FAF">
        <w:rPr>
          <w:rStyle w:val="MSGENFONTSTYLENAMETEMPLATEROLELEVELMSGENFONTSTYLENAMEBYROLEHEADING41"/>
          <w:b w:val="0"/>
          <w:bCs w:val="0"/>
          <w:color w:val="auto"/>
          <w:sz w:val="20"/>
          <w:szCs w:val="20"/>
        </w:rPr>
        <w:t xml:space="preserve"> design, data fields, and reporting formats, making it difficult to integrate their outputs into existing pharmacovigilance systems. Regulatory bodies such as the U.S. Food and Drug Administration (FDA) and the European Medicines Agency (EMA) have made efforts to develop digital reporting guidelines</w:t>
      </w:r>
      <w:r w:rsidRPr="00802FAF">
        <w:rPr>
          <w:rStyle w:val="MSGENFONTSTYLENAMETEMPLATEROLELEVELMSGENFONTSTYLENAMEBYROLEHEADING41"/>
          <w:b w:val="0"/>
          <w:bCs w:val="0"/>
          <w:color w:val="auto"/>
          <w:sz w:val="20"/>
          <w:szCs w:val="20"/>
        </w:rPr>
        <w:t>. However,</w:t>
      </w:r>
      <w:r w:rsidR="004C15F6" w:rsidRPr="00802FAF">
        <w:rPr>
          <w:rStyle w:val="MSGENFONTSTYLENAMETEMPLATEROLELEVELMSGENFONTSTYLENAMEBYROLEHEADING41"/>
          <w:b w:val="0"/>
          <w:bCs w:val="0"/>
          <w:color w:val="auto"/>
          <w:sz w:val="20"/>
          <w:szCs w:val="20"/>
        </w:rPr>
        <w:t xml:space="preserve"> inconsistencies still exist in h</w:t>
      </w:r>
      <w:r w:rsidRPr="00802FAF">
        <w:rPr>
          <w:rStyle w:val="MSGENFONTSTYLENAMETEMPLATEROLELEVELMSGENFONTSTYLENAMEBYROLEHEADING41"/>
          <w:b w:val="0"/>
          <w:bCs w:val="0"/>
          <w:color w:val="auto"/>
          <w:sz w:val="20"/>
          <w:szCs w:val="20"/>
        </w:rPr>
        <w:t>andling data from social media and mobile applications</w:t>
      </w:r>
      <w:r w:rsidR="004C15F6" w:rsidRPr="00802FAF">
        <w:rPr>
          <w:rStyle w:val="MSGENFONTSTYLENAMETEMPLATEROLELEVELMSGENFONTSTYLENAMEBYROLEHEADING41"/>
          <w:b w:val="0"/>
          <w:bCs w:val="0"/>
          <w:color w:val="auto"/>
          <w:sz w:val="20"/>
          <w:szCs w:val="20"/>
        </w:rPr>
        <w:t>. Without a unified framework, digital AE reporting remains fragmented, limiting its effectiveness in enhancing drug safety monitoring</w:t>
      </w:r>
      <w:r w:rsidR="00BD10AB">
        <w:rPr>
          <w:rStyle w:val="MSGENFONTSTYLENAMETEMPLATEROLELEVELMSGENFONTSTYLENAMEBYROLEHEADING41"/>
          <w:b w:val="0"/>
          <w:bCs w:val="0"/>
          <w:color w:val="auto"/>
          <w:sz w:val="20"/>
          <w:szCs w:val="20"/>
        </w:rPr>
        <w:t>…</w:t>
      </w:r>
    </w:p>
    <w:p w14:paraId="6433E8FB" w14:textId="367DC937" w:rsidR="00BD10AB" w:rsidRDefault="00BD10AB"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p>
    <w:p w14:paraId="129D0944" w14:textId="0AA3FC04" w:rsidR="00BD10AB" w:rsidRDefault="00BD10AB" w:rsidP="00802FAF">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Pr>
          <w:noProof/>
          <w:color w:val="auto"/>
        </w:rPr>
        <w:lastRenderedPageBreak/>
        <w:drawing>
          <wp:inline distT="0" distB="0" distL="0" distR="0" wp14:anchorId="2E0B16C8" wp14:editId="1F3ED97B">
            <wp:extent cx="5486400" cy="3200400"/>
            <wp:effectExtent l="0" t="0" r="127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B75864" w14:textId="33B8F623" w:rsidR="00BD10AB" w:rsidRDefault="00BD10AB" w:rsidP="00BD10AB">
      <w:pPr>
        <w:pStyle w:val="MSGENFONTSTYLENAMETEMPLATEROLEMSGENFONTSTYLENAMEBYROLETEXT10"/>
        <w:spacing w:line="271" w:lineRule="auto"/>
        <w:jc w:val="both"/>
        <w:rPr>
          <w:rStyle w:val="MSGENFONTSTYLENAMETEMPLATEROLELEVELMSGENFONTSTYLENAMEBYROLEHEADING41"/>
          <w:color w:val="auto"/>
          <w:sz w:val="20"/>
          <w:szCs w:val="20"/>
        </w:rPr>
      </w:pPr>
      <w:r w:rsidRPr="00AA1777">
        <w:rPr>
          <w:rStyle w:val="MSGENFONTSTYLENAMETEMPLATEROLELEVELMSGENFONTSTYLENAMEBYROLEHEADING41"/>
          <w:color w:val="auto"/>
          <w:sz w:val="20"/>
          <w:szCs w:val="20"/>
        </w:rPr>
        <w:t xml:space="preserve">Figure </w:t>
      </w:r>
      <w:r>
        <w:rPr>
          <w:rStyle w:val="MSGENFONTSTYLENAMETEMPLATEROLELEVELMSGENFONTSTYLENAMEBYROLEHEADING41"/>
          <w:color w:val="auto"/>
          <w:sz w:val="20"/>
          <w:szCs w:val="20"/>
        </w:rPr>
        <w:t>2</w:t>
      </w:r>
      <w:r w:rsidRPr="00AA1777">
        <w:rPr>
          <w:rStyle w:val="MSGENFONTSTYLENAMETEMPLATEROLELEVELMSGENFONTSTYLENAMEBYROLEHEADING41"/>
          <w:color w:val="auto"/>
          <w:sz w:val="20"/>
          <w:szCs w:val="20"/>
        </w:rPr>
        <w:t xml:space="preserve">: </w:t>
      </w:r>
      <w:r>
        <w:rPr>
          <w:rStyle w:val="MSGENFONTSTYLENAMETEMPLATEROLELEVELMSGENFONTSTYLENAMEBYROLEHEADING41"/>
          <w:color w:val="auto"/>
          <w:sz w:val="20"/>
          <w:szCs w:val="20"/>
        </w:rPr>
        <w:t>Challenges related to</w:t>
      </w:r>
      <w:r w:rsidRPr="00AA1777">
        <w:rPr>
          <w:rStyle w:val="MSGENFONTSTYLENAMETEMPLATEROLELEVELMSGENFONTSTYLENAMEBYROLEHEADING41"/>
          <w:color w:val="auto"/>
          <w:sz w:val="20"/>
          <w:szCs w:val="20"/>
        </w:rPr>
        <w:t xml:space="preserve"> Adverse Event Reporting</w:t>
      </w:r>
    </w:p>
    <w:p w14:paraId="31E610AA" w14:textId="77777777" w:rsidR="00E67F26" w:rsidRDefault="00BD10AB" w:rsidP="00E67F26">
      <w:pPr>
        <w:pStyle w:val="MSGENFONTSTYLENAMETEMPLATEROLEMSGENFONTSTYLENAMEBYROLETEXT10"/>
        <w:spacing w:line="271" w:lineRule="auto"/>
        <w:jc w:val="both"/>
        <w:rPr>
          <w:rStyle w:val="MSGENFONTSTYLENAMETEMPLATEROLELEVELMSGENFONTSTYLENAMEBYROLEHEADING41"/>
          <w:color w:val="auto"/>
          <w:sz w:val="20"/>
          <w:szCs w:val="20"/>
        </w:rPr>
      </w:pPr>
      <w:r>
        <w:rPr>
          <w:rStyle w:val="MSGENFONTSTYLENAMETEMPLATEROLELEVELMSGENFONTSTYLENAMEBYROLEHEADING41"/>
          <w:color w:val="auto"/>
          <w:sz w:val="20"/>
          <w:szCs w:val="20"/>
        </w:rPr>
        <w:t>3</w:t>
      </w:r>
      <w:r w:rsidR="004C15F6" w:rsidRPr="00BD10AB">
        <w:rPr>
          <w:rStyle w:val="MSGENFONTSTYLENAMETEMPLATEROLELEVELMSGENFONTSTYLENAMEBYROLEHEADING41"/>
          <w:color w:val="auto"/>
          <w:sz w:val="20"/>
          <w:szCs w:val="20"/>
        </w:rPr>
        <w:t>.2. Limitations of Adverse Event Reporting</w:t>
      </w:r>
    </w:p>
    <w:p w14:paraId="490580B6" w14:textId="77777777" w:rsidR="00E67F26" w:rsidRDefault="004C15F6" w:rsidP="00E67F26">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E67F26">
        <w:rPr>
          <w:rStyle w:val="MSGENFONTSTYLENAMETEMPLATEROLELEVELMSGENFONTSTYLENAMEBYROLEHEADING41"/>
          <w:b w:val="0"/>
          <w:bCs w:val="0"/>
          <w:color w:val="auto"/>
          <w:sz w:val="20"/>
          <w:szCs w:val="20"/>
        </w:rPr>
        <w:t xml:space="preserve">While digital AE reporting offers increased accessibility, it also presents limitations that impact data quality and regulatory compliance. One significant limitation is the issue of underreporting and selective reporting. Many patients may choose not to report AEs due to fear of privacy breaches, lack of awareness, or uncertainty about the significance of their symptoms. Additionally, those who do report AEs on social media may provide incomplete or biased information, making it difficult to assess the true impact of a medication. Unlike healthcare professionals, who follow established reporting protocols, patients may describe their experiences inconsistently, leading to </w:t>
      </w:r>
      <w:r w:rsidR="00D77AC8" w:rsidRPr="00E67F26">
        <w:rPr>
          <w:rStyle w:val="MSGENFONTSTYLENAMETEMPLATEROLELEVELMSGENFONTSTYLENAMEBYROLEHEADING41"/>
          <w:b w:val="0"/>
          <w:bCs w:val="0"/>
          <w:color w:val="auto"/>
          <w:sz w:val="20"/>
          <w:szCs w:val="20"/>
        </w:rPr>
        <w:t>data interpretation and verification challenges</w:t>
      </w:r>
      <w:r w:rsidRPr="00E67F26">
        <w:rPr>
          <w:rStyle w:val="MSGENFONTSTYLENAMETEMPLATEROLELEVELMSGENFONTSTYLENAMEBYROLEHEADING41"/>
          <w:b w:val="0"/>
          <w:bCs w:val="0"/>
          <w:color w:val="auto"/>
          <w:sz w:val="20"/>
          <w:szCs w:val="20"/>
        </w:rPr>
        <w:t>.</w:t>
      </w:r>
    </w:p>
    <w:p w14:paraId="397FF8C2" w14:textId="77777777" w:rsidR="00E67F26" w:rsidRDefault="00D77AC8" w:rsidP="00E67F26">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E67F26">
        <w:rPr>
          <w:rStyle w:val="MSGENFONTSTYLENAMETEMPLATEROLELEVELMSGENFONTSTYLENAMEBYROLEHEADING41"/>
          <w:b w:val="0"/>
          <w:bCs w:val="0"/>
          <w:color w:val="auto"/>
          <w:sz w:val="20"/>
          <w:szCs w:val="20"/>
        </w:rPr>
        <w:t>Another</w:t>
      </w:r>
      <w:r w:rsidR="004C15F6" w:rsidRPr="00E67F26">
        <w:rPr>
          <w:rStyle w:val="MSGENFONTSTYLENAMETEMPLATEROLELEVELMSGENFONTSTYLENAMEBYROLEHEADING41"/>
          <w:b w:val="0"/>
          <w:bCs w:val="0"/>
          <w:color w:val="auto"/>
          <w:sz w:val="20"/>
          <w:szCs w:val="20"/>
        </w:rPr>
        <w:t xml:space="preserve"> key limitation is the difficulty in verifying the authenticity of patient-reported AEs. Unlike traditional AE reporting systems, which rely on healthcare documentation and laboratory data, digital reports often lack supporting medical evidence. This can make it challenging for regulatory agencies to determine whether an AE is directly related to a medication or influenced by external factors. Moreover, the risk of duplication, where the same AE is reported multiple times across different platforms, further complicates data analysis. Addressing these limitations requires enhanced data validation techniques, improved reporting mechanisms, and stronger regulatory oversight to ensure the integrity of digital pharmacovigilance efforts.</w:t>
      </w:r>
    </w:p>
    <w:p w14:paraId="6FB2F96E" w14:textId="77777777" w:rsidR="00E67F26" w:rsidRDefault="00C5675B" w:rsidP="00E67F26">
      <w:pPr>
        <w:pStyle w:val="MSGENFONTSTYLENAMETEMPLATEROLEMSGENFONTSTYLENAMEBYROLETEXT10"/>
        <w:spacing w:line="271" w:lineRule="auto"/>
        <w:jc w:val="both"/>
        <w:rPr>
          <w:rStyle w:val="MSGENFONTSTYLENAMETEMPLATEROLELEVELMSGENFONTSTYLENAMEBYROLEHEADING41"/>
          <w:caps/>
          <w:color w:val="auto"/>
          <w:sz w:val="20"/>
          <w:szCs w:val="20"/>
        </w:rPr>
      </w:pPr>
      <w:r w:rsidRPr="003A7934">
        <w:rPr>
          <w:rStyle w:val="MSGENFONTSTYLENAMETEMPLATEROLELEVELMSGENFONTSTYLENAMEBYROLEHEADING41"/>
          <w:caps/>
          <w:color w:val="auto"/>
          <w:sz w:val="20"/>
          <w:szCs w:val="20"/>
        </w:rPr>
        <w:t>Solution: Leveraging Technology for Improved Pharmacovigilance</w:t>
      </w:r>
    </w:p>
    <w:p w14:paraId="7D0DF9AC" w14:textId="77777777" w:rsidR="00E67F26" w:rsidRDefault="004C15F6" w:rsidP="00E67F26">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E67F26">
        <w:rPr>
          <w:rStyle w:val="MSGENFONTSTYLENAMETEMPLATEROLELEVELMSGENFONTSTYLENAMEBYROLEHEADING41"/>
          <w:b w:val="0"/>
          <w:bCs w:val="0"/>
          <w:color w:val="auto"/>
          <w:sz w:val="20"/>
          <w:szCs w:val="20"/>
        </w:rPr>
        <w:t>The evolution of digital technology has presented new opportunities for improving pharmacovigilance through enhanced adverse event (AE) reporting and drug safety monitoring. By leveraging mobile applications, artificial intelligence (AI), and data integration strategies, pharmacovigilance systems can become more efficient, accurate, and accessible. Implementing mobile health (mHealth) applications allows for real-time AE reporting and improved patient engagement, while regulatory agencies worldwide are increasingly recognizing the need for digital solutions in AE monitoring. Additionally, integrating digital pharmacovigilance tools with traditional reporting systems can create a more robust drug safety network, ensuring that adverse reactions are detected, analyzed, and addressed promptly.</w:t>
      </w:r>
    </w:p>
    <w:p w14:paraId="4CCC71C0" w14:textId="77777777" w:rsidR="00E67F26" w:rsidRDefault="004C15F6" w:rsidP="00E67F26">
      <w:pPr>
        <w:pStyle w:val="MSGENFONTSTYLENAMETEMPLATEROLEMSGENFONTSTYLENAMEBYROLETEXT10"/>
        <w:spacing w:line="271" w:lineRule="auto"/>
        <w:jc w:val="both"/>
        <w:rPr>
          <w:rStyle w:val="MSGENFONTSTYLENAMETEMPLATEROLELEVELMSGENFONTSTYLENAMEBYROLEHEADING41"/>
          <w:color w:val="auto"/>
          <w:sz w:val="20"/>
          <w:szCs w:val="20"/>
        </w:rPr>
      </w:pPr>
      <w:r w:rsidRPr="00E67F26">
        <w:rPr>
          <w:rStyle w:val="MSGENFONTSTYLENAMETEMPLATEROLELEVELMSGENFONTSTYLENAMEBYROLEHEADING41"/>
          <w:color w:val="auto"/>
          <w:sz w:val="20"/>
          <w:szCs w:val="20"/>
        </w:rPr>
        <w:t>4.1. Pharmacovigilance Mobile Apps: Enhancing Patient Engagement</w:t>
      </w:r>
    </w:p>
    <w:p w14:paraId="66C912C2" w14:textId="03180D8C" w:rsidR="004C15F6" w:rsidRPr="00E67F26" w:rsidRDefault="004C15F6" w:rsidP="00E67F26">
      <w:pPr>
        <w:pStyle w:val="MSGENFONTSTYLENAMETEMPLATEROLEMSGENFONTSTYLENAMEBYROLETEXT10"/>
        <w:spacing w:line="271" w:lineRule="auto"/>
        <w:jc w:val="both"/>
        <w:rPr>
          <w:rStyle w:val="MSGENFONTSTYLENAMETEMPLATEROLELEVELMSGENFONTSTYLENAMEBYROLEHEADING41"/>
          <w:b w:val="0"/>
          <w:bCs w:val="0"/>
          <w:color w:val="auto"/>
          <w:sz w:val="20"/>
          <w:szCs w:val="20"/>
        </w:rPr>
      </w:pPr>
      <w:r w:rsidRPr="00E67F26">
        <w:rPr>
          <w:rStyle w:val="MSGENFONTSTYLENAMETEMPLATEROLELEVELMSGENFONTSTYLENAMEBYROLEHEADING41"/>
          <w:b w:val="0"/>
          <w:bCs w:val="0"/>
          <w:color w:val="auto"/>
          <w:sz w:val="20"/>
          <w:szCs w:val="20"/>
        </w:rPr>
        <w:t>Mobile applications have emerged as a powerful tool for improving AE reporting, allowing patients and healthcare professionals to report medication-related issues conveniently and efficiently. Unlike traditional AE reporting methods, which often require patients to fill out forms or contact healthcare authorities manually, mobile apps streamline the process by enabling direct reporting through smartphones. These apps enhance patient engagement by offering user-friendly interfaces, guided reporting templates, and instant feedback mechanisms.</w:t>
      </w:r>
    </w:p>
    <w:p w14:paraId="4779281B" w14:textId="5461AFEB"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lastRenderedPageBreak/>
        <w:t>Many regulatory agencies and pharmaceutical companies have developed dedicated pharmacovigilance apps to encourage proactive reporting. For example, the FDA</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 xml:space="preserve">s </w:t>
      </w:r>
      <w:proofErr w:type="spellStart"/>
      <w:r w:rsidRPr="004C15F6">
        <w:rPr>
          <w:rStyle w:val="MSGENFONTSTYLENAMETEMPLATEROLELEVELMSGENFONTSTYLENAMEBYROLEHEADING41"/>
          <w:color w:val="auto"/>
          <w:sz w:val="20"/>
          <w:szCs w:val="20"/>
        </w:rPr>
        <w:t>MedWatcher</w:t>
      </w:r>
      <w:proofErr w:type="spellEnd"/>
      <w:r w:rsidRPr="004C15F6">
        <w:rPr>
          <w:rStyle w:val="MSGENFONTSTYLENAMETEMPLATEROLELEVELMSGENFONTSTYLENAMEBYROLEHEADING41"/>
          <w:color w:val="auto"/>
          <w:sz w:val="20"/>
          <w:szCs w:val="20"/>
        </w:rPr>
        <w:t xml:space="preserve"> app and the Yellow Card Scheme app by the UK</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 xml:space="preserve">s Medicines and Healthcare Products Regulatory Agency (MHRA) allow users to report suspected AEs directly. These apps enable patients to submit detailed accounts of their experiences, attach photos, and even provide location-based data </w:t>
      </w:r>
      <w:r w:rsidR="00D77AC8">
        <w:rPr>
          <w:rStyle w:val="MSGENFONTSTYLENAMETEMPLATEROLELEVELMSGENFONTSTYLENAMEBYROLEHEADING41"/>
          <w:color w:val="auto"/>
          <w:sz w:val="20"/>
          <w:szCs w:val="20"/>
        </w:rPr>
        <w:t>to track regional drug safety concerns better</w:t>
      </w:r>
      <w:r w:rsidRPr="004C15F6">
        <w:rPr>
          <w:rStyle w:val="MSGENFONTSTYLENAMETEMPLATEROLELEVELMSGENFONTSTYLENAMEBYROLEHEADING41"/>
          <w:color w:val="auto"/>
          <w:sz w:val="20"/>
          <w:szCs w:val="20"/>
        </w:rPr>
        <w:t>. By making AE reporting more accessible, mobile apps help bridge the gap between patients and regulatory authorities, increasing the volume of reported cases and improving post-marketing surveillance.</w:t>
      </w:r>
    </w:p>
    <w:p w14:paraId="5A1D746B" w14:textId="45B60F7C"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 xml:space="preserve">Moreover, </w:t>
      </w:r>
      <w:r w:rsidR="00D77AC8">
        <w:rPr>
          <w:rStyle w:val="MSGENFONTSTYLENAMETEMPLATEROLELEVELMSGENFONTSTYLENAMEBYROLEHEADING41"/>
          <w:color w:val="auto"/>
          <w:sz w:val="20"/>
          <w:szCs w:val="20"/>
        </w:rPr>
        <w:t>using</w:t>
      </w:r>
      <w:r w:rsidRPr="004C15F6">
        <w:rPr>
          <w:rStyle w:val="MSGENFONTSTYLENAMETEMPLATEROLELEVELMSGENFONTSTYLENAMEBYROLEHEADING41"/>
          <w:color w:val="auto"/>
          <w:sz w:val="20"/>
          <w:szCs w:val="20"/>
        </w:rPr>
        <w:t xml:space="preserve"> AI-driven chatbots and automated assistants within pharmacovigilance apps can further enhance data collection and accuracy. AI-powered systems can guide users through the reporting process by asking relevant questions, ensuring that essential details such as symptom onset, medication dosage, and concurrent treatments are accurately captured. These innovations reduce the </w:t>
      </w:r>
      <w:r w:rsidR="00D77AC8">
        <w:rPr>
          <w:rStyle w:val="MSGENFONTSTYLENAMETEMPLATEROLELEVELMSGENFONTSTYLENAMEBYROLEHEADING41"/>
          <w:color w:val="auto"/>
          <w:sz w:val="20"/>
          <w:szCs w:val="20"/>
        </w:rPr>
        <w:t>patient burden</w:t>
      </w:r>
      <w:r w:rsidRPr="004C15F6">
        <w:rPr>
          <w:rStyle w:val="MSGENFONTSTYLENAMETEMPLATEROLELEVELMSGENFONTSTYLENAMEBYROLEHEADING41"/>
          <w:color w:val="auto"/>
          <w:sz w:val="20"/>
          <w:szCs w:val="20"/>
        </w:rPr>
        <w:t xml:space="preserve"> while improving the quality of data submitted, ultimately leading to more effective drug safety monitoring.</w:t>
      </w:r>
    </w:p>
    <w:p w14:paraId="37080031" w14:textId="77777777"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Despite these advancements, challenges remain in ensuring the security and reliability of data collected through mobile apps. Regulatory frameworks must establish clear guidelines on data privacy, security encryption, and standardization to ensure that mobile pharmacovigilance tools comply with global safety standards. Addressing these challenges will be key to maximizing the potential of mobile apps in AE reporting.</w:t>
      </w:r>
    </w:p>
    <w:p w14:paraId="0DF2334A" w14:textId="77777777"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b/>
          <w:bCs/>
          <w:color w:val="auto"/>
          <w:sz w:val="20"/>
          <w:szCs w:val="20"/>
        </w:rPr>
      </w:pPr>
      <w:r w:rsidRPr="004C15F6">
        <w:rPr>
          <w:rStyle w:val="MSGENFONTSTYLENAMETEMPLATEROLELEVELMSGENFONTSTYLENAMEBYROLEHEADING41"/>
          <w:b/>
          <w:bCs/>
          <w:color w:val="auto"/>
          <w:sz w:val="20"/>
          <w:szCs w:val="20"/>
        </w:rPr>
        <w:t>4.2. Global Regulatory Perspectives on Digital AE Reporting</w:t>
      </w:r>
    </w:p>
    <w:p w14:paraId="49ABD22E" w14:textId="19559891"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As digital AE reporting gains traction, regulatory agencies worldwide are adapting their guidelines to incorporate technological advancements in pharmacovigilance. The shift towards digital reporting is driven by the increasing recognition that traditional systems, which rely heavily on healthcare professionals</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 xml:space="preserve"> reports, are often insufficient in capturing the full spectrum of AEs. By leveraging digital tools, regulatory agencies can improve the efficiency of pharmacovigilance programs and enhance post-market drug safety monitoring.</w:t>
      </w:r>
    </w:p>
    <w:p w14:paraId="41904295" w14:textId="72E38496"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The U.S. Food and Drug Administration (FDA) has taken significant steps toward integrating digital pharmacovigilance solutions. The agency has issued guidance on using real-world data (RWD) and real-world evidence (RWE) to support drug safety evaluations. It has also encouraged pharmaceutical companies to explore social media listening tools and AI-based analytics for signal detection. Similarly, the European Medicines Agency (EMA) has launched initiatives such as the Innovative Medicines Initiative (IMI), which aims to incorporate digital reporting mechanisms into existing pharmacovigilance systems. The EMA has also emphasized harmonizing digital reporting standards across European member states to ensure consistent AE monitoring.</w:t>
      </w:r>
    </w:p>
    <w:p w14:paraId="56572006" w14:textId="553BD191"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In Asia, regulatory bodies in countries such as Japan, China, and India have started implementing digital pharmacovigilance frameworks. Japan</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s Pharmaceuticals and Medical Devices Agency (PMDA) has adopted AI-driven monitoring systems to detect emerging safety concerns from online discussions and healthcare databases. China</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s National Medical Products Administration (NMPA) has integrated digital AE reporting with electronic health records (EHRs), allowing real-time data exchange between healthcare providers and regulators. These global efforts highlight the increasing acceptance of digital tools in pharmacovigilance and the need for international collaboration to standardize AE reporting practices.</w:t>
      </w:r>
    </w:p>
    <w:p w14:paraId="50E98DF3" w14:textId="5DDBD308"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 xml:space="preserve">Despite these advancements, differences in regulatory requirements across regions remain a challenge. Some agencies mandate stringent verification processes before accepting digital AE reports, while others allow unstructured data collection from social media and mobile platforms. Establishing global guidelines for digital pharmacovigilance, including data validation protocols and interoperability standards, will </w:t>
      </w:r>
      <w:r w:rsidR="00D77AC8">
        <w:rPr>
          <w:rStyle w:val="MSGENFONTSTYLENAMETEMPLATEROLELEVELMSGENFONTSTYLENAMEBYROLEHEADING41"/>
          <w:color w:val="auto"/>
          <w:sz w:val="20"/>
          <w:szCs w:val="20"/>
        </w:rPr>
        <w:t>ensure</w:t>
      </w:r>
      <w:r w:rsidRPr="004C15F6">
        <w:rPr>
          <w:rStyle w:val="MSGENFONTSTYLENAMETEMPLATEROLELEVELMSGENFONTSTYLENAMEBYROLEHEADING41"/>
          <w:color w:val="auto"/>
          <w:sz w:val="20"/>
          <w:szCs w:val="20"/>
        </w:rPr>
        <w:t xml:space="preserve"> a seamless and effective AE reporting system.</w:t>
      </w:r>
    </w:p>
    <w:p w14:paraId="2AF78B34" w14:textId="77777777"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b/>
          <w:bCs/>
          <w:color w:val="auto"/>
          <w:sz w:val="20"/>
          <w:szCs w:val="20"/>
        </w:rPr>
      </w:pPr>
      <w:r w:rsidRPr="004C15F6">
        <w:rPr>
          <w:rStyle w:val="MSGENFONTSTYLENAMETEMPLATEROLELEVELMSGENFONTSTYLENAMEBYROLEHEADING41"/>
          <w:b/>
          <w:bCs/>
          <w:color w:val="auto"/>
          <w:sz w:val="20"/>
          <w:szCs w:val="20"/>
        </w:rPr>
        <w:t>4.3. Integrating Digital Pharmacovigilance with Traditional Systems</w:t>
      </w:r>
    </w:p>
    <w:p w14:paraId="75983ACC" w14:textId="67399D50" w:rsid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While digital pharmacovigilance tools offer numerous advantages, they cannot entirely replace traditional AE reporting systems. Instead, the most effective approach involves integrating digital solutions with conventional methods to create a comprehensive and reliable pharmacovigilance framework. This hybrid model ensures that structured reports from healthcare professionals and unstructured digital data from social media and mobile apps contribute to drug safety assessments.</w:t>
      </w:r>
    </w:p>
    <w:p w14:paraId="28998F6F" w14:textId="6D9AD065"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 xml:space="preserve">One approach to integration is </w:t>
      </w:r>
      <w:r w:rsidR="00D77AC8">
        <w:rPr>
          <w:rStyle w:val="MSGENFONTSTYLENAMETEMPLATEROLELEVELMSGENFONTSTYLENAMEBYROLEHEADING41"/>
          <w:color w:val="auto"/>
          <w:sz w:val="20"/>
          <w:szCs w:val="20"/>
        </w:rPr>
        <w:t>incorporating</w:t>
      </w:r>
      <w:r w:rsidRPr="004C15F6">
        <w:rPr>
          <w:rStyle w:val="MSGENFONTSTYLENAMETEMPLATEROLELEVELMSGENFONTSTYLENAMEBYROLEHEADING41"/>
          <w:color w:val="auto"/>
          <w:sz w:val="20"/>
          <w:szCs w:val="20"/>
        </w:rPr>
        <w:t xml:space="preserve"> digital data analytics into existing pharmacovigilance databases. By utilizing machine learning algorithms, regulatory agencies</w:t>
      </w:r>
      <w:r w:rsidR="00D77AC8">
        <w:rPr>
          <w:rStyle w:val="MSGENFONTSTYLENAMETEMPLATEROLELEVELMSGENFONTSTYLENAMEBYROLEHEADING41"/>
          <w:color w:val="auto"/>
          <w:sz w:val="20"/>
          <w:szCs w:val="20"/>
        </w:rPr>
        <w:t>,</w:t>
      </w:r>
      <w:r w:rsidRPr="004C15F6">
        <w:rPr>
          <w:rStyle w:val="MSGENFONTSTYLENAMETEMPLATEROLELEVELMSGENFONTSTYLENAMEBYROLEHEADING41"/>
          <w:color w:val="auto"/>
          <w:sz w:val="20"/>
          <w:szCs w:val="20"/>
        </w:rPr>
        <w:t xml:space="preserve"> and pharmaceutical companies can analyze vast amounts of digital AE reports, identifying trends and patterns that might not be immediately evident in traditional reporting systems. AI-powered signal detection tools can flag potential safety concerns, allowing regulatory bodies to initiate further investigations and take timely action.</w:t>
      </w:r>
    </w:p>
    <w:p w14:paraId="42C60D6B" w14:textId="539E5881"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lastRenderedPageBreak/>
        <w:t>Additionally, linking mobile AE reporting apps with electronic health records (EHRs) can improve the accuracy and credibility of patient-reported AEs. Healthcare providers can cross-reference patient-submitted data with clinical records, verifying medication histories and identifying potential drug interactions. This integration ensures that AE reports are based on verifiable medical information rather than self-reported symptoms alone, improving the reliability of pharmacovigilance efforts.</w:t>
      </w:r>
    </w:p>
    <w:p w14:paraId="42FD87C8" w14:textId="6C498DFC"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 xml:space="preserve">Pharmaceutical companies can also benefit from integrating digital pharmacovigilance tools with their internal safety monitoring systems. </w:t>
      </w:r>
      <w:r w:rsidR="00D77AC8">
        <w:rPr>
          <w:rStyle w:val="MSGENFONTSTYLENAMETEMPLATEROLELEVELMSGENFONTSTYLENAMEBYROLEHEADING41"/>
          <w:color w:val="auto"/>
          <w:sz w:val="20"/>
          <w:szCs w:val="20"/>
        </w:rPr>
        <w:t>Companies can gain a holistic view of drug safety profiles by combining data from clinical trials, post-marketing surveillance, and social media monitoring</w:t>
      </w:r>
      <w:r w:rsidRPr="004C15F6">
        <w:rPr>
          <w:rStyle w:val="MSGENFONTSTYLENAMETEMPLATEROLELEVELMSGENFONTSTYLENAMEBYROLEHEADING41"/>
          <w:color w:val="auto"/>
          <w:sz w:val="20"/>
          <w:szCs w:val="20"/>
        </w:rPr>
        <w:t>. Advanced analytics platforms can generate real-time safety reports, allowing for proactive risk management and quicker response to emerging safety concerns.</w:t>
      </w:r>
    </w:p>
    <w:p w14:paraId="508925DB" w14:textId="77777777"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Despite these potential benefits, integrating digital pharmacovigilance with traditional systems presents logistical and technical challenges. Ensuring data compatibility between diverse digital sources and legacy systems requires the development of standardized data exchange formats and interoperability protocols. Moreover, adequate training for healthcare professionals and regulatory personnel is essential to facilitate the seamless adoption of digital pharmacovigilance tools.</w:t>
      </w:r>
    </w:p>
    <w:p w14:paraId="59A6E021" w14:textId="77777777" w:rsidR="004C15F6" w:rsidRPr="004C15F6" w:rsidRDefault="004C15F6" w:rsidP="004C15F6">
      <w:pPr>
        <w:pStyle w:val="MSGENFONTSTYLENAMETEMPLATEROLELEVELMSGENFONTSTYLENAMEBYROLEHEADING310"/>
        <w:keepNext/>
        <w:keepLines/>
        <w:spacing w:line="271" w:lineRule="auto"/>
        <w:rPr>
          <w:rStyle w:val="MSGENFONTSTYLENAMETEMPLATEROLELEVELMSGENFONTSTYLENAMEBYROLEHEADING41"/>
          <w:b/>
          <w:bCs/>
          <w:color w:val="auto"/>
          <w:sz w:val="20"/>
          <w:szCs w:val="20"/>
        </w:rPr>
      </w:pPr>
      <w:r w:rsidRPr="004C15F6">
        <w:rPr>
          <w:rStyle w:val="MSGENFONTSTYLENAMETEMPLATEROLELEVELMSGENFONTSTYLENAMEBYROLEHEADING41"/>
          <w:b/>
          <w:bCs/>
          <w:color w:val="auto"/>
          <w:sz w:val="20"/>
          <w:szCs w:val="20"/>
        </w:rPr>
        <w:t>Conclusion</w:t>
      </w:r>
    </w:p>
    <w:p w14:paraId="70435FA1" w14:textId="71F13F62" w:rsidR="009C1FB3" w:rsidRPr="004C15F6" w:rsidRDefault="004C15F6" w:rsidP="004C15F6">
      <w:pPr>
        <w:pStyle w:val="MSGENFONTSTYLENAMETEMPLATEROLELEVELMSGENFONTSTYLENAMEBYROLEHEADING310"/>
        <w:keepNext/>
        <w:keepLines/>
        <w:spacing w:line="271" w:lineRule="auto"/>
        <w:jc w:val="both"/>
        <w:rPr>
          <w:rStyle w:val="MSGENFONTSTYLENAMETEMPLATEROLELEVELMSGENFONTSTYLENAMEBYROLEHEADING41"/>
          <w:color w:val="auto"/>
          <w:sz w:val="20"/>
          <w:szCs w:val="20"/>
        </w:rPr>
      </w:pPr>
      <w:r w:rsidRPr="004C15F6">
        <w:rPr>
          <w:rStyle w:val="MSGENFONTSTYLENAMETEMPLATEROLELEVELMSGENFONTSTYLENAMEBYROLEHEADING41"/>
          <w:color w:val="auto"/>
          <w:sz w:val="20"/>
          <w:szCs w:val="20"/>
        </w:rPr>
        <w:t>Leveraging technology for improved pharmacovigilance represents a transformative shift in drug safety monitoring. Mobile applications enhance patient engagement by simplifying AE reporting, while global regulatory agencies are progressively embracing digital solutions to improve data collection and signal detection. Integrating digital pharmacovigilance tools with traditional systems can create a more efficient and comprehensive AE reporting framework. However, challenges such as data validation, regulatory harmonization, and system interoperability must be addressed to maximize the benefits of digital AE reporting. By investing in advanced technologies, refining regulatory guidelines, and fostering collaboration between stakeholders, the future of pharmacovigilance can be significantly improved, ultimately leading to safer and more effective medications for patients worldwide.</w:t>
      </w:r>
    </w:p>
    <w:p w14:paraId="20C05486" w14:textId="167D042D" w:rsidR="00293520" w:rsidRPr="00293520" w:rsidRDefault="00293520" w:rsidP="00E2664C">
      <w:pPr>
        <w:jc w:val="both"/>
        <w:rPr>
          <w:rStyle w:val="MSGENFONTSTYLENAMETEMPLATEROLEMSGENFONTSTYLENAMEBYROLETEXT1"/>
          <w:rFonts w:asciiTheme="majorBidi" w:hAnsiTheme="majorBidi" w:cstheme="majorBidi"/>
          <w:color w:val="auto"/>
        </w:rPr>
      </w:pPr>
    </w:p>
    <w:p w14:paraId="0D77542D" w14:textId="77777777" w:rsidR="00293520" w:rsidRPr="00293520" w:rsidRDefault="00293520" w:rsidP="008F6D8A">
      <w:pPr>
        <w:jc w:val="both"/>
        <w:rPr>
          <w:rStyle w:val="MSGENFONTSTYLENAMETEMPLATEROLEMSGENFONTSTYLENAMEBYROLETEXT1"/>
          <w:rFonts w:asciiTheme="majorBidi" w:hAnsiTheme="majorBidi" w:cstheme="majorBidi"/>
          <w:color w:val="auto"/>
        </w:rPr>
      </w:pPr>
    </w:p>
    <w:p w14:paraId="1F973549" w14:textId="3C0ABC81" w:rsidR="00E30FF0" w:rsidRPr="00307EEC" w:rsidRDefault="004D419A" w:rsidP="008F6D8A">
      <w:pPr>
        <w:pStyle w:val="MSGENFONTSTYLENAMETEMPLATEROLELEVELMSGENFONTSTYLENAMEBYROLEHEADING310"/>
        <w:keepNext/>
        <w:keepLines/>
        <w:spacing w:line="271" w:lineRule="auto"/>
        <w:jc w:val="both"/>
        <w:rPr>
          <w:rFonts w:asciiTheme="majorBidi" w:hAnsiTheme="majorBidi" w:cstheme="majorBidi"/>
          <w:color w:val="auto"/>
        </w:rPr>
      </w:pPr>
      <w:bookmarkStart w:id="3" w:name="bookmark36"/>
      <w:r w:rsidRPr="00307EEC">
        <w:rPr>
          <w:rStyle w:val="MSGENFONTSTYLENAMETEMPLATEROLELEVELMSGENFONTSTYLENAMEBYROLEHEADING31"/>
          <w:rFonts w:asciiTheme="majorBidi" w:hAnsiTheme="majorBidi" w:cstheme="majorBidi"/>
          <w:b/>
          <w:bCs/>
          <w:color w:val="auto"/>
        </w:rPr>
        <w:t>REFERENCES</w:t>
      </w:r>
      <w:bookmarkEnd w:id="3"/>
    </w:p>
    <w:p w14:paraId="10106880" w14:textId="18FBA046" w:rsidR="00314A75" w:rsidRPr="00DA0314" w:rsidRDefault="00307EEC" w:rsidP="00DA0314">
      <w:pPr>
        <w:pStyle w:val="MSGENFONTSTYLENAMETEMPLATEROLEMSGENFONTSTYLENAMEBYROLETEXT10"/>
        <w:numPr>
          <w:ilvl w:val="0"/>
          <w:numId w:val="4"/>
        </w:numPr>
        <w:tabs>
          <w:tab w:val="left" w:pos="502"/>
        </w:tabs>
        <w:spacing w:line="271" w:lineRule="auto"/>
        <w:ind w:left="778" w:hanging="504"/>
        <w:jc w:val="both"/>
      </w:pPr>
      <w:r w:rsidRPr="00DA0314">
        <w:t>R. S. Smith et al.</w:t>
      </w:r>
      <w:r w:rsidR="009C1FB3" w:rsidRPr="00DA0314">
        <w:t xml:space="preserve"> (2019)</w:t>
      </w:r>
      <w:r w:rsidRPr="00DA0314">
        <w:t>, "Pharmacovigilance in Oncology: Challenges and Opportunities in Managing Cancer Treatment Safety," in Journal of Cancer Therapy.</w:t>
      </w:r>
    </w:p>
    <w:p w14:paraId="709BF62B" w14:textId="77777777" w:rsidR="006A06B9" w:rsidRPr="006A06B9" w:rsidRDefault="006A06B9" w:rsidP="006A06B9">
      <w:pPr>
        <w:pStyle w:val="MSGENFONTSTYLENAMETEMPLATEROLEMSGENFONTSTYLENAMEBYROLETEXT10"/>
        <w:numPr>
          <w:ilvl w:val="0"/>
          <w:numId w:val="4"/>
        </w:numPr>
        <w:tabs>
          <w:tab w:val="left" w:pos="502"/>
        </w:tabs>
        <w:spacing w:line="271" w:lineRule="auto"/>
        <w:ind w:left="778" w:hanging="504"/>
        <w:jc w:val="both"/>
        <w:rPr>
          <w:rFonts w:asciiTheme="majorBidi" w:hAnsiTheme="majorBidi" w:cstheme="majorBidi"/>
          <w:color w:val="auto"/>
        </w:rPr>
      </w:pPr>
      <w:r w:rsidRPr="006A06B9">
        <w:rPr>
          <w:rFonts w:asciiTheme="majorBidi" w:hAnsiTheme="majorBidi" w:cstheme="majorBidi"/>
          <w:color w:val="auto"/>
        </w:rPr>
        <w:t>Golder, S., "Patient Experiences of Adverse Drug Reactions on Social Media," in Pharmacoepidemiology and Drug Safety, 2019.</w:t>
      </w:r>
    </w:p>
    <w:p w14:paraId="6C8AA99B" w14:textId="77777777" w:rsidR="006A06B9" w:rsidRPr="006A06B9" w:rsidRDefault="006A06B9" w:rsidP="006A06B9">
      <w:pPr>
        <w:pStyle w:val="MSGENFONTSTYLENAMETEMPLATEROLEMSGENFONTSTYLENAMEBYROLETEXT10"/>
        <w:numPr>
          <w:ilvl w:val="0"/>
          <w:numId w:val="4"/>
        </w:numPr>
        <w:tabs>
          <w:tab w:val="left" w:pos="502"/>
        </w:tabs>
        <w:spacing w:line="271" w:lineRule="auto"/>
        <w:ind w:left="778" w:hanging="504"/>
        <w:jc w:val="both"/>
        <w:rPr>
          <w:rFonts w:asciiTheme="majorBidi" w:hAnsiTheme="majorBidi" w:cstheme="majorBidi"/>
          <w:color w:val="auto"/>
        </w:rPr>
      </w:pPr>
      <w:r w:rsidRPr="006A06B9">
        <w:rPr>
          <w:rFonts w:asciiTheme="majorBidi" w:hAnsiTheme="majorBidi" w:cstheme="majorBidi"/>
          <w:color w:val="auto"/>
        </w:rPr>
        <w:t>Patel, C., "Regulatory Approaches to Digital Pharmacovigilance: Mobile and Social Media Applications," in Drug Safety Journal, 2019.</w:t>
      </w:r>
    </w:p>
    <w:p w14:paraId="1E9985AA" w14:textId="77777777" w:rsidR="006A06B9" w:rsidRPr="006A06B9" w:rsidRDefault="006A06B9" w:rsidP="006A06B9">
      <w:pPr>
        <w:pStyle w:val="MSGENFONTSTYLENAMETEMPLATEROLEMSGENFONTSTYLENAMEBYROLETEXT10"/>
        <w:numPr>
          <w:ilvl w:val="0"/>
          <w:numId w:val="4"/>
        </w:numPr>
        <w:tabs>
          <w:tab w:val="left" w:pos="502"/>
        </w:tabs>
        <w:spacing w:line="271" w:lineRule="auto"/>
        <w:ind w:left="778" w:hanging="504"/>
        <w:jc w:val="both"/>
        <w:rPr>
          <w:rFonts w:asciiTheme="majorBidi" w:hAnsiTheme="majorBidi" w:cstheme="majorBidi"/>
          <w:color w:val="auto"/>
        </w:rPr>
      </w:pPr>
      <w:r w:rsidRPr="006A06B9">
        <w:rPr>
          <w:rFonts w:asciiTheme="majorBidi" w:hAnsiTheme="majorBidi" w:cstheme="majorBidi"/>
          <w:color w:val="auto"/>
        </w:rPr>
        <w:t>Pappa, D., "Challenges in Social Media-Based Pharmacovigilance: Data Quality and Verification," in Frontiers in Pharmacology, 2018.</w:t>
      </w:r>
    </w:p>
    <w:p w14:paraId="08405F98" w14:textId="303035B2" w:rsidR="006A06B9" w:rsidRDefault="006A06B9" w:rsidP="006A06B9">
      <w:pPr>
        <w:pStyle w:val="MSGENFONTSTYLENAMETEMPLATEROLEMSGENFONTSTYLENAMEBYROLETEXT10"/>
        <w:numPr>
          <w:ilvl w:val="0"/>
          <w:numId w:val="4"/>
        </w:numPr>
        <w:tabs>
          <w:tab w:val="left" w:pos="502"/>
        </w:tabs>
        <w:spacing w:line="271" w:lineRule="auto"/>
        <w:ind w:left="778" w:hanging="504"/>
        <w:jc w:val="both"/>
        <w:rPr>
          <w:rFonts w:asciiTheme="majorBidi" w:hAnsiTheme="majorBidi" w:cstheme="majorBidi"/>
          <w:color w:val="auto"/>
        </w:rPr>
      </w:pPr>
      <w:proofErr w:type="spellStart"/>
      <w:r w:rsidRPr="006A06B9">
        <w:rPr>
          <w:rFonts w:asciiTheme="majorBidi" w:hAnsiTheme="majorBidi" w:cstheme="majorBidi"/>
          <w:color w:val="auto"/>
        </w:rPr>
        <w:t>Vayena</w:t>
      </w:r>
      <w:proofErr w:type="spellEnd"/>
      <w:r w:rsidRPr="006A06B9">
        <w:rPr>
          <w:rFonts w:asciiTheme="majorBidi" w:hAnsiTheme="majorBidi" w:cstheme="majorBidi"/>
          <w:color w:val="auto"/>
        </w:rPr>
        <w:t>, E., "Ethical and Privacy Considerations in Digital Pharmacovigilance," Journal of Medical Ethics, 2019.</w:t>
      </w:r>
    </w:p>
    <w:p w14:paraId="3089857F" w14:textId="26D3256A" w:rsidR="00D77AC8" w:rsidRDefault="00D77AC8" w:rsidP="00D77AC8">
      <w:pPr>
        <w:pStyle w:val="MSGENFONTSTYLENAMETEMPLATEROLEMSGENFONTSTYLENAMEBYROLETEXT10"/>
        <w:tabs>
          <w:tab w:val="left" w:pos="502"/>
        </w:tabs>
        <w:spacing w:line="271" w:lineRule="auto"/>
        <w:jc w:val="both"/>
        <w:rPr>
          <w:rFonts w:asciiTheme="majorBidi" w:hAnsiTheme="majorBidi" w:cstheme="majorBidi"/>
          <w:color w:val="auto"/>
        </w:rPr>
      </w:pPr>
    </w:p>
    <w:p w14:paraId="0D4F29E7" w14:textId="24925D51" w:rsidR="00D77AC8" w:rsidRDefault="00D77AC8" w:rsidP="00D77AC8">
      <w:pPr>
        <w:pStyle w:val="MSGENFONTSTYLENAMETEMPLATEROLEMSGENFONTSTYLENAMEBYROLETEXT10"/>
        <w:tabs>
          <w:tab w:val="left" w:pos="502"/>
        </w:tabs>
        <w:spacing w:line="271" w:lineRule="auto"/>
        <w:jc w:val="both"/>
        <w:rPr>
          <w:rFonts w:asciiTheme="majorBidi" w:hAnsiTheme="majorBidi" w:cstheme="majorBidi"/>
          <w:color w:val="auto"/>
        </w:rPr>
      </w:pPr>
    </w:p>
    <w:p w14:paraId="3938D5A5" w14:textId="1516BE61" w:rsidR="00D77AC8" w:rsidRPr="00307EEC" w:rsidRDefault="00D77AC8" w:rsidP="00D77AC8">
      <w:pPr>
        <w:pStyle w:val="MSGENFONTSTYLENAMETEMPLATEROLEMSGENFONTSTYLENAMEBYROLETEXT10"/>
        <w:tabs>
          <w:tab w:val="left" w:pos="502"/>
        </w:tabs>
        <w:spacing w:line="271" w:lineRule="auto"/>
        <w:jc w:val="both"/>
        <w:rPr>
          <w:rFonts w:asciiTheme="majorBidi" w:hAnsiTheme="majorBidi" w:cstheme="majorBidi"/>
          <w:color w:val="auto"/>
        </w:rPr>
      </w:pPr>
    </w:p>
    <w:sectPr w:rsidR="00D77AC8" w:rsidRPr="00307EEC">
      <w:type w:val="continuous"/>
      <w:pgSz w:w="11900" w:h="16840"/>
      <w:pgMar w:top="1023" w:right="1290" w:bottom="1642" w:left="12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4997" w14:textId="77777777" w:rsidR="006607C0" w:rsidRDefault="006607C0">
      <w:r>
        <w:separator/>
      </w:r>
    </w:p>
  </w:endnote>
  <w:endnote w:type="continuationSeparator" w:id="0">
    <w:p w14:paraId="20530576" w14:textId="77777777" w:rsidR="006607C0" w:rsidRDefault="0066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235F" w14:textId="77777777" w:rsidR="00E30FF0" w:rsidRDefault="004D419A">
    <w:pPr>
      <w:spacing w:line="1" w:lineRule="exact"/>
    </w:pPr>
    <w:r>
      <w:rPr>
        <w:noProof/>
      </w:rPr>
      <mc:AlternateContent>
        <mc:Choice Requires="wps">
          <w:drawing>
            <wp:anchor distT="0" distB="0" distL="0" distR="0" simplePos="0" relativeHeight="62914692" behindDoc="1" locked="0" layoutInCell="1" allowOverlap="1" wp14:anchorId="04C4931A" wp14:editId="044BFE6D">
              <wp:simplePos x="0" y="0"/>
              <wp:positionH relativeFrom="page">
                <wp:posOffset>3719830</wp:posOffset>
              </wp:positionH>
              <wp:positionV relativeFrom="page">
                <wp:posOffset>10090150</wp:posOffset>
              </wp:positionV>
              <wp:extent cx="11557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88265"/>
                      </a:xfrm>
                      <a:prstGeom prst="rect">
                        <a:avLst/>
                      </a:prstGeom>
                      <a:noFill/>
                    </wps:spPr>
                    <wps:txbx>
                      <w:txbxContent>
                        <w:p w14:paraId="27811EA3" w14:textId="77777777" w:rsidR="00E30FF0" w:rsidRDefault="004D419A">
                          <w:pPr>
                            <w:pStyle w:val="MSGENFONTSTYLENAMETEMPLATEROLEMSGENFONTSTYLENAMEBYROLERUNNINGTITLE20"/>
                          </w:pPr>
                          <w:r>
                            <w:fldChar w:fldCharType="begin"/>
                          </w:r>
                          <w:r>
                            <w:instrText xml:space="preserve"> PAGE \* MERGEFORMAT </w:instrText>
                          </w:r>
                          <w:r>
                            <w:fldChar w:fldCharType="separate"/>
                          </w:r>
                          <w:r>
                            <w:rPr>
                              <w:rStyle w:val="MSGENFONTSTYLENAMETEMPLATEROLEMSGENFONTSTYLENAMEBYROLERUNNINGTITLE2"/>
                            </w:rPr>
                            <w:t>#</w:t>
                          </w:r>
                          <w:r>
                            <w:rPr>
                              <w:rStyle w:val="MSGENFONTSTYLENAMETEMPLATEROLEMSGENFONTSTYLENAMEBYROLERUNNINGTITLE2"/>
                            </w:rPr>
                            <w:fldChar w:fldCharType="end"/>
                          </w:r>
                        </w:p>
                      </w:txbxContent>
                    </wps:txbx>
                    <wps:bodyPr wrap="none" lIns="0" tIns="0" rIns="0" bIns="0">
                      <a:spAutoFit/>
                    </wps:bodyPr>
                  </wps:wsp>
                </a:graphicData>
              </a:graphic>
            </wp:anchor>
          </w:drawing>
        </mc:Choice>
        <mc:Fallback>
          <w:pict>
            <v:shapetype w14:anchorId="04C4931A" id="_x0000_t202" coordsize="21600,21600" o:spt="202" path="m,l,21600r21600,l21600,xe">
              <v:stroke joinstyle="miter"/>
              <v:path gradientshapeok="t" o:connecttype="rect"/>
            </v:shapetype>
            <v:shape id="Shape 3" o:spid="_x0000_s1026" type="#_x0000_t202" style="position:absolute;margin-left:292.9pt;margin-top:794.5pt;width:9.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" filled="f" stroked="f">
              <v:textbox style="mso-fit-shape-to-text:t" inset="0,0,0,0">
                <w:txbxContent>
                  <w:p w14:paraId="27811EA3" w14:textId="77777777" w:rsidR="00E30FF0" w:rsidRDefault="004D419A">
                    <w:pPr>
                      <w:pStyle w:val="MSGENFONTSTYLENAMETEMPLATEROLEMSGENFONTSTYLENAMEBYROLERUNNINGTITLE20"/>
                    </w:pPr>
                    <w:r>
                      <w:fldChar w:fldCharType="begin"/>
                    </w:r>
                    <w:r>
                      <w:instrText xml:space="preserve"> PAGE \* MERGEFORMAT </w:instrText>
                    </w:r>
                    <w:r>
                      <w:fldChar w:fldCharType="separate"/>
                    </w:r>
                    <w:r>
                      <w:rPr>
                        <w:rStyle w:val="MSGENFONTSTYLENAMETEMPLATEROLEMSGENFONTSTYLENAMEBYROLERUNNINGTITLE2"/>
                      </w:rPr>
                      <w:t>#</w:t>
                    </w:r>
                    <w:r>
                      <w:rPr>
                        <w:rStyle w:val="MSGENFONTSTYLENAMETEMPLATEROLEMSGENFONTSTYLENAMEBYROLERUNNINGTITLE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6B50" w14:textId="77777777" w:rsidR="00E30FF0" w:rsidRDefault="004D419A">
    <w:pPr>
      <w:spacing w:line="1" w:lineRule="exact"/>
    </w:pPr>
    <w:r>
      <w:rPr>
        <w:noProof/>
      </w:rPr>
      <mc:AlternateContent>
        <mc:Choice Requires="wps">
          <w:drawing>
            <wp:anchor distT="0" distB="0" distL="0" distR="0" simplePos="0" relativeHeight="62914694" behindDoc="1" locked="0" layoutInCell="1" allowOverlap="1" wp14:anchorId="726C54FD" wp14:editId="4105735C">
              <wp:simplePos x="0" y="0"/>
              <wp:positionH relativeFrom="page">
                <wp:posOffset>3716020</wp:posOffset>
              </wp:positionH>
              <wp:positionV relativeFrom="page">
                <wp:posOffset>10123170</wp:posOffset>
              </wp:positionV>
              <wp:extent cx="12192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85090"/>
                      </a:xfrm>
                      <a:prstGeom prst="rect">
                        <a:avLst/>
                      </a:prstGeom>
                      <a:noFill/>
                    </wps:spPr>
                    <wps:txbx>
                      <w:txbxContent>
                        <w:p w14:paraId="392BC973" w14:textId="77777777" w:rsidR="00E30FF0" w:rsidRDefault="004D419A">
                          <w:pPr>
                            <w:pStyle w:val="MSGENFONTSTYLENAMETEMPLATEROLEMSGENFONTSTYLENAMEBYROLERUNNINGTITLE20"/>
                          </w:pPr>
                          <w:r>
                            <w:fldChar w:fldCharType="begin"/>
                          </w:r>
                          <w:r>
                            <w:instrText xml:space="preserve"> PAGE \* MERGEFORMAT </w:instrText>
                          </w:r>
                          <w:r>
                            <w:fldChar w:fldCharType="separate"/>
                          </w:r>
                          <w:r>
                            <w:rPr>
                              <w:rStyle w:val="MSGENFONTSTYLENAMETEMPLATEROLEMSGENFONTSTYLENAMEBYROLERUNNINGTITLE2"/>
                            </w:rPr>
                            <w:t>#</w:t>
                          </w:r>
                          <w:r>
                            <w:rPr>
                              <w:rStyle w:val="MSGENFONTSTYLENAMETEMPLATEROLEMSGENFONTSTYLENAMEBYROLERUNNINGTITLE2"/>
                            </w:rPr>
                            <w:fldChar w:fldCharType="end"/>
                          </w:r>
                        </w:p>
                      </w:txbxContent>
                    </wps:txbx>
                    <wps:bodyPr wrap="none" lIns="0" tIns="0" rIns="0" bIns="0">
                      <a:spAutoFit/>
                    </wps:bodyPr>
                  </wps:wsp>
                </a:graphicData>
              </a:graphic>
            </wp:anchor>
          </w:drawing>
        </mc:Choice>
        <mc:Fallback>
          <w:pict>
            <v:shapetype w14:anchorId="726C54FD" id="_x0000_t202" coordsize="21600,21600" o:spt="202" path="m,l,21600r21600,l21600,xe">
              <v:stroke joinstyle="miter"/>
              <v:path gradientshapeok="t" o:connecttype="rect"/>
            </v:shapetype>
            <v:shape id="Shape 5" o:spid="_x0000_s1027" type="#_x0000_t202" style="position:absolute;margin-left:292.6pt;margin-top:797.1pt;width:9.6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" filled="f" stroked="f">
              <v:textbox style="mso-fit-shape-to-text:t" inset="0,0,0,0">
                <w:txbxContent>
                  <w:p w14:paraId="392BC973" w14:textId="77777777" w:rsidR="00E30FF0" w:rsidRDefault="004D419A">
                    <w:pPr>
                      <w:pStyle w:val="MSGENFONTSTYLENAMETEMPLATEROLEMSGENFONTSTYLENAMEBYROLERUNNINGTITLE20"/>
                    </w:pPr>
                    <w:r>
                      <w:fldChar w:fldCharType="begin"/>
                    </w:r>
                    <w:r>
                      <w:instrText xml:space="preserve"> PAGE \* MERGEFORMAT </w:instrText>
                    </w:r>
                    <w:r>
                      <w:fldChar w:fldCharType="separate"/>
                    </w:r>
                    <w:r>
                      <w:rPr>
                        <w:rStyle w:val="MSGENFONTSTYLENAMETEMPLATEROLEMSGENFONTSTYLENAMEBYROLERUNNINGTITLE2"/>
                      </w:rPr>
                      <w:t>#</w:t>
                    </w:r>
                    <w:r>
                      <w:rPr>
                        <w:rStyle w:val="MSGENFONTSTYLENAMETEMPLATEROLEMSGENFONTSTYLENAMEBYROLERUNNINGTITLE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6B76" w14:textId="77777777" w:rsidR="006607C0" w:rsidRDefault="006607C0"/>
  </w:footnote>
  <w:footnote w:type="continuationSeparator" w:id="0">
    <w:p w14:paraId="137965EE" w14:textId="77777777" w:rsidR="006607C0" w:rsidRDefault="00660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CE09" w14:textId="65D0698E" w:rsidR="00E30FF0" w:rsidRDefault="00E30FF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FB49" w14:textId="77777777" w:rsidR="00E30FF0" w:rsidRDefault="00E30FF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485"/>
    <w:multiLevelType w:val="multilevel"/>
    <w:tmpl w:val="33C8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16FF7"/>
    <w:multiLevelType w:val="multilevel"/>
    <w:tmpl w:val="4A4234B0"/>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60BE2"/>
    <w:multiLevelType w:val="multilevel"/>
    <w:tmpl w:val="67106C56"/>
    <w:lvl w:ilvl="0">
      <w:start w:val="5"/>
      <w:numFmt w:val="decimal"/>
      <w:lvlText w:val="%1"/>
      <w:lvlJc w:val="left"/>
      <w:pPr>
        <w:ind w:left="0" w:firstLine="0"/>
      </w:pPr>
      <w:rPr>
        <w:rFonts w:hint="default"/>
      </w:rPr>
    </w:lvl>
    <w:lvl w:ilvl="1">
      <w:start w:val="1"/>
      <w:numFmt w:val="decimal"/>
      <w:lvlText w:val="5.%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0783894"/>
    <w:multiLevelType w:val="multilevel"/>
    <w:tmpl w:val="98F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2785B"/>
    <w:multiLevelType w:val="multilevel"/>
    <w:tmpl w:val="11D0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30398"/>
    <w:multiLevelType w:val="multilevel"/>
    <w:tmpl w:val="19FEA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00E26"/>
    <w:multiLevelType w:val="multilevel"/>
    <w:tmpl w:val="CF98726E"/>
    <w:lvl w:ilvl="0">
      <w:start w:val="1"/>
      <w:numFmt w:val="decimal"/>
      <w:lvlText w:val="%1."/>
      <w:lvlJc w:val="left"/>
      <w:rPr>
        <w:rFonts w:ascii="Times New Roman" w:eastAsia="Times New Roman" w:hAnsi="Times New Roman" w:cs="Times New Roman"/>
        <w:b/>
        <w:bCs/>
        <w:i w:val="0"/>
        <w:iCs w:val="0"/>
        <w:smallCaps w:val="0"/>
        <w:strike w:val="0"/>
        <w:color w:val="030381"/>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25742"/>
    <w:multiLevelType w:val="multilevel"/>
    <w:tmpl w:val="67106C56"/>
    <w:lvl w:ilvl="0">
      <w:start w:val="5"/>
      <w:numFmt w:val="decimal"/>
      <w:lvlText w:val="%1"/>
      <w:lvlJc w:val="left"/>
      <w:pPr>
        <w:ind w:left="0" w:firstLine="0"/>
      </w:pPr>
      <w:rPr>
        <w:rFonts w:hint="default"/>
      </w:rPr>
    </w:lvl>
    <w:lvl w:ilvl="1">
      <w:start w:val="1"/>
      <w:numFmt w:val="decimal"/>
      <w:lvlText w:val="5.%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6C3E47E0"/>
    <w:multiLevelType w:val="multilevel"/>
    <w:tmpl w:val="43EC0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404228">
    <w:abstractNumId w:val="1"/>
  </w:num>
  <w:num w:numId="2" w16cid:durableId="1253507275">
    <w:abstractNumId w:val="7"/>
  </w:num>
  <w:num w:numId="3" w16cid:durableId="1931084336">
    <w:abstractNumId w:val="5"/>
  </w:num>
  <w:num w:numId="4" w16cid:durableId="1765681956">
    <w:abstractNumId w:val="8"/>
  </w:num>
  <w:num w:numId="5" w16cid:durableId="737946684">
    <w:abstractNumId w:val="2"/>
  </w:num>
  <w:num w:numId="6" w16cid:durableId="432166201">
    <w:abstractNumId w:val="0"/>
  </w:num>
  <w:num w:numId="7" w16cid:durableId="1969625630">
    <w:abstractNumId w:val="4"/>
  </w:num>
  <w:num w:numId="8" w16cid:durableId="1900549304">
    <w:abstractNumId w:val="3"/>
  </w:num>
  <w:num w:numId="9" w16cid:durableId="232006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TczNzczMTIyNTRS0lEKTi0uzszPAymwqAUAQgFvPCwAAAA="/>
  </w:docVars>
  <w:rsids>
    <w:rsidRoot w:val="00E30FF0"/>
    <w:rsid w:val="00014952"/>
    <w:rsid w:val="000204EF"/>
    <w:rsid w:val="0002573E"/>
    <w:rsid w:val="00032020"/>
    <w:rsid w:val="0005189E"/>
    <w:rsid w:val="0009589B"/>
    <w:rsid w:val="000B0DD6"/>
    <w:rsid w:val="000B4F0A"/>
    <w:rsid w:val="00134E23"/>
    <w:rsid w:val="00142D1E"/>
    <w:rsid w:val="00171BE3"/>
    <w:rsid w:val="001B6F92"/>
    <w:rsid w:val="001C2147"/>
    <w:rsid w:val="00200422"/>
    <w:rsid w:val="00203FC6"/>
    <w:rsid w:val="00213BE7"/>
    <w:rsid w:val="00233C8D"/>
    <w:rsid w:val="00244D3D"/>
    <w:rsid w:val="00293520"/>
    <w:rsid w:val="002A0A1C"/>
    <w:rsid w:val="002A5B26"/>
    <w:rsid w:val="003029A3"/>
    <w:rsid w:val="00307EEC"/>
    <w:rsid w:val="00314A75"/>
    <w:rsid w:val="00361355"/>
    <w:rsid w:val="003A7934"/>
    <w:rsid w:val="003B6AD8"/>
    <w:rsid w:val="003C234D"/>
    <w:rsid w:val="003C4F86"/>
    <w:rsid w:val="003F2F60"/>
    <w:rsid w:val="00405322"/>
    <w:rsid w:val="0041797D"/>
    <w:rsid w:val="00427D64"/>
    <w:rsid w:val="0046107E"/>
    <w:rsid w:val="004A478A"/>
    <w:rsid w:val="004C15F6"/>
    <w:rsid w:val="004D419A"/>
    <w:rsid w:val="004F5F9B"/>
    <w:rsid w:val="005204D3"/>
    <w:rsid w:val="00547EE3"/>
    <w:rsid w:val="005576D4"/>
    <w:rsid w:val="00582F7A"/>
    <w:rsid w:val="005B359C"/>
    <w:rsid w:val="005D38AA"/>
    <w:rsid w:val="005D79C9"/>
    <w:rsid w:val="005E06F8"/>
    <w:rsid w:val="005E3E19"/>
    <w:rsid w:val="0064711A"/>
    <w:rsid w:val="00647A01"/>
    <w:rsid w:val="006607C0"/>
    <w:rsid w:val="006A06B9"/>
    <w:rsid w:val="006D7BAB"/>
    <w:rsid w:val="006E5402"/>
    <w:rsid w:val="006F6D7C"/>
    <w:rsid w:val="007065D9"/>
    <w:rsid w:val="00741178"/>
    <w:rsid w:val="007452CA"/>
    <w:rsid w:val="007820AC"/>
    <w:rsid w:val="00802FAF"/>
    <w:rsid w:val="00813790"/>
    <w:rsid w:val="00840593"/>
    <w:rsid w:val="00850180"/>
    <w:rsid w:val="0085608A"/>
    <w:rsid w:val="00875012"/>
    <w:rsid w:val="008E2331"/>
    <w:rsid w:val="008F1108"/>
    <w:rsid w:val="008F1EBE"/>
    <w:rsid w:val="008F6D8A"/>
    <w:rsid w:val="0090049C"/>
    <w:rsid w:val="00902D50"/>
    <w:rsid w:val="00961489"/>
    <w:rsid w:val="00965E43"/>
    <w:rsid w:val="0097786A"/>
    <w:rsid w:val="009838A7"/>
    <w:rsid w:val="009956A0"/>
    <w:rsid w:val="009C1FB3"/>
    <w:rsid w:val="00A00B57"/>
    <w:rsid w:val="00A460DC"/>
    <w:rsid w:val="00A63A48"/>
    <w:rsid w:val="00AA1777"/>
    <w:rsid w:val="00B00ECD"/>
    <w:rsid w:val="00B0674D"/>
    <w:rsid w:val="00B07BDA"/>
    <w:rsid w:val="00B30253"/>
    <w:rsid w:val="00B32DDD"/>
    <w:rsid w:val="00B35EFD"/>
    <w:rsid w:val="00B403BC"/>
    <w:rsid w:val="00B475D6"/>
    <w:rsid w:val="00B600DF"/>
    <w:rsid w:val="00B8015B"/>
    <w:rsid w:val="00B82FF5"/>
    <w:rsid w:val="00B86324"/>
    <w:rsid w:val="00B9534F"/>
    <w:rsid w:val="00BA6B92"/>
    <w:rsid w:val="00BC18C3"/>
    <w:rsid w:val="00BC3542"/>
    <w:rsid w:val="00BD10AB"/>
    <w:rsid w:val="00BE1983"/>
    <w:rsid w:val="00C26A14"/>
    <w:rsid w:val="00C5675B"/>
    <w:rsid w:val="00C869BF"/>
    <w:rsid w:val="00C931A3"/>
    <w:rsid w:val="00CC421F"/>
    <w:rsid w:val="00CF4BB8"/>
    <w:rsid w:val="00D31BD9"/>
    <w:rsid w:val="00D40C31"/>
    <w:rsid w:val="00D475EB"/>
    <w:rsid w:val="00D77AC8"/>
    <w:rsid w:val="00DA0314"/>
    <w:rsid w:val="00DC52AB"/>
    <w:rsid w:val="00DD3E8C"/>
    <w:rsid w:val="00E2664C"/>
    <w:rsid w:val="00E30FF0"/>
    <w:rsid w:val="00E33D99"/>
    <w:rsid w:val="00E54613"/>
    <w:rsid w:val="00E64348"/>
    <w:rsid w:val="00E67F26"/>
    <w:rsid w:val="00EA0336"/>
    <w:rsid w:val="00F141DB"/>
    <w:rsid w:val="00F655B9"/>
    <w:rsid w:val="00F83E93"/>
    <w:rsid w:val="00FC0878"/>
    <w:rsid w:val="00FE5E25"/>
    <w:rsid w:val="00FE6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7316"/>
  <w15:docId w15:val="{1CFB0C40-AC55-4853-B30F-63C2A048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link w:val="Heading3Char"/>
    <w:uiPriority w:val="9"/>
    <w:qFormat/>
    <w:rsid w:val="00BA6B92"/>
    <w:pPr>
      <w:widowControl/>
      <w:spacing w:before="100" w:beforeAutospacing="1" w:after="100" w:afterAutospacing="1"/>
      <w:outlineLvl w:val="2"/>
    </w:pPr>
    <w:rPr>
      <w:b/>
      <w:bCs/>
      <w:color w:val="auto"/>
      <w:sz w:val="27"/>
      <w:szCs w:val="27"/>
      <w:lang w:bidi="ar-SA"/>
    </w:rPr>
  </w:style>
  <w:style w:type="paragraph" w:styleId="Heading4">
    <w:name w:val="heading 4"/>
    <w:basedOn w:val="Normal"/>
    <w:next w:val="Normal"/>
    <w:link w:val="Heading4Char"/>
    <w:uiPriority w:val="9"/>
    <w:semiHidden/>
    <w:unhideWhenUsed/>
    <w:qFormat/>
    <w:rsid w:val="004C15F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60D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60D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3">
    <w:name w:val="MSG_EN_FONT_STYLE_NAME_TEMPLATE_ROLE MSG_EN_FONT_STYLE_NAME_BY_ROLE_TEXT|3_"/>
    <w:basedOn w:val="DefaultParagraphFont"/>
    <w:link w:val="MSGENFONTSTYLENAMETEMPLATEROLEMSGENFONTSTYLENAMEBYROLETEXT30"/>
    <w:rPr>
      <w:rFonts w:ascii="Calibri" w:eastAsia="Calibri" w:hAnsi="Calibri" w:cs="Calibri"/>
      <w:b/>
      <w:bCs/>
      <w:i w:val="0"/>
      <w:iCs w:val="0"/>
      <w:smallCaps w:val="0"/>
      <w:strike w:val="0"/>
      <w:color w:val="002060"/>
      <w:sz w:val="28"/>
      <w:szCs w:val="28"/>
      <w:u w:val="none"/>
    </w:rPr>
  </w:style>
  <w:style w:type="character" w:customStyle="1" w:styleId="MSGENFONTSTYLENAMETEMPLATEROLEMSGENFONTSTYLENAMEBYROLETEXT4">
    <w:name w:val="MSG_EN_FONT_STYLE_NAME_TEMPLATE_ROLE MSG_EN_FONT_STYLE_NAME_BY_ROLE_TEXT|4_"/>
    <w:basedOn w:val="DefaultParagraphFont"/>
    <w:link w:val="MSGENFONTSTYLENAMETEMPLATEROLEMSGENFONTSTYLENAMEBYROLETEXT40"/>
    <w:rPr>
      <w:b w:val="0"/>
      <w:bCs w:val="0"/>
      <w:i w:val="0"/>
      <w:iCs w:val="0"/>
      <w:smallCaps w:val="0"/>
      <w:strike w:val="0"/>
      <w:color w:val="0070C0"/>
      <w:u w:val="none"/>
    </w:rPr>
  </w:style>
  <w:style w:type="character" w:customStyle="1" w:styleId="MSGENFONTSTYLENAMETEMPLATEROLEMSGENFONTSTYLENAMEBYROLERUNNINGTITLE2">
    <w:name w:val="MSG_EN_FONT_STYLE_NAME_TEMPLATE_ROLE MSG_EN_FONT_STYLE_NAME_BY_ROLE_RUNNING_TITLE|2_"/>
    <w:basedOn w:val="DefaultParagraphFont"/>
    <w:link w:val="MSGENFONTSTYLENAMETEMPLATEROLEMSGENFONTSTYLENAMEBYROLERUNNINGTITLE20"/>
    <w:rPr>
      <w:b w:val="0"/>
      <w:bCs w:val="0"/>
      <w:i w:val="0"/>
      <w:iCs w:val="0"/>
      <w:smallCaps w:val="0"/>
      <w:strike w:val="0"/>
      <w:sz w:val="20"/>
      <w:szCs w:val="20"/>
      <w:u w:val="none"/>
    </w:rPr>
  </w:style>
  <w:style w:type="character" w:customStyle="1" w:styleId="MSGENFONTSTYLENAMETEMPLATEROLELEVELMSGENFONTSTYLENAMEBYROLEHEADING21">
    <w:name w:val="MSG_EN_FONT_STYLE_NAME_TEMPLATE_ROLE_LEVEL MSG_EN_FONT_STYLE_NAME_BY_ROLE_HEADING 2|1_"/>
    <w:basedOn w:val="DefaultParagraphFont"/>
    <w:link w:val="MSGENFONTSTYLENAMETEMPLATEROLELEVELMSGENFONTSTYLENAMEBYROLEHEADING210"/>
    <w:rPr>
      <w:b/>
      <w:bCs/>
      <w:i w:val="0"/>
      <w:iCs w:val="0"/>
      <w:smallCaps w:val="0"/>
      <w:strike w:val="0"/>
      <w:color w:val="7030A0"/>
      <w:u w:val="none"/>
    </w:rPr>
  </w:style>
  <w:style w:type="character" w:customStyle="1" w:styleId="MSGENFONTSTYLENAMETEMPLATEROLEMSGENFONTSTYLENAMEBYROLEPICTURECAPTION1">
    <w:name w:val="MSG_EN_FONT_STYLE_NAME_TEMPLATE_ROLE MSG_EN_FONT_STYLE_NAME_BY_ROLE_PICTURE_CAPTION|1_"/>
    <w:basedOn w:val="DefaultParagraphFont"/>
    <w:link w:val="MSGENFONTSTYLENAMETEMPLATEROLEMSGENFONTSTYLENAMEBYROLEPICTURECAPTION10"/>
    <w:rPr>
      <w:b w:val="0"/>
      <w:bCs w:val="0"/>
      <w:i w:val="0"/>
      <w:iCs w:val="0"/>
      <w:smallCaps w:val="0"/>
      <w:strike w:val="0"/>
      <w:color w:val="CFDDEE"/>
      <w:sz w:val="14"/>
      <w:szCs w:val="14"/>
      <w:u w:val="none"/>
    </w:rPr>
  </w:style>
  <w:style w:type="character" w:customStyle="1" w:styleId="MSGENFONTSTYLENAMETEMPLATEROLELEVELMSGENFONTSTYLENAMEBYROLEHEADING11">
    <w:name w:val="MSG_EN_FONT_STYLE_NAME_TEMPLATE_ROLE_LEVEL MSG_EN_FONT_STYLE_NAME_BY_ROLE_HEADING 1|1_"/>
    <w:basedOn w:val="DefaultParagraphFont"/>
    <w:link w:val="MSGENFONTSTYLENAMETEMPLATEROLELEVELMSGENFONTSTYLENAMEBYROLEHEADING110"/>
    <w:rPr>
      <w:b/>
      <w:bCs/>
      <w:i w:val="0"/>
      <w:iCs w:val="0"/>
      <w:smallCaps w:val="0"/>
      <w:strike w:val="0"/>
      <w:sz w:val="32"/>
      <w:szCs w:val="32"/>
      <w:u w:val="none"/>
    </w:rPr>
  </w:style>
  <w:style w:type="character" w:customStyle="1" w:styleId="MSGENFONTSTYLENAMETEMPLATEROLEMSGENFONTSTYLENAMEBYROLETEXT1">
    <w:name w:val="MSG_EN_FONT_STYLE_NAME_TEMPLATE_ROLE MSG_EN_FONT_STYLE_NAME_BY_ROLE_TEXT|1_"/>
    <w:basedOn w:val="DefaultParagraphFont"/>
    <w:link w:val="MSGENFONTSTYLENAMETEMPLATEROLEMSGENFONTSTYLENAMEBYROLETEXT10"/>
    <w:rPr>
      <w:b w:val="0"/>
      <w:bCs w:val="0"/>
      <w:i w:val="0"/>
      <w:iCs w:val="0"/>
      <w:smallCaps w:val="0"/>
      <w:strike w:val="0"/>
      <w:sz w:val="20"/>
      <w:szCs w:val="20"/>
      <w:u w:val="none"/>
    </w:rPr>
  </w:style>
  <w:style w:type="character" w:customStyle="1" w:styleId="MSGENFONTSTYLENAMETEMPLATEROLELEVELMSGENFONTSTYLENAMEBYROLEHEADING31">
    <w:name w:val="MSG_EN_FONT_STYLE_NAME_TEMPLATE_ROLE_LEVEL MSG_EN_FONT_STYLE_NAME_BY_ROLE_HEADING 3|1_"/>
    <w:basedOn w:val="DefaultParagraphFont"/>
    <w:link w:val="MSGENFONTSTYLENAMETEMPLATEROLELEVELMSGENFONTSTYLENAMEBYROLEHEADING310"/>
    <w:rPr>
      <w:b/>
      <w:bCs/>
      <w:i w:val="0"/>
      <w:iCs w:val="0"/>
      <w:smallCaps w:val="0"/>
      <w:strike w:val="0"/>
      <w:sz w:val="20"/>
      <w:szCs w:val="20"/>
      <w:u w:val="none"/>
    </w:rPr>
  </w:style>
  <w:style w:type="character" w:customStyle="1" w:styleId="MSGENFONTSTYLENAMETEMPLATEROLEMSGENFONTSTYLENAMEBYROLETABLECAPTION1">
    <w:name w:val="MSG_EN_FONT_STYLE_NAME_TEMPLATE_ROLE MSG_EN_FONT_STYLE_NAME_BY_ROLE_TABLE_CAPTION|1_"/>
    <w:basedOn w:val="DefaultParagraphFont"/>
    <w:link w:val="MSGENFONTSTYLENAMETEMPLATEROLEMSGENFONTSTYLENAMEBYROLETABLECAPTION10"/>
    <w:rPr>
      <w:b/>
      <w:bCs/>
      <w:i w:val="0"/>
      <w:iCs w:val="0"/>
      <w:smallCaps w:val="0"/>
      <w:strike w:val="0"/>
      <w:sz w:val="20"/>
      <w:szCs w:val="20"/>
      <w:u w:val="none"/>
    </w:rPr>
  </w:style>
  <w:style w:type="character" w:customStyle="1" w:styleId="MSGENFONTSTYLENAMETEMPLATEROLEMSGENFONTSTYLENAMEBYROLEOTHER1">
    <w:name w:val="MSG_EN_FONT_STYLE_NAME_TEMPLATE_ROLE MSG_EN_FONT_STYLE_NAME_BY_ROLE_OTHER|1_"/>
    <w:basedOn w:val="DefaultParagraphFont"/>
    <w:link w:val="MSGENFONTSTYLENAMETEMPLATEROLEMSGENFONTSTYLENAMEBYROLEOTHER10"/>
    <w:rPr>
      <w:b w:val="0"/>
      <w:bCs w:val="0"/>
      <w:i w:val="0"/>
      <w:iCs w:val="0"/>
      <w:smallCaps w:val="0"/>
      <w:strike w:val="0"/>
      <w:sz w:val="20"/>
      <w:szCs w:val="20"/>
      <w:u w:val="none"/>
    </w:rPr>
  </w:style>
  <w:style w:type="character" w:customStyle="1" w:styleId="MSGENFONTSTYLENAMETEMPLATEROLEMSGENFONTSTYLENAMEBYROLETEXT2">
    <w:name w:val="MSG_EN_FONT_STYLE_NAME_TEMPLATE_ROLE MSG_EN_FONT_STYLE_NAME_BY_ROLE_TEXT|2_"/>
    <w:basedOn w:val="DefaultParagraphFont"/>
    <w:link w:val="MSGENFONTSTYLENAMETEMPLATEROLEMSGENFONTSTYLENAMEBYROLETEXT20"/>
    <w:rPr>
      <w:b w:val="0"/>
      <w:bCs w:val="0"/>
      <w:i w:val="0"/>
      <w:iCs w:val="0"/>
      <w:smallCaps w:val="0"/>
      <w:strike w:val="0"/>
      <w:color w:val="CFDDEE"/>
      <w:sz w:val="14"/>
      <w:szCs w:val="14"/>
      <w:u w:val="none"/>
    </w:rPr>
  </w:style>
  <w:style w:type="paragraph" w:customStyle="1" w:styleId="MSGENFONTSTYLENAMETEMPLATEROLEMSGENFONTSTYLENAMEBYROLETEXT30">
    <w:name w:val="MSG_EN_FONT_STYLE_NAME_TEMPLATE_ROLE MSG_EN_FONT_STYLE_NAME_BY_ROLE_TEXT|3"/>
    <w:basedOn w:val="Normal"/>
    <w:link w:val="MSGENFONTSTYLENAMETEMPLATEROLEMSGENFONTSTYLENAMEBYROLETEXT3"/>
    <w:rPr>
      <w:rFonts w:ascii="Calibri" w:eastAsia="Calibri" w:hAnsi="Calibri" w:cs="Calibri"/>
      <w:b/>
      <w:bCs/>
      <w:color w:val="002060"/>
      <w:sz w:val="28"/>
      <w:szCs w:val="28"/>
    </w:rPr>
  </w:style>
  <w:style w:type="paragraph" w:customStyle="1" w:styleId="MSGENFONTSTYLENAMETEMPLATEROLEMSGENFONTSTYLENAMEBYROLETEXT40">
    <w:name w:val="MSG_EN_FONT_STYLE_NAME_TEMPLATE_ROLE MSG_EN_FONT_STYLE_NAME_BY_ROLE_TEXT|4"/>
    <w:basedOn w:val="Normal"/>
    <w:link w:val="MSGENFONTSTYLENAMETEMPLATEROLEMSGENFONTSTYLENAMEBYROLETEXT4"/>
    <w:pPr>
      <w:spacing w:after="120"/>
      <w:jc w:val="center"/>
    </w:pPr>
    <w:rPr>
      <w:color w:val="0070C0"/>
    </w:rPr>
  </w:style>
  <w:style w:type="paragraph" w:customStyle="1" w:styleId="MSGENFONTSTYLENAMETEMPLATEROLEMSGENFONTSTYLENAMEBYROLERUNNINGTITLE20">
    <w:name w:val="MSG_EN_FONT_STYLE_NAME_TEMPLATE_ROLE MSG_EN_FONT_STYLE_NAME_BY_ROLE_RUNNING_TITLE|2"/>
    <w:basedOn w:val="Normal"/>
    <w:link w:val="MSGENFONTSTYLENAMETEMPLATEROLEMSGENFONTSTYLENAMEBYROLERUNNINGTITLE2"/>
    <w:rPr>
      <w:sz w:val="20"/>
      <w:szCs w:val="20"/>
    </w:rPr>
  </w:style>
  <w:style w:type="paragraph" w:customStyle="1" w:styleId="MSGENFONTSTYLENAMETEMPLATEROLELEVELMSGENFONTSTYLENAMEBYROLEHEADING210">
    <w:name w:val="MSG_EN_FONT_STYLE_NAME_TEMPLATE_ROLE_LEVEL MSG_EN_FONT_STYLE_NAME_BY_ROLE_HEADING 2|1"/>
    <w:basedOn w:val="Normal"/>
    <w:link w:val="MSGENFONTSTYLENAMETEMPLATEROLELEVELMSGENFONTSTYLENAMEBYROLEHEADING21"/>
    <w:pPr>
      <w:spacing w:after="150"/>
      <w:jc w:val="center"/>
      <w:outlineLvl w:val="1"/>
    </w:pPr>
    <w:rPr>
      <w:b/>
      <w:bCs/>
      <w:color w:val="7030A0"/>
    </w:rPr>
  </w:style>
  <w:style w:type="paragraph" w:customStyle="1" w:styleId="MSGENFONTSTYLENAMETEMPLATEROLEMSGENFONTSTYLENAMEBYROLEPICTURECAPTION10">
    <w:name w:val="MSG_EN_FONT_STYLE_NAME_TEMPLATE_ROLE MSG_EN_FONT_STYLE_NAME_BY_ROLE_PICTURE_CAPTION|1"/>
    <w:basedOn w:val="Normal"/>
    <w:link w:val="MSGENFONTSTYLENAMETEMPLATEROLEMSGENFONTSTYLENAMEBYROLEPICTURECAPTION1"/>
    <w:pPr>
      <w:spacing w:line="216" w:lineRule="auto"/>
      <w:jc w:val="center"/>
    </w:pPr>
    <w:rPr>
      <w:color w:val="CFDDEE"/>
      <w:sz w:val="14"/>
      <w:szCs w:val="14"/>
    </w:rPr>
  </w:style>
  <w:style w:type="paragraph" w:customStyle="1" w:styleId="MSGENFONTSTYLENAMETEMPLATEROLELEVELMSGENFONTSTYLENAMEBYROLEHEADING110">
    <w:name w:val="MSG_EN_FONT_STYLE_NAME_TEMPLATE_ROLE_LEVEL MSG_EN_FONT_STYLE_NAME_BY_ROLE_HEADING 1|1"/>
    <w:basedOn w:val="Normal"/>
    <w:link w:val="MSGENFONTSTYLENAMETEMPLATEROLELEVELMSGENFONTSTYLENAMEBYROLEHEADING11"/>
    <w:pPr>
      <w:spacing w:after="300" w:line="276" w:lineRule="auto"/>
      <w:jc w:val="center"/>
      <w:outlineLvl w:val="0"/>
    </w:pPr>
    <w:rPr>
      <w:b/>
      <w:bCs/>
      <w:sz w:val="32"/>
      <w:szCs w:val="32"/>
    </w:rPr>
  </w:style>
  <w:style w:type="paragraph" w:customStyle="1" w:styleId="MSGENFONTSTYLENAMETEMPLATEROLEMSGENFONTSTYLENAMEBYROLETEXT10">
    <w:name w:val="MSG_EN_FONT_STYLE_NAME_TEMPLATE_ROLE MSG_EN_FONT_STYLE_NAME_BY_ROLE_TEXT|1"/>
    <w:basedOn w:val="Normal"/>
    <w:link w:val="MSGENFONTSTYLENAMETEMPLATEROLEMSGENFONTSTYLENAMEBYROLETEXT1"/>
    <w:pPr>
      <w:spacing w:line="276" w:lineRule="auto"/>
    </w:pPr>
    <w:rPr>
      <w:sz w:val="20"/>
      <w:szCs w:val="20"/>
    </w:rPr>
  </w:style>
  <w:style w:type="paragraph" w:customStyle="1" w:styleId="MSGENFONTSTYLENAMETEMPLATEROLELEVELMSGENFONTSTYLENAMEBYROLEHEADING310">
    <w:name w:val="MSG_EN_FONT_STYLE_NAME_TEMPLATE_ROLE_LEVEL MSG_EN_FONT_STYLE_NAME_BY_ROLE_HEADING 3|1"/>
    <w:basedOn w:val="Normal"/>
    <w:link w:val="MSGENFONTSTYLENAMETEMPLATEROLELEVELMSGENFONTSTYLENAMEBYROLEHEADING31"/>
    <w:pPr>
      <w:spacing w:line="276" w:lineRule="auto"/>
      <w:outlineLvl w:val="2"/>
    </w:pPr>
    <w:rPr>
      <w:b/>
      <w:bCs/>
      <w:sz w:val="20"/>
      <w:szCs w:val="20"/>
    </w:rPr>
  </w:style>
  <w:style w:type="paragraph" w:customStyle="1" w:styleId="MSGENFONTSTYLENAMETEMPLATEROLEMSGENFONTSTYLENAMEBYROLETABLECAPTION10">
    <w:name w:val="MSG_EN_FONT_STYLE_NAME_TEMPLATE_ROLE MSG_EN_FONT_STYLE_NAME_BY_ROLE_TABLE_CAPTION|1"/>
    <w:basedOn w:val="Normal"/>
    <w:link w:val="MSGENFONTSTYLENAMETEMPLATEROLEMSGENFONTSTYLENAMEBYROLETABLECAPTION1"/>
    <w:rPr>
      <w:b/>
      <w:bCs/>
      <w:sz w:val="20"/>
      <w:szCs w:val="20"/>
    </w:rPr>
  </w:style>
  <w:style w:type="paragraph" w:customStyle="1" w:styleId="MSGENFONTSTYLENAMETEMPLATEROLEMSGENFONTSTYLENAMEBYROLEOTHER10">
    <w:name w:val="MSG_EN_FONT_STYLE_NAME_TEMPLATE_ROLE MSG_EN_FONT_STYLE_NAME_BY_ROLE_OTHER|1"/>
    <w:basedOn w:val="Normal"/>
    <w:link w:val="MSGENFONTSTYLENAMETEMPLATEROLEMSGENFONTSTYLENAMEBYROLEOTHER1"/>
    <w:pPr>
      <w:spacing w:line="276" w:lineRule="auto"/>
    </w:pPr>
    <w:rPr>
      <w:sz w:val="20"/>
      <w:szCs w:val="20"/>
    </w:rPr>
  </w:style>
  <w:style w:type="paragraph" w:customStyle="1" w:styleId="MSGENFONTSTYLENAMETEMPLATEROLEMSGENFONTSTYLENAMEBYROLETEXT20">
    <w:name w:val="MSG_EN_FONT_STYLE_NAME_TEMPLATE_ROLE MSG_EN_FONT_STYLE_NAME_BY_ROLE_TEXT|2"/>
    <w:basedOn w:val="Normal"/>
    <w:link w:val="MSGENFONTSTYLENAMETEMPLATEROLEMSGENFONTSTYLENAMEBYROLETEXT2"/>
    <w:pPr>
      <w:spacing w:after="300" w:line="216" w:lineRule="auto"/>
      <w:jc w:val="center"/>
    </w:pPr>
    <w:rPr>
      <w:color w:val="CFDDEE"/>
      <w:sz w:val="14"/>
      <w:szCs w:val="14"/>
    </w:rPr>
  </w:style>
  <w:style w:type="paragraph" w:styleId="Header">
    <w:name w:val="header"/>
    <w:basedOn w:val="Normal"/>
    <w:link w:val="HeaderChar"/>
    <w:uiPriority w:val="99"/>
    <w:unhideWhenUsed/>
    <w:rsid w:val="00361355"/>
    <w:pPr>
      <w:tabs>
        <w:tab w:val="center" w:pos="4513"/>
        <w:tab w:val="right" w:pos="9026"/>
      </w:tabs>
    </w:pPr>
  </w:style>
  <w:style w:type="character" w:customStyle="1" w:styleId="HeaderChar">
    <w:name w:val="Header Char"/>
    <w:basedOn w:val="DefaultParagraphFont"/>
    <w:link w:val="Header"/>
    <w:uiPriority w:val="99"/>
    <w:rsid w:val="00361355"/>
    <w:rPr>
      <w:color w:val="000000"/>
    </w:rPr>
  </w:style>
  <w:style w:type="paragraph" w:styleId="Footer">
    <w:name w:val="footer"/>
    <w:basedOn w:val="Normal"/>
    <w:link w:val="FooterChar"/>
    <w:uiPriority w:val="99"/>
    <w:unhideWhenUsed/>
    <w:rsid w:val="00361355"/>
    <w:pPr>
      <w:tabs>
        <w:tab w:val="center" w:pos="4513"/>
        <w:tab w:val="right" w:pos="9026"/>
      </w:tabs>
    </w:pPr>
  </w:style>
  <w:style w:type="character" w:customStyle="1" w:styleId="FooterChar">
    <w:name w:val="Footer Char"/>
    <w:basedOn w:val="DefaultParagraphFont"/>
    <w:link w:val="Footer"/>
    <w:uiPriority w:val="99"/>
    <w:rsid w:val="00361355"/>
    <w:rPr>
      <w:color w:val="000000"/>
    </w:rPr>
  </w:style>
  <w:style w:type="paragraph" w:styleId="ListParagraph">
    <w:name w:val="List Paragraph"/>
    <w:basedOn w:val="Normal"/>
    <w:uiPriority w:val="34"/>
    <w:qFormat/>
    <w:rsid w:val="00B32DDD"/>
    <w:pPr>
      <w:ind w:left="720"/>
      <w:contextualSpacing/>
    </w:pPr>
  </w:style>
  <w:style w:type="paragraph" w:styleId="NormalWeb">
    <w:name w:val="Normal (Web)"/>
    <w:basedOn w:val="Normal"/>
    <w:uiPriority w:val="99"/>
    <w:semiHidden/>
    <w:unhideWhenUsed/>
    <w:rsid w:val="002A5B26"/>
    <w:pPr>
      <w:widowControl/>
      <w:spacing w:before="100" w:beforeAutospacing="1" w:after="100" w:afterAutospacing="1"/>
    </w:pPr>
    <w:rPr>
      <w:color w:val="auto"/>
      <w:lang w:bidi="ar-SA"/>
    </w:rPr>
  </w:style>
  <w:style w:type="character" w:styleId="Strong">
    <w:name w:val="Strong"/>
    <w:basedOn w:val="DefaultParagraphFont"/>
    <w:uiPriority w:val="22"/>
    <w:qFormat/>
    <w:rsid w:val="002A5B26"/>
    <w:rPr>
      <w:b/>
      <w:bCs/>
    </w:rPr>
  </w:style>
  <w:style w:type="table" w:styleId="GridTable1Light">
    <w:name w:val="Grid Table 1 Light"/>
    <w:basedOn w:val="TableNormal"/>
    <w:uiPriority w:val="46"/>
    <w:rsid w:val="00203F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BA6B92"/>
    <w:rPr>
      <w:b/>
      <w:bCs/>
      <w:sz w:val="27"/>
      <w:szCs w:val="27"/>
      <w:lang w:bidi="ar-SA"/>
    </w:rPr>
  </w:style>
  <w:style w:type="table" w:styleId="TableGridLight">
    <w:name w:val="Grid Table Light"/>
    <w:basedOn w:val="TableNormal"/>
    <w:uiPriority w:val="40"/>
    <w:rsid w:val="00BA6B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SGENFONTSTYLENAMETEMPLATEROLELEVELMSGENFONTSTYLENAMEBYROLEHEADING41">
    <w:name w:val="MSG_EN_FONT_STYLE_NAME_TEMPLATE_ROLE_LEVEL MSG_EN_FONT_STYLE_NAME_BY_ROLE_HEADING 4|1_"/>
    <w:basedOn w:val="DefaultParagraphFont"/>
    <w:link w:val="MSGENFONTSTYLENAMETEMPLATEROLELEVELMSGENFONTSTYLENAMEBYROLEHEADING410"/>
    <w:rsid w:val="009956A0"/>
    <w:rPr>
      <w:b/>
      <w:bCs/>
      <w:color w:val="030381"/>
      <w:sz w:val="22"/>
      <w:szCs w:val="22"/>
    </w:rPr>
  </w:style>
  <w:style w:type="paragraph" w:customStyle="1" w:styleId="MSGENFONTSTYLENAMETEMPLATEROLELEVELMSGENFONTSTYLENAMEBYROLEHEADING410">
    <w:name w:val="MSG_EN_FONT_STYLE_NAME_TEMPLATE_ROLE_LEVEL MSG_EN_FONT_STYLE_NAME_BY_ROLE_HEADING 4|1"/>
    <w:basedOn w:val="Normal"/>
    <w:link w:val="MSGENFONTSTYLENAMETEMPLATEROLELEVELMSGENFONTSTYLENAMEBYROLEHEADING41"/>
    <w:rsid w:val="009956A0"/>
    <w:pPr>
      <w:spacing w:after="100" w:line="245" w:lineRule="auto"/>
      <w:outlineLvl w:val="3"/>
    </w:pPr>
    <w:rPr>
      <w:b/>
      <w:bCs/>
      <w:color w:val="030381"/>
      <w:sz w:val="22"/>
      <w:szCs w:val="22"/>
    </w:rPr>
  </w:style>
  <w:style w:type="character" w:styleId="Emphasis">
    <w:name w:val="Emphasis"/>
    <w:basedOn w:val="DefaultParagraphFont"/>
    <w:uiPriority w:val="20"/>
    <w:qFormat/>
    <w:rsid w:val="00A460DC"/>
    <w:rPr>
      <w:i/>
      <w:iCs/>
    </w:rPr>
  </w:style>
  <w:style w:type="character" w:customStyle="1" w:styleId="Heading5Char">
    <w:name w:val="Heading 5 Char"/>
    <w:basedOn w:val="DefaultParagraphFont"/>
    <w:link w:val="Heading5"/>
    <w:uiPriority w:val="9"/>
    <w:semiHidden/>
    <w:rsid w:val="00A460D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460D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C15F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1973">
      <w:bodyDiv w:val="1"/>
      <w:marLeft w:val="0"/>
      <w:marRight w:val="0"/>
      <w:marTop w:val="0"/>
      <w:marBottom w:val="0"/>
      <w:divBdr>
        <w:top w:val="none" w:sz="0" w:space="0" w:color="auto"/>
        <w:left w:val="none" w:sz="0" w:space="0" w:color="auto"/>
        <w:bottom w:val="none" w:sz="0" w:space="0" w:color="auto"/>
        <w:right w:val="none" w:sz="0" w:space="0" w:color="auto"/>
      </w:divBdr>
    </w:div>
    <w:div w:id="373847675">
      <w:bodyDiv w:val="1"/>
      <w:marLeft w:val="0"/>
      <w:marRight w:val="0"/>
      <w:marTop w:val="0"/>
      <w:marBottom w:val="0"/>
      <w:divBdr>
        <w:top w:val="none" w:sz="0" w:space="0" w:color="auto"/>
        <w:left w:val="none" w:sz="0" w:space="0" w:color="auto"/>
        <w:bottom w:val="none" w:sz="0" w:space="0" w:color="auto"/>
        <w:right w:val="none" w:sz="0" w:space="0" w:color="auto"/>
      </w:divBdr>
      <w:divsChild>
        <w:div w:id="35350383">
          <w:marLeft w:val="0"/>
          <w:marRight w:val="0"/>
          <w:marTop w:val="0"/>
          <w:marBottom w:val="0"/>
          <w:divBdr>
            <w:top w:val="none" w:sz="0" w:space="0" w:color="auto"/>
            <w:left w:val="none" w:sz="0" w:space="0" w:color="auto"/>
            <w:bottom w:val="none" w:sz="0" w:space="0" w:color="auto"/>
            <w:right w:val="none" w:sz="0" w:space="0" w:color="auto"/>
          </w:divBdr>
          <w:divsChild>
            <w:div w:id="1004866587">
              <w:marLeft w:val="0"/>
              <w:marRight w:val="0"/>
              <w:marTop w:val="0"/>
              <w:marBottom w:val="0"/>
              <w:divBdr>
                <w:top w:val="none" w:sz="0" w:space="0" w:color="auto"/>
                <w:left w:val="none" w:sz="0" w:space="0" w:color="auto"/>
                <w:bottom w:val="none" w:sz="0" w:space="0" w:color="auto"/>
                <w:right w:val="none" w:sz="0" w:space="0" w:color="auto"/>
              </w:divBdr>
              <w:divsChild>
                <w:div w:id="1234269577">
                  <w:marLeft w:val="0"/>
                  <w:marRight w:val="0"/>
                  <w:marTop w:val="0"/>
                  <w:marBottom w:val="0"/>
                  <w:divBdr>
                    <w:top w:val="none" w:sz="0" w:space="0" w:color="auto"/>
                    <w:left w:val="none" w:sz="0" w:space="0" w:color="auto"/>
                    <w:bottom w:val="none" w:sz="0" w:space="0" w:color="auto"/>
                    <w:right w:val="none" w:sz="0" w:space="0" w:color="auto"/>
                  </w:divBdr>
                  <w:divsChild>
                    <w:div w:id="137647098">
                      <w:marLeft w:val="0"/>
                      <w:marRight w:val="0"/>
                      <w:marTop w:val="0"/>
                      <w:marBottom w:val="0"/>
                      <w:divBdr>
                        <w:top w:val="none" w:sz="0" w:space="0" w:color="auto"/>
                        <w:left w:val="none" w:sz="0" w:space="0" w:color="auto"/>
                        <w:bottom w:val="none" w:sz="0" w:space="0" w:color="auto"/>
                        <w:right w:val="none" w:sz="0" w:space="0" w:color="auto"/>
                      </w:divBdr>
                      <w:divsChild>
                        <w:div w:id="2095279819">
                          <w:marLeft w:val="0"/>
                          <w:marRight w:val="0"/>
                          <w:marTop w:val="0"/>
                          <w:marBottom w:val="0"/>
                          <w:divBdr>
                            <w:top w:val="none" w:sz="0" w:space="0" w:color="auto"/>
                            <w:left w:val="none" w:sz="0" w:space="0" w:color="auto"/>
                            <w:bottom w:val="none" w:sz="0" w:space="0" w:color="auto"/>
                            <w:right w:val="none" w:sz="0" w:space="0" w:color="auto"/>
                          </w:divBdr>
                          <w:divsChild>
                            <w:div w:id="1200894732">
                              <w:marLeft w:val="0"/>
                              <w:marRight w:val="0"/>
                              <w:marTop w:val="0"/>
                              <w:marBottom w:val="0"/>
                              <w:divBdr>
                                <w:top w:val="none" w:sz="0" w:space="0" w:color="auto"/>
                                <w:left w:val="none" w:sz="0" w:space="0" w:color="auto"/>
                                <w:bottom w:val="none" w:sz="0" w:space="0" w:color="auto"/>
                                <w:right w:val="none" w:sz="0" w:space="0" w:color="auto"/>
                              </w:divBdr>
                              <w:divsChild>
                                <w:div w:id="1937444977">
                                  <w:marLeft w:val="0"/>
                                  <w:marRight w:val="0"/>
                                  <w:marTop w:val="0"/>
                                  <w:marBottom w:val="0"/>
                                  <w:divBdr>
                                    <w:top w:val="none" w:sz="0" w:space="0" w:color="auto"/>
                                    <w:left w:val="none" w:sz="0" w:space="0" w:color="auto"/>
                                    <w:bottom w:val="none" w:sz="0" w:space="0" w:color="auto"/>
                                    <w:right w:val="none" w:sz="0" w:space="0" w:color="auto"/>
                                  </w:divBdr>
                                  <w:divsChild>
                                    <w:div w:id="1905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48909">
          <w:marLeft w:val="0"/>
          <w:marRight w:val="0"/>
          <w:marTop w:val="0"/>
          <w:marBottom w:val="0"/>
          <w:divBdr>
            <w:top w:val="none" w:sz="0" w:space="0" w:color="auto"/>
            <w:left w:val="none" w:sz="0" w:space="0" w:color="auto"/>
            <w:bottom w:val="none" w:sz="0" w:space="0" w:color="auto"/>
            <w:right w:val="none" w:sz="0" w:space="0" w:color="auto"/>
          </w:divBdr>
          <w:divsChild>
            <w:div w:id="1546983824">
              <w:marLeft w:val="0"/>
              <w:marRight w:val="0"/>
              <w:marTop w:val="0"/>
              <w:marBottom w:val="0"/>
              <w:divBdr>
                <w:top w:val="none" w:sz="0" w:space="0" w:color="auto"/>
                <w:left w:val="none" w:sz="0" w:space="0" w:color="auto"/>
                <w:bottom w:val="none" w:sz="0" w:space="0" w:color="auto"/>
                <w:right w:val="none" w:sz="0" w:space="0" w:color="auto"/>
              </w:divBdr>
              <w:divsChild>
                <w:div w:id="278494613">
                  <w:marLeft w:val="0"/>
                  <w:marRight w:val="0"/>
                  <w:marTop w:val="0"/>
                  <w:marBottom w:val="0"/>
                  <w:divBdr>
                    <w:top w:val="none" w:sz="0" w:space="0" w:color="auto"/>
                    <w:left w:val="none" w:sz="0" w:space="0" w:color="auto"/>
                    <w:bottom w:val="none" w:sz="0" w:space="0" w:color="auto"/>
                    <w:right w:val="none" w:sz="0" w:space="0" w:color="auto"/>
                  </w:divBdr>
                  <w:divsChild>
                    <w:div w:id="899244413">
                      <w:marLeft w:val="0"/>
                      <w:marRight w:val="0"/>
                      <w:marTop w:val="0"/>
                      <w:marBottom w:val="0"/>
                      <w:divBdr>
                        <w:top w:val="none" w:sz="0" w:space="0" w:color="auto"/>
                        <w:left w:val="none" w:sz="0" w:space="0" w:color="auto"/>
                        <w:bottom w:val="none" w:sz="0" w:space="0" w:color="auto"/>
                        <w:right w:val="none" w:sz="0" w:space="0" w:color="auto"/>
                      </w:divBdr>
                      <w:divsChild>
                        <w:div w:id="947545133">
                          <w:marLeft w:val="0"/>
                          <w:marRight w:val="0"/>
                          <w:marTop w:val="0"/>
                          <w:marBottom w:val="0"/>
                          <w:divBdr>
                            <w:top w:val="none" w:sz="0" w:space="0" w:color="auto"/>
                            <w:left w:val="none" w:sz="0" w:space="0" w:color="auto"/>
                            <w:bottom w:val="none" w:sz="0" w:space="0" w:color="auto"/>
                            <w:right w:val="none" w:sz="0" w:space="0" w:color="auto"/>
                          </w:divBdr>
                          <w:divsChild>
                            <w:div w:id="828326771">
                              <w:marLeft w:val="0"/>
                              <w:marRight w:val="0"/>
                              <w:marTop w:val="0"/>
                              <w:marBottom w:val="0"/>
                              <w:divBdr>
                                <w:top w:val="none" w:sz="0" w:space="0" w:color="auto"/>
                                <w:left w:val="none" w:sz="0" w:space="0" w:color="auto"/>
                                <w:bottom w:val="none" w:sz="0" w:space="0" w:color="auto"/>
                                <w:right w:val="none" w:sz="0" w:space="0" w:color="auto"/>
                              </w:divBdr>
                              <w:divsChild>
                                <w:div w:id="837504710">
                                  <w:marLeft w:val="0"/>
                                  <w:marRight w:val="0"/>
                                  <w:marTop w:val="0"/>
                                  <w:marBottom w:val="0"/>
                                  <w:divBdr>
                                    <w:top w:val="none" w:sz="0" w:space="0" w:color="auto"/>
                                    <w:left w:val="none" w:sz="0" w:space="0" w:color="auto"/>
                                    <w:bottom w:val="none" w:sz="0" w:space="0" w:color="auto"/>
                                    <w:right w:val="none" w:sz="0" w:space="0" w:color="auto"/>
                                  </w:divBdr>
                                  <w:divsChild>
                                    <w:div w:id="2009480544">
                                      <w:marLeft w:val="0"/>
                                      <w:marRight w:val="0"/>
                                      <w:marTop w:val="0"/>
                                      <w:marBottom w:val="0"/>
                                      <w:divBdr>
                                        <w:top w:val="none" w:sz="0" w:space="0" w:color="auto"/>
                                        <w:left w:val="none" w:sz="0" w:space="0" w:color="auto"/>
                                        <w:bottom w:val="none" w:sz="0" w:space="0" w:color="auto"/>
                                        <w:right w:val="none" w:sz="0" w:space="0" w:color="auto"/>
                                      </w:divBdr>
                                      <w:divsChild>
                                        <w:div w:id="7154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802437">
          <w:marLeft w:val="0"/>
          <w:marRight w:val="0"/>
          <w:marTop w:val="0"/>
          <w:marBottom w:val="0"/>
          <w:divBdr>
            <w:top w:val="none" w:sz="0" w:space="0" w:color="auto"/>
            <w:left w:val="none" w:sz="0" w:space="0" w:color="auto"/>
            <w:bottom w:val="none" w:sz="0" w:space="0" w:color="auto"/>
            <w:right w:val="none" w:sz="0" w:space="0" w:color="auto"/>
          </w:divBdr>
          <w:divsChild>
            <w:div w:id="748387159">
              <w:marLeft w:val="0"/>
              <w:marRight w:val="0"/>
              <w:marTop w:val="0"/>
              <w:marBottom w:val="0"/>
              <w:divBdr>
                <w:top w:val="none" w:sz="0" w:space="0" w:color="auto"/>
                <w:left w:val="none" w:sz="0" w:space="0" w:color="auto"/>
                <w:bottom w:val="none" w:sz="0" w:space="0" w:color="auto"/>
                <w:right w:val="none" w:sz="0" w:space="0" w:color="auto"/>
              </w:divBdr>
              <w:divsChild>
                <w:div w:id="987977913">
                  <w:marLeft w:val="0"/>
                  <w:marRight w:val="0"/>
                  <w:marTop w:val="0"/>
                  <w:marBottom w:val="0"/>
                  <w:divBdr>
                    <w:top w:val="none" w:sz="0" w:space="0" w:color="auto"/>
                    <w:left w:val="none" w:sz="0" w:space="0" w:color="auto"/>
                    <w:bottom w:val="none" w:sz="0" w:space="0" w:color="auto"/>
                    <w:right w:val="none" w:sz="0" w:space="0" w:color="auto"/>
                  </w:divBdr>
                  <w:divsChild>
                    <w:div w:id="1190994014">
                      <w:marLeft w:val="0"/>
                      <w:marRight w:val="0"/>
                      <w:marTop w:val="0"/>
                      <w:marBottom w:val="0"/>
                      <w:divBdr>
                        <w:top w:val="none" w:sz="0" w:space="0" w:color="auto"/>
                        <w:left w:val="none" w:sz="0" w:space="0" w:color="auto"/>
                        <w:bottom w:val="none" w:sz="0" w:space="0" w:color="auto"/>
                        <w:right w:val="none" w:sz="0" w:space="0" w:color="auto"/>
                      </w:divBdr>
                      <w:divsChild>
                        <w:div w:id="1834564807">
                          <w:marLeft w:val="0"/>
                          <w:marRight w:val="0"/>
                          <w:marTop w:val="0"/>
                          <w:marBottom w:val="0"/>
                          <w:divBdr>
                            <w:top w:val="none" w:sz="0" w:space="0" w:color="auto"/>
                            <w:left w:val="none" w:sz="0" w:space="0" w:color="auto"/>
                            <w:bottom w:val="none" w:sz="0" w:space="0" w:color="auto"/>
                            <w:right w:val="none" w:sz="0" w:space="0" w:color="auto"/>
                          </w:divBdr>
                          <w:divsChild>
                            <w:div w:id="1449469927">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0131">
                  <w:marLeft w:val="0"/>
                  <w:marRight w:val="0"/>
                  <w:marTop w:val="0"/>
                  <w:marBottom w:val="0"/>
                  <w:divBdr>
                    <w:top w:val="none" w:sz="0" w:space="0" w:color="auto"/>
                    <w:left w:val="none" w:sz="0" w:space="0" w:color="auto"/>
                    <w:bottom w:val="none" w:sz="0" w:space="0" w:color="auto"/>
                    <w:right w:val="none" w:sz="0" w:space="0" w:color="auto"/>
                  </w:divBdr>
                  <w:divsChild>
                    <w:div w:id="807671245">
                      <w:marLeft w:val="0"/>
                      <w:marRight w:val="0"/>
                      <w:marTop w:val="0"/>
                      <w:marBottom w:val="0"/>
                      <w:divBdr>
                        <w:top w:val="none" w:sz="0" w:space="0" w:color="auto"/>
                        <w:left w:val="none" w:sz="0" w:space="0" w:color="auto"/>
                        <w:bottom w:val="none" w:sz="0" w:space="0" w:color="auto"/>
                        <w:right w:val="none" w:sz="0" w:space="0" w:color="auto"/>
                      </w:divBdr>
                      <w:divsChild>
                        <w:div w:id="1994328943">
                          <w:marLeft w:val="0"/>
                          <w:marRight w:val="0"/>
                          <w:marTop w:val="0"/>
                          <w:marBottom w:val="0"/>
                          <w:divBdr>
                            <w:top w:val="none" w:sz="0" w:space="0" w:color="auto"/>
                            <w:left w:val="none" w:sz="0" w:space="0" w:color="auto"/>
                            <w:bottom w:val="none" w:sz="0" w:space="0" w:color="auto"/>
                            <w:right w:val="none" w:sz="0" w:space="0" w:color="auto"/>
                          </w:divBdr>
                          <w:divsChild>
                            <w:div w:id="1295789195">
                              <w:marLeft w:val="0"/>
                              <w:marRight w:val="0"/>
                              <w:marTop w:val="0"/>
                              <w:marBottom w:val="0"/>
                              <w:divBdr>
                                <w:top w:val="none" w:sz="0" w:space="0" w:color="auto"/>
                                <w:left w:val="none" w:sz="0" w:space="0" w:color="auto"/>
                                <w:bottom w:val="none" w:sz="0" w:space="0" w:color="auto"/>
                                <w:right w:val="none" w:sz="0" w:space="0" w:color="auto"/>
                              </w:divBdr>
                              <w:divsChild>
                                <w:div w:id="1407797201">
                                  <w:marLeft w:val="0"/>
                                  <w:marRight w:val="0"/>
                                  <w:marTop w:val="0"/>
                                  <w:marBottom w:val="0"/>
                                  <w:divBdr>
                                    <w:top w:val="none" w:sz="0" w:space="0" w:color="auto"/>
                                    <w:left w:val="none" w:sz="0" w:space="0" w:color="auto"/>
                                    <w:bottom w:val="none" w:sz="0" w:space="0" w:color="auto"/>
                                    <w:right w:val="none" w:sz="0" w:space="0" w:color="auto"/>
                                  </w:divBdr>
                                  <w:divsChild>
                                    <w:div w:id="14300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33910">
      <w:bodyDiv w:val="1"/>
      <w:marLeft w:val="0"/>
      <w:marRight w:val="0"/>
      <w:marTop w:val="0"/>
      <w:marBottom w:val="0"/>
      <w:divBdr>
        <w:top w:val="none" w:sz="0" w:space="0" w:color="auto"/>
        <w:left w:val="none" w:sz="0" w:space="0" w:color="auto"/>
        <w:bottom w:val="none" w:sz="0" w:space="0" w:color="auto"/>
        <w:right w:val="none" w:sz="0" w:space="0" w:color="auto"/>
      </w:divBdr>
    </w:div>
    <w:div w:id="634988335">
      <w:bodyDiv w:val="1"/>
      <w:marLeft w:val="0"/>
      <w:marRight w:val="0"/>
      <w:marTop w:val="0"/>
      <w:marBottom w:val="0"/>
      <w:divBdr>
        <w:top w:val="none" w:sz="0" w:space="0" w:color="auto"/>
        <w:left w:val="none" w:sz="0" w:space="0" w:color="auto"/>
        <w:bottom w:val="none" w:sz="0" w:space="0" w:color="auto"/>
        <w:right w:val="none" w:sz="0" w:space="0" w:color="auto"/>
      </w:divBdr>
    </w:div>
    <w:div w:id="794253685">
      <w:bodyDiv w:val="1"/>
      <w:marLeft w:val="0"/>
      <w:marRight w:val="0"/>
      <w:marTop w:val="0"/>
      <w:marBottom w:val="0"/>
      <w:divBdr>
        <w:top w:val="none" w:sz="0" w:space="0" w:color="auto"/>
        <w:left w:val="none" w:sz="0" w:space="0" w:color="auto"/>
        <w:bottom w:val="none" w:sz="0" w:space="0" w:color="auto"/>
        <w:right w:val="none" w:sz="0" w:space="0" w:color="auto"/>
      </w:divBdr>
    </w:div>
    <w:div w:id="1047292688">
      <w:bodyDiv w:val="1"/>
      <w:marLeft w:val="0"/>
      <w:marRight w:val="0"/>
      <w:marTop w:val="0"/>
      <w:marBottom w:val="0"/>
      <w:divBdr>
        <w:top w:val="none" w:sz="0" w:space="0" w:color="auto"/>
        <w:left w:val="none" w:sz="0" w:space="0" w:color="auto"/>
        <w:bottom w:val="none" w:sz="0" w:space="0" w:color="auto"/>
        <w:right w:val="none" w:sz="0" w:space="0" w:color="auto"/>
      </w:divBdr>
    </w:div>
    <w:div w:id="114986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026298-78C5-46B7-8408-0B5CDC32A50C}" type="doc">
      <dgm:prSet loTypeId="urn:microsoft.com/office/officeart/2005/8/layout/hList6" loCatId="list" qsTypeId="urn:microsoft.com/office/officeart/2005/8/quickstyle/simple3" qsCatId="simple" csTypeId="urn:microsoft.com/office/officeart/2005/8/colors/accent1_2" csCatId="accent1" phldr="1"/>
      <dgm:spPr/>
      <dgm:t>
        <a:bodyPr/>
        <a:lstStyle/>
        <a:p>
          <a:endParaRPr lang="en-PK"/>
        </a:p>
      </dgm:t>
    </dgm:pt>
    <dgm:pt modelId="{D1C26903-18AD-4C18-BF5A-A926FFB44F68}">
      <dgm:prSet phldrT="[Text]"/>
      <dgm:spPr/>
      <dgm:t>
        <a:bodyPr/>
        <a:lstStyle/>
        <a:p>
          <a:r>
            <a:rPr lang="en-US" b="0"/>
            <a:t>Data Reliability</a:t>
          </a:r>
          <a:endParaRPr lang="en-PK"/>
        </a:p>
      </dgm:t>
    </dgm:pt>
    <dgm:pt modelId="{2A33B1FB-F1CA-411A-AE8F-59A743A4DDAD}" type="parTrans" cxnId="{E2261773-E0F1-431A-936F-4DC8323528C8}">
      <dgm:prSet/>
      <dgm:spPr/>
      <dgm:t>
        <a:bodyPr/>
        <a:lstStyle/>
        <a:p>
          <a:endParaRPr lang="en-PK"/>
        </a:p>
      </dgm:t>
    </dgm:pt>
    <dgm:pt modelId="{76B2A4FE-60F5-4078-88B8-164E14DF51AE}" type="sibTrans" cxnId="{E2261773-E0F1-431A-936F-4DC8323528C8}">
      <dgm:prSet/>
      <dgm:spPr/>
      <dgm:t>
        <a:bodyPr/>
        <a:lstStyle/>
        <a:p>
          <a:endParaRPr lang="en-PK"/>
        </a:p>
      </dgm:t>
    </dgm:pt>
    <dgm:pt modelId="{04BA9F1B-4C0E-4581-B9D5-F22371B6F00D}">
      <dgm:prSet phldrT="[Text]"/>
      <dgm:spPr/>
      <dgm:t>
        <a:bodyPr/>
        <a:lstStyle/>
        <a:p>
          <a:r>
            <a:rPr lang="en-US" b="0"/>
            <a:t>Regulatory Compliance</a:t>
          </a:r>
          <a:endParaRPr lang="en-PK"/>
        </a:p>
      </dgm:t>
    </dgm:pt>
    <dgm:pt modelId="{30B5BDA8-72B1-4C88-8A40-684FAD9590C3}" type="parTrans" cxnId="{9D9563DA-740B-4402-A3CE-D8AF99F571C8}">
      <dgm:prSet/>
      <dgm:spPr/>
      <dgm:t>
        <a:bodyPr/>
        <a:lstStyle/>
        <a:p>
          <a:endParaRPr lang="en-PK"/>
        </a:p>
      </dgm:t>
    </dgm:pt>
    <dgm:pt modelId="{BB7700A2-1C1D-4910-B873-0D5E38E1B759}" type="sibTrans" cxnId="{9D9563DA-740B-4402-A3CE-D8AF99F571C8}">
      <dgm:prSet/>
      <dgm:spPr/>
      <dgm:t>
        <a:bodyPr/>
        <a:lstStyle/>
        <a:p>
          <a:endParaRPr lang="en-PK"/>
        </a:p>
      </dgm:t>
    </dgm:pt>
    <dgm:pt modelId="{87BE1CB8-3154-49C5-958C-F7892A4D7D98}">
      <dgm:prSet phldrT="[Text]"/>
      <dgm:spPr/>
      <dgm:t>
        <a:bodyPr/>
        <a:lstStyle/>
        <a:p>
          <a:r>
            <a:rPr lang="en-US" b="0"/>
            <a:t>Technological Limitations </a:t>
          </a:r>
          <a:endParaRPr lang="en-PK"/>
        </a:p>
      </dgm:t>
    </dgm:pt>
    <dgm:pt modelId="{BD6548E2-4EC7-4277-BF02-DF51C93683B9}" type="parTrans" cxnId="{8E82A04F-E856-45DB-8C40-4300FDC77775}">
      <dgm:prSet/>
      <dgm:spPr/>
      <dgm:t>
        <a:bodyPr/>
        <a:lstStyle/>
        <a:p>
          <a:endParaRPr lang="en-PK"/>
        </a:p>
      </dgm:t>
    </dgm:pt>
    <dgm:pt modelId="{FD86270A-E690-4294-8F43-0D7F953DBA42}" type="sibTrans" cxnId="{8E82A04F-E856-45DB-8C40-4300FDC77775}">
      <dgm:prSet/>
      <dgm:spPr/>
      <dgm:t>
        <a:bodyPr/>
        <a:lstStyle/>
        <a:p>
          <a:endParaRPr lang="en-PK"/>
        </a:p>
      </dgm:t>
    </dgm:pt>
    <dgm:pt modelId="{05D6BD85-EFCB-4224-96CE-27449204538B}" type="pres">
      <dgm:prSet presAssocID="{77026298-78C5-46B7-8408-0B5CDC32A50C}" presName="Name0" presStyleCnt="0">
        <dgm:presLayoutVars>
          <dgm:dir/>
          <dgm:resizeHandles val="exact"/>
        </dgm:presLayoutVars>
      </dgm:prSet>
      <dgm:spPr/>
    </dgm:pt>
    <dgm:pt modelId="{12355600-4428-440F-999F-78CD82C652E1}" type="pres">
      <dgm:prSet presAssocID="{D1C26903-18AD-4C18-BF5A-A926FFB44F68}" presName="node" presStyleLbl="node1" presStyleIdx="0" presStyleCnt="3" custLinFactX="-42825" custLinFactNeighborX="-100000" custLinFactNeighborY="-14087">
        <dgm:presLayoutVars>
          <dgm:bulletEnabled val="1"/>
        </dgm:presLayoutVars>
      </dgm:prSet>
      <dgm:spPr/>
    </dgm:pt>
    <dgm:pt modelId="{AAA40D07-A796-4636-A0A6-5F6BC518256E}" type="pres">
      <dgm:prSet presAssocID="{76B2A4FE-60F5-4078-88B8-164E14DF51AE}" presName="sibTrans" presStyleCnt="0"/>
      <dgm:spPr/>
    </dgm:pt>
    <dgm:pt modelId="{CFC62F13-AAAD-45AF-9209-F5616D16F920}" type="pres">
      <dgm:prSet presAssocID="{04BA9F1B-4C0E-4581-B9D5-F22371B6F00D}" presName="node" presStyleLbl="node1" presStyleIdx="1" presStyleCnt="3">
        <dgm:presLayoutVars>
          <dgm:bulletEnabled val="1"/>
        </dgm:presLayoutVars>
      </dgm:prSet>
      <dgm:spPr/>
    </dgm:pt>
    <dgm:pt modelId="{D697C73A-A36F-4217-B2CB-930B6C503895}" type="pres">
      <dgm:prSet presAssocID="{BB7700A2-1C1D-4910-B873-0D5E38E1B759}" presName="sibTrans" presStyleCnt="0"/>
      <dgm:spPr/>
    </dgm:pt>
    <dgm:pt modelId="{9724BF59-FE0D-4DD3-B328-3C46F7020ACB}" type="pres">
      <dgm:prSet presAssocID="{87BE1CB8-3154-49C5-958C-F7892A4D7D98}" presName="node" presStyleLbl="node1" presStyleIdx="2" presStyleCnt="3" custScaleX="95246" custScaleY="88422">
        <dgm:presLayoutVars>
          <dgm:bulletEnabled val="1"/>
        </dgm:presLayoutVars>
      </dgm:prSet>
      <dgm:spPr/>
    </dgm:pt>
  </dgm:ptLst>
  <dgm:cxnLst>
    <dgm:cxn modelId="{8E82A04F-E856-45DB-8C40-4300FDC77775}" srcId="{77026298-78C5-46B7-8408-0B5CDC32A50C}" destId="{87BE1CB8-3154-49C5-958C-F7892A4D7D98}" srcOrd="2" destOrd="0" parTransId="{BD6548E2-4EC7-4277-BF02-DF51C93683B9}" sibTransId="{FD86270A-E690-4294-8F43-0D7F953DBA42}"/>
    <dgm:cxn modelId="{35B69654-34EC-497C-8233-1D515BEA0B0C}" type="presOf" srcId="{04BA9F1B-4C0E-4581-B9D5-F22371B6F00D}" destId="{CFC62F13-AAAD-45AF-9209-F5616D16F920}" srcOrd="0" destOrd="0" presId="urn:microsoft.com/office/officeart/2005/8/layout/hList6"/>
    <dgm:cxn modelId="{32A96757-D175-4959-A0F8-19A64C2B760F}" type="presOf" srcId="{87BE1CB8-3154-49C5-958C-F7892A4D7D98}" destId="{9724BF59-FE0D-4DD3-B328-3C46F7020ACB}" srcOrd="0" destOrd="0" presId="urn:microsoft.com/office/officeart/2005/8/layout/hList6"/>
    <dgm:cxn modelId="{EC817E70-83DE-487A-966D-9208DBF15D0D}" type="presOf" srcId="{77026298-78C5-46B7-8408-0B5CDC32A50C}" destId="{05D6BD85-EFCB-4224-96CE-27449204538B}" srcOrd="0" destOrd="0" presId="urn:microsoft.com/office/officeart/2005/8/layout/hList6"/>
    <dgm:cxn modelId="{E2261773-E0F1-431A-936F-4DC8323528C8}" srcId="{77026298-78C5-46B7-8408-0B5CDC32A50C}" destId="{D1C26903-18AD-4C18-BF5A-A926FFB44F68}" srcOrd="0" destOrd="0" parTransId="{2A33B1FB-F1CA-411A-AE8F-59A743A4DDAD}" sibTransId="{76B2A4FE-60F5-4078-88B8-164E14DF51AE}"/>
    <dgm:cxn modelId="{76A67CD1-2B5E-4225-92DA-F19881EA28D5}" type="presOf" srcId="{D1C26903-18AD-4C18-BF5A-A926FFB44F68}" destId="{12355600-4428-440F-999F-78CD82C652E1}" srcOrd="0" destOrd="0" presId="urn:microsoft.com/office/officeart/2005/8/layout/hList6"/>
    <dgm:cxn modelId="{9D9563DA-740B-4402-A3CE-D8AF99F571C8}" srcId="{77026298-78C5-46B7-8408-0B5CDC32A50C}" destId="{04BA9F1B-4C0E-4581-B9D5-F22371B6F00D}" srcOrd="1" destOrd="0" parTransId="{30B5BDA8-72B1-4C88-8A40-684FAD9590C3}" sibTransId="{BB7700A2-1C1D-4910-B873-0D5E38E1B759}"/>
    <dgm:cxn modelId="{01A66D47-F4FC-4408-BCE8-0742210A0C17}" type="presParOf" srcId="{05D6BD85-EFCB-4224-96CE-27449204538B}" destId="{12355600-4428-440F-999F-78CD82C652E1}" srcOrd="0" destOrd="0" presId="urn:microsoft.com/office/officeart/2005/8/layout/hList6"/>
    <dgm:cxn modelId="{5EEBFA34-2EA8-4878-B238-F4B9F2CCE291}" type="presParOf" srcId="{05D6BD85-EFCB-4224-96CE-27449204538B}" destId="{AAA40D07-A796-4636-A0A6-5F6BC518256E}" srcOrd="1" destOrd="0" presId="urn:microsoft.com/office/officeart/2005/8/layout/hList6"/>
    <dgm:cxn modelId="{AA5A82BD-8508-402B-B252-08BBCE9706E5}" type="presParOf" srcId="{05D6BD85-EFCB-4224-96CE-27449204538B}" destId="{CFC62F13-AAAD-45AF-9209-F5616D16F920}" srcOrd="2" destOrd="0" presId="urn:microsoft.com/office/officeart/2005/8/layout/hList6"/>
    <dgm:cxn modelId="{64097770-2F6D-4523-A533-24E869234DF2}" type="presParOf" srcId="{05D6BD85-EFCB-4224-96CE-27449204538B}" destId="{D697C73A-A36F-4217-B2CB-930B6C503895}" srcOrd="3" destOrd="0" presId="urn:microsoft.com/office/officeart/2005/8/layout/hList6"/>
    <dgm:cxn modelId="{C2B2ADDE-F5B8-462B-A7EC-8C86683D49AA}" type="presParOf" srcId="{05D6BD85-EFCB-4224-96CE-27449204538B}" destId="{9724BF59-FE0D-4DD3-B328-3C46F7020ACB}" srcOrd="4" destOrd="0" presId="urn:microsoft.com/office/officeart/2005/8/layout/h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6D74F9-DD12-429C-8970-E97AB6D27F86}" type="doc">
      <dgm:prSet loTypeId="urn:microsoft.com/office/officeart/2005/8/layout/hList1" loCatId="list" qsTypeId="urn:microsoft.com/office/officeart/2005/8/quickstyle/simple3" qsCatId="simple" csTypeId="urn:microsoft.com/office/officeart/2005/8/colors/accent1_2" csCatId="accent1" phldr="1"/>
      <dgm:spPr/>
    </dgm:pt>
    <dgm:pt modelId="{BBEEAFAD-763E-4DA3-BDC5-AA8C8D24525F}">
      <dgm:prSet phldrT="[Text]"/>
      <dgm:spPr/>
      <dgm:t>
        <a:bodyPr/>
        <a:lstStyle/>
        <a:p>
          <a:r>
            <a:rPr lang="en-US" b="0"/>
            <a:t>Unstructured and inconsistent data </a:t>
          </a:r>
          <a:endParaRPr lang="en-PK"/>
        </a:p>
      </dgm:t>
    </dgm:pt>
    <dgm:pt modelId="{196A4A41-C7F5-4170-BC0A-3AE5352E6F72}" type="parTrans" cxnId="{70533B0F-7184-4E37-A98A-5B06F1139939}">
      <dgm:prSet/>
      <dgm:spPr/>
      <dgm:t>
        <a:bodyPr/>
        <a:lstStyle/>
        <a:p>
          <a:endParaRPr lang="en-PK"/>
        </a:p>
      </dgm:t>
    </dgm:pt>
    <dgm:pt modelId="{F37A1640-32EF-48AE-AAD0-470DDE739671}" type="sibTrans" cxnId="{70533B0F-7184-4E37-A98A-5B06F1139939}">
      <dgm:prSet/>
      <dgm:spPr/>
      <dgm:t>
        <a:bodyPr/>
        <a:lstStyle/>
        <a:p>
          <a:endParaRPr lang="en-PK"/>
        </a:p>
      </dgm:t>
    </dgm:pt>
    <dgm:pt modelId="{3918AF69-A918-42A3-B576-6A33B0BD1781}">
      <dgm:prSet phldrT="[Text]"/>
      <dgm:spPr/>
      <dgm:t>
        <a:bodyPr/>
        <a:lstStyle/>
        <a:p>
          <a:r>
            <a:rPr lang="en-US" b="0"/>
            <a:t>Lack of standardization in digital AE reporting </a:t>
          </a:r>
          <a:endParaRPr lang="en-PK"/>
        </a:p>
      </dgm:t>
    </dgm:pt>
    <dgm:pt modelId="{75E37642-0D66-4898-9FD9-E2403CDB7938}" type="parTrans" cxnId="{F4F9B4F8-67CE-4E2D-A05D-74B14B86935D}">
      <dgm:prSet/>
      <dgm:spPr/>
      <dgm:t>
        <a:bodyPr/>
        <a:lstStyle/>
        <a:p>
          <a:endParaRPr lang="en-PK"/>
        </a:p>
      </dgm:t>
    </dgm:pt>
    <dgm:pt modelId="{1673C355-1600-4840-A7FD-96E0E7386A4A}" type="sibTrans" cxnId="{F4F9B4F8-67CE-4E2D-A05D-74B14B86935D}">
      <dgm:prSet/>
      <dgm:spPr/>
      <dgm:t>
        <a:bodyPr/>
        <a:lstStyle/>
        <a:p>
          <a:endParaRPr lang="en-PK"/>
        </a:p>
      </dgm:t>
    </dgm:pt>
    <dgm:pt modelId="{1465F31F-0976-47D2-A5DB-D81B1B575BC7}" type="pres">
      <dgm:prSet presAssocID="{516D74F9-DD12-429C-8970-E97AB6D27F86}" presName="Name0" presStyleCnt="0">
        <dgm:presLayoutVars>
          <dgm:dir/>
          <dgm:animLvl val="lvl"/>
          <dgm:resizeHandles val="exact"/>
        </dgm:presLayoutVars>
      </dgm:prSet>
      <dgm:spPr/>
    </dgm:pt>
    <dgm:pt modelId="{3B66FA25-3486-4A4F-A15F-99CA5C69141F}" type="pres">
      <dgm:prSet presAssocID="{BBEEAFAD-763E-4DA3-BDC5-AA8C8D24525F}" presName="composite" presStyleCnt="0"/>
      <dgm:spPr/>
    </dgm:pt>
    <dgm:pt modelId="{D362E51B-650B-43B5-83D9-1CC2C7A303E2}" type="pres">
      <dgm:prSet presAssocID="{BBEEAFAD-763E-4DA3-BDC5-AA8C8D24525F}" presName="parTx" presStyleLbl="alignNode1" presStyleIdx="0" presStyleCnt="2">
        <dgm:presLayoutVars>
          <dgm:chMax val="0"/>
          <dgm:chPref val="0"/>
          <dgm:bulletEnabled val="1"/>
        </dgm:presLayoutVars>
      </dgm:prSet>
      <dgm:spPr/>
    </dgm:pt>
    <dgm:pt modelId="{07EA5983-CDDE-41C4-82DB-78EC708AF621}" type="pres">
      <dgm:prSet presAssocID="{BBEEAFAD-763E-4DA3-BDC5-AA8C8D24525F}" presName="desTx" presStyleLbl="alignAccFollowNode1" presStyleIdx="0" presStyleCnt="2">
        <dgm:presLayoutVars>
          <dgm:bulletEnabled val="1"/>
        </dgm:presLayoutVars>
      </dgm:prSet>
      <dgm:spPr/>
    </dgm:pt>
    <dgm:pt modelId="{54EB8EC4-A4B0-4AC5-B6CF-47A100B88DB2}" type="pres">
      <dgm:prSet presAssocID="{F37A1640-32EF-48AE-AAD0-470DDE739671}" presName="space" presStyleCnt="0"/>
      <dgm:spPr/>
    </dgm:pt>
    <dgm:pt modelId="{B676FF87-7EEE-40BC-BD5B-B0DC73EC61FA}" type="pres">
      <dgm:prSet presAssocID="{3918AF69-A918-42A3-B576-6A33B0BD1781}" presName="composite" presStyleCnt="0"/>
      <dgm:spPr/>
    </dgm:pt>
    <dgm:pt modelId="{33EC2410-CB81-4390-B916-F75660C1DE3A}" type="pres">
      <dgm:prSet presAssocID="{3918AF69-A918-42A3-B576-6A33B0BD1781}" presName="parTx" presStyleLbl="alignNode1" presStyleIdx="1" presStyleCnt="2">
        <dgm:presLayoutVars>
          <dgm:chMax val="0"/>
          <dgm:chPref val="0"/>
          <dgm:bulletEnabled val="1"/>
        </dgm:presLayoutVars>
      </dgm:prSet>
      <dgm:spPr/>
    </dgm:pt>
    <dgm:pt modelId="{6BD168B6-A429-42D8-80B6-5EF1DC7FFC81}" type="pres">
      <dgm:prSet presAssocID="{3918AF69-A918-42A3-B576-6A33B0BD1781}" presName="desTx" presStyleLbl="alignAccFollowNode1" presStyleIdx="1" presStyleCnt="2">
        <dgm:presLayoutVars>
          <dgm:bulletEnabled val="1"/>
        </dgm:presLayoutVars>
      </dgm:prSet>
      <dgm:spPr/>
    </dgm:pt>
  </dgm:ptLst>
  <dgm:cxnLst>
    <dgm:cxn modelId="{70533B0F-7184-4E37-A98A-5B06F1139939}" srcId="{516D74F9-DD12-429C-8970-E97AB6D27F86}" destId="{BBEEAFAD-763E-4DA3-BDC5-AA8C8D24525F}" srcOrd="0" destOrd="0" parTransId="{196A4A41-C7F5-4170-BC0A-3AE5352E6F72}" sibTransId="{F37A1640-32EF-48AE-AAD0-470DDE739671}"/>
    <dgm:cxn modelId="{5103A052-B93C-46E2-A9F2-2B391079AFD0}" type="presOf" srcId="{516D74F9-DD12-429C-8970-E97AB6D27F86}" destId="{1465F31F-0976-47D2-A5DB-D81B1B575BC7}" srcOrd="0" destOrd="0" presId="urn:microsoft.com/office/officeart/2005/8/layout/hList1"/>
    <dgm:cxn modelId="{88ED1B5A-B8FE-4EA2-B1BE-F6B8AE78F510}" type="presOf" srcId="{3918AF69-A918-42A3-B576-6A33B0BD1781}" destId="{33EC2410-CB81-4390-B916-F75660C1DE3A}" srcOrd="0" destOrd="0" presId="urn:microsoft.com/office/officeart/2005/8/layout/hList1"/>
    <dgm:cxn modelId="{874D9DE5-8309-4077-A6C8-B57C4CB8CA34}" type="presOf" srcId="{BBEEAFAD-763E-4DA3-BDC5-AA8C8D24525F}" destId="{D362E51B-650B-43B5-83D9-1CC2C7A303E2}" srcOrd="0" destOrd="0" presId="urn:microsoft.com/office/officeart/2005/8/layout/hList1"/>
    <dgm:cxn modelId="{F4F9B4F8-67CE-4E2D-A05D-74B14B86935D}" srcId="{516D74F9-DD12-429C-8970-E97AB6D27F86}" destId="{3918AF69-A918-42A3-B576-6A33B0BD1781}" srcOrd="1" destOrd="0" parTransId="{75E37642-0D66-4898-9FD9-E2403CDB7938}" sibTransId="{1673C355-1600-4840-A7FD-96E0E7386A4A}"/>
    <dgm:cxn modelId="{3710DE56-2F13-420B-857F-26A5FC93F6C4}" type="presParOf" srcId="{1465F31F-0976-47D2-A5DB-D81B1B575BC7}" destId="{3B66FA25-3486-4A4F-A15F-99CA5C69141F}" srcOrd="0" destOrd="0" presId="urn:microsoft.com/office/officeart/2005/8/layout/hList1"/>
    <dgm:cxn modelId="{989AECD0-9EFB-4F31-A380-B6F1816657BD}" type="presParOf" srcId="{3B66FA25-3486-4A4F-A15F-99CA5C69141F}" destId="{D362E51B-650B-43B5-83D9-1CC2C7A303E2}" srcOrd="0" destOrd="0" presId="urn:microsoft.com/office/officeart/2005/8/layout/hList1"/>
    <dgm:cxn modelId="{6E1A1C57-0B9D-4053-A6CA-CA80F6E9F9F4}" type="presParOf" srcId="{3B66FA25-3486-4A4F-A15F-99CA5C69141F}" destId="{07EA5983-CDDE-41C4-82DB-78EC708AF621}" srcOrd="1" destOrd="0" presId="urn:microsoft.com/office/officeart/2005/8/layout/hList1"/>
    <dgm:cxn modelId="{599AE96A-7980-43FE-AE2E-8EA088251FD8}" type="presParOf" srcId="{1465F31F-0976-47D2-A5DB-D81B1B575BC7}" destId="{54EB8EC4-A4B0-4AC5-B6CF-47A100B88DB2}" srcOrd="1" destOrd="0" presId="urn:microsoft.com/office/officeart/2005/8/layout/hList1"/>
    <dgm:cxn modelId="{8E2C0DC6-64B8-4460-B97B-D3A6C3281020}" type="presParOf" srcId="{1465F31F-0976-47D2-A5DB-D81B1B575BC7}" destId="{B676FF87-7EEE-40BC-BD5B-B0DC73EC61FA}" srcOrd="2" destOrd="0" presId="urn:microsoft.com/office/officeart/2005/8/layout/hList1"/>
    <dgm:cxn modelId="{4D35BA86-F198-482A-9E6A-89E36472B94B}" type="presParOf" srcId="{B676FF87-7EEE-40BC-BD5B-B0DC73EC61FA}" destId="{33EC2410-CB81-4390-B916-F75660C1DE3A}" srcOrd="0" destOrd="0" presId="urn:microsoft.com/office/officeart/2005/8/layout/hList1"/>
    <dgm:cxn modelId="{857C18EC-B469-457D-99A9-89FA14BD3DF9}" type="presParOf" srcId="{B676FF87-7EEE-40BC-BD5B-B0DC73EC61FA}" destId="{6BD168B6-A429-42D8-80B6-5EF1DC7FFC81}"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55600-4428-440F-999F-78CD82C652E1}">
      <dsp:nvSpPr>
        <dsp:cNvPr id="0" name=""/>
        <dsp:cNvSpPr/>
      </dsp:nvSpPr>
      <dsp:spPr>
        <a:xfrm rot="16200000">
          <a:off x="-716160" y="716160"/>
          <a:ext cx="3200400" cy="1768078"/>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0" tIns="0" rIns="129570" bIns="0" numCol="1" spcCol="1270" anchor="ctr" anchorCtr="0">
          <a:noAutofit/>
        </a:bodyPr>
        <a:lstStyle/>
        <a:p>
          <a:pPr marL="0" lvl="0" indent="0" algn="ctr" defTabSz="889000">
            <a:lnSpc>
              <a:spcPct val="90000"/>
            </a:lnSpc>
            <a:spcBef>
              <a:spcPct val="0"/>
            </a:spcBef>
            <a:spcAft>
              <a:spcPct val="35000"/>
            </a:spcAft>
            <a:buNone/>
          </a:pPr>
          <a:r>
            <a:rPr lang="en-US" sz="2000" b="0" kern="1200"/>
            <a:t>Data Reliability</a:t>
          </a:r>
          <a:endParaRPr lang="en-PK" sz="2000" kern="1200"/>
        </a:p>
      </dsp:txBody>
      <dsp:txXfrm rot="5400000">
        <a:off x="1" y="640079"/>
        <a:ext cx="1768078" cy="1920240"/>
      </dsp:txXfrm>
    </dsp:sp>
    <dsp:sp modelId="{CFC62F13-AAAD-45AF-9209-F5616D16F920}">
      <dsp:nvSpPr>
        <dsp:cNvPr id="0" name=""/>
        <dsp:cNvSpPr/>
      </dsp:nvSpPr>
      <dsp:spPr>
        <a:xfrm rot="16200000">
          <a:off x="1185027" y="716160"/>
          <a:ext cx="3200400" cy="1768078"/>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0" tIns="0" rIns="129570" bIns="0" numCol="1" spcCol="1270" anchor="ctr" anchorCtr="0">
          <a:noAutofit/>
        </a:bodyPr>
        <a:lstStyle/>
        <a:p>
          <a:pPr marL="0" lvl="0" indent="0" algn="ctr" defTabSz="889000">
            <a:lnSpc>
              <a:spcPct val="90000"/>
            </a:lnSpc>
            <a:spcBef>
              <a:spcPct val="0"/>
            </a:spcBef>
            <a:spcAft>
              <a:spcPct val="35000"/>
            </a:spcAft>
            <a:buNone/>
          </a:pPr>
          <a:r>
            <a:rPr lang="en-US" sz="2000" b="0" kern="1200"/>
            <a:t>Regulatory Compliance</a:t>
          </a:r>
          <a:endParaRPr lang="en-PK" sz="2000" kern="1200"/>
        </a:p>
      </dsp:txBody>
      <dsp:txXfrm rot="5400000">
        <a:off x="1901188" y="640079"/>
        <a:ext cx="1768078" cy="1920240"/>
      </dsp:txXfrm>
    </dsp:sp>
    <dsp:sp modelId="{9724BF59-FE0D-4DD3-B328-3C46F7020ACB}">
      <dsp:nvSpPr>
        <dsp:cNvPr id="0" name=""/>
        <dsp:cNvSpPr/>
      </dsp:nvSpPr>
      <dsp:spPr>
        <a:xfrm rot="16200000">
          <a:off x="3228955" y="758188"/>
          <a:ext cx="2829857" cy="1684023"/>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0" tIns="0" rIns="129570" bIns="0" numCol="1" spcCol="1270" anchor="ctr" anchorCtr="0">
          <a:noAutofit/>
        </a:bodyPr>
        <a:lstStyle/>
        <a:p>
          <a:pPr marL="0" lvl="0" indent="0" algn="ctr" defTabSz="889000">
            <a:lnSpc>
              <a:spcPct val="90000"/>
            </a:lnSpc>
            <a:spcBef>
              <a:spcPct val="0"/>
            </a:spcBef>
            <a:spcAft>
              <a:spcPct val="35000"/>
            </a:spcAft>
            <a:buNone/>
          </a:pPr>
          <a:r>
            <a:rPr lang="en-US" sz="2000" b="0" kern="1200"/>
            <a:t>Technological Limitations </a:t>
          </a:r>
          <a:endParaRPr lang="en-PK" sz="2000" kern="1200"/>
        </a:p>
      </dsp:txBody>
      <dsp:txXfrm rot="5400000">
        <a:off x="3801872" y="751242"/>
        <a:ext cx="1684023" cy="1697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2E51B-650B-43B5-83D9-1CC2C7A303E2}">
      <dsp:nvSpPr>
        <dsp:cNvPr id="0" name=""/>
        <dsp:cNvSpPr/>
      </dsp:nvSpPr>
      <dsp:spPr>
        <a:xfrm>
          <a:off x="26" y="657475"/>
          <a:ext cx="2563713" cy="100704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42240" tIns="81280" rIns="142240" bIns="81280" numCol="1" spcCol="1270" anchor="ctr" anchorCtr="0">
          <a:noAutofit/>
        </a:bodyPr>
        <a:lstStyle/>
        <a:p>
          <a:pPr marL="0" lvl="0" indent="0" algn="ctr" defTabSz="889000">
            <a:lnSpc>
              <a:spcPct val="90000"/>
            </a:lnSpc>
            <a:spcBef>
              <a:spcPct val="0"/>
            </a:spcBef>
            <a:spcAft>
              <a:spcPct val="35000"/>
            </a:spcAft>
            <a:buNone/>
          </a:pPr>
          <a:r>
            <a:rPr lang="en-US" sz="2000" b="0" kern="1200"/>
            <a:t>Unstructured and inconsistent data </a:t>
          </a:r>
          <a:endParaRPr lang="en-PK" sz="2000" kern="1200"/>
        </a:p>
      </dsp:txBody>
      <dsp:txXfrm>
        <a:off x="26" y="657475"/>
        <a:ext cx="2563713" cy="1007049"/>
      </dsp:txXfrm>
    </dsp:sp>
    <dsp:sp modelId="{07EA5983-CDDE-41C4-82DB-78EC708AF621}">
      <dsp:nvSpPr>
        <dsp:cNvPr id="0" name=""/>
        <dsp:cNvSpPr/>
      </dsp:nvSpPr>
      <dsp:spPr>
        <a:xfrm>
          <a:off x="26" y="1664524"/>
          <a:ext cx="2563713" cy="878400"/>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33EC2410-CB81-4390-B916-F75660C1DE3A}">
      <dsp:nvSpPr>
        <dsp:cNvPr id="0" name=""/>
        <dsp:cNvSpPr/>
      </dsp:nvSpPr>
      <dsp:spPr>
        <a:xfrm>
          <a:off x="2922659" y="657475"/>
          <a:ext cx="2563713" cy="100704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142240" tIns="81280" rIns="142240" bIns="81280" numCol="1" spcCol="1270" anchor="ctr" anchorCtr="0">
          <a:noAutofit/>
        </a:bodyPr>
        <a:lstStyle/>
        <a:p>
          <a:pPr marL="0" lvl="0" indent="0" algn="ctr" defTabSz="889000">
            <a:lnSpc>
              <a:spcPct val="90000"/>
            </a:lnSpc>
            <a:spcBef>
              <a:spcPct val="0"/>
            </a:spcBef>
            <a:spcAft>
              <a:spcPct val="35000"/>
            </a:spcAft>
            <a:buNone/>
          </a:pPr>
          <a:r>
            <a:rPr lang="en-US" sz="2000" b="0" kern="1200"/>
            <a:t>Lack of standardization in digital AE reporting </a:t>
          </a:r>
          <a:endParaRPr lang="en-PK" sz="2000" kern="1200"/>
        </a:p>
      </dsp:txBody>
      <dsp:txXfrm>
        <a:off x="2922659" y="657475"/>
        <a:ext cx="2563713" cy="1007049"/>
      </dsp:txXfrm>
    </dsp:sp>
    <dsp:sp modelId="{6BD168B6-A429-42D8-80B6-5EF1DC7FFC81}">
      <dsp:nvSpPr>
        <dsp:cNvPr id="0" name=""/>
        <dsp:cNvSpPr/>
      </dsp:nvSpPr>
      <dsp:spPr>
        <a:xfrm>
          <a:off x="2922659" y="1664524"/>
          <a:ext cx="2563713" cy="878400"/>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838268-90DF-420E-98EA-E56AFA44325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4D0C-3701-41E9-B891-B6C2088B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www.ejaet.org ISSN 2394-658X EUROPEAN JOURNAL OF ADVANCES IN ENGINEERING AND TECHNOLOGY (EJAET)</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www.ejaet.org ISSN 2394-658X EUROPEAN JOURNAL OF ADVANCES IN ENGINEERING AND TECHNOLOGY (EJAET)</dc:title>
  <dc:subject/>
  <dc:creator>new</dc:creator>
  <cp:keywords/>
  <cp:lastModifiedBy>VAni Pathuri</cp:lastModifiedBy>
  <cp:revision>5</cp:revision>
  <dcterms:created xsi:type="dcterms:W3CDTF">2025-02-21T14:44:00Z</dcterms:created>
  <dcterms:modified xsi:type="dcterms:W3CDTF">2025-02-21T15:59:00Z</dcterms:modified>
</cp:coreProperties>
</file>