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692" w:rsidRPr="00C63360" w:rsidRDefault="00CE0D88" w:rsidP="00AD7692">
      <w:pPr>
        <w:pStyle w:val="IEEEAuthorName"/>
        <w:spacing w:before="0" w:line="276" w:lineRule="auto"/>
        <w:rPr>
          <w:b/>
          <w:bCs/>
          <w:sz w:val="36"/>
          <w:lang w:val="en-IN"/>
        </w:rPr>
      </w:pPr>
      <w:bookmarkStart w:id="0" w:name="_GoBack"/>
      <w:bookmarkEnd w:id="0"/>
      <w:r>
        <w:rPr>
          <w:b/>
          <w:bCs/>
          <w:sz w:val="36"/>
          <w:lang w:val="en-IN"/>
        </w:rPr>
        <w:t xml:space="preserve"> </w:t>
      </w:r>
      <w:r w:rsidR="00C63360">
        <w:rPr>
          <w:b/>
          <w:bCs/>
          <w:sz w:val="36"/>
          <w:lang w:val="en-IN"/>
        </w:rPr>
        <w:t>“</w:t>
      </w:r>
      <w:r w:rsidR="00AD7692" w:rsidRPr="00C63360">
        <w:rPr>
          <w:b/>
          <w:bCs/>
          <w:sz w:val="36"/>
          <w:lang w:val="en-IN"/>
        </w:rPr>
        <w:t>Enhancing the Implementation of Town Planning Schemes in Bangalore Metropolitan Region</w:t>
      </w:r>
      <w:r w:rsidR="0083628F">
        <w:rPr>
          <w:b/>
          <w:bCs/>
          <w:sz w:val="36"/>
          <w:lang w:val="en-IN"/>
        </w:rPr>
        <w:t xml:space="preserve"> (BMR)</w:t>
      </w:r>
      <w:r w:rsidR="00AD7692" w:rsidRPr="00C63360">
        <w:rPr>
          <w:b/>
          <w:bCs/>
          <w:sz w:val="36"/>
          <w:lang w:val="en-IN"/>
        </w:rPr>
        <w:t>: Challenges, Strategies, and Policy Implications</w:t>
      </w:r>
      <w:r w:rsidR="00C63360">
        <w:rPr>
          <w:b/>
          <w:bCs/>
          <w:sz w:val="36"/>
          <w:lang w:val="en-IN"/>
        </w:rPr>
        <w:t>”</w:t>
      </w:r>
    </w:p>
    <w:p w:rsidR="004B7B15" w:rsidRPr="005E3524" w:rsidRDefault="004B7B15" w:rsidP="004B7B15">
      <w:pPr>
        <w:rPr>
          <w:lang w:val="en-US" w:eastAsia="en-GB"/>
        </w:rPr>
      </w:pPr>
    </w:p>
    <w:p w:rsidR="004B7B15" w:rsidRDefault="004B7B15" w:rsidP="004B7B15">
      <w:pPr>
        <w:pStyle w:val="NormalWeb"/>
        <w:spacing w:before="0" w:beforeAutospacing="0" w:after="0" w:afterAutospacing="0"/>
        <w:jc w:val="center"/>
        <w:rPr>
          <w:rStyle w:val="Strong"/>
        </w:rPr>
      </w:pPr>
      <w:proofErr w:type="spellStart"/>
      <w:r>
        <w:rPr>
          <w:rStyle w:val="Strong"/>
        </w:rPr>
        <w:t>Sannappaiah</w:t>
      </w:r>
      <w:proofErr w:type="spellEnd"/>
      <w:r>
        <w:rPr>
          <w:rStyle w:val="Strong"/>
        </w:rPr>
        <w:t xml:space="preserve"> H.V. </w:t>
      </w:r>
      <w:r>
        <w:t>(Research Scholar</w:t>
      </w:r>
      <w:proofErr w:type="gramStart"/>
      <w:r>
        <w:t>)¹</w:t>
      </w:r>
      <w:proofErr w:type="gramEnd"/>
      <w:r>
        <w:t xml:space="preserve">, </w:t>
      </w:r>
      <w:proofErr w:type="spellStart"/>
      <w:r>
        <w:rPr>
          <w:rStyle w:val="Strong"/>
        </w:rPr>
        <w:t>Prof.</w:t>
      </w:r>
      <w:proofErr w:type="spellEnd"/>
      <w:r>
        <w:rPr>
          <w:rStyle w:val="Strong"/>
        </w:rPr>
        <w:t xml:space="preserve"> </w:t>
      </w:r>
      <w:proofErr w:type="spellStart"/>
      <w:r>
        <w:rPr>
          <w:rStyle w:val="Strong"/>
        </w:rPr>
        <w:t>Dr.</w:t>
      </w:r>
      <w:proofErr w:type="spellEnd"/>
      <w:r>
        <w:rPr>
          <w:rStyle w:val="Strong"/>
        </w:rPr>
        <w:t xml:space="preserve"> H. N. </w:t>
      </w:r>
      <w:proofErr w:type="spellStart"/>
      <w:r>
        <w:rPr>
          <w:rStyle w:val="Strong"/>
        </w:rPr>
        <w:t>Nagendra</w:t>
      </w:r>
      <w:proofErr w:type="spellEnd"/>
      <w:r>
        <w:t xml:space="preserve"> (Professor)¹,</w:t>
      </w:r>
      <w:r w:rsidRPr="004E4DD5">
        <w:rPr>
          <w:rStyle w:val="Strong"/>
        </w:rPr>
        <w:t xml:space="preserve"> </w:t>
      </w:r>
    </w:p>
    <w:p w:rsidR="004B7B15" w:rsidRDefault="004B7B15" w:rsidP="004B7B15">
      <w:pPr>
        <w:pStyle w:val="NormalWeb"/>
        <w:spacing w:before="0" w:beforeAutospacing="0" w:after="0" w:afterAutospacing="0"/>
        <w:jc w:val="center"/>
      </w:pPr>
      <w:proofErr w:type="spellStart"/>
      <w:r>
        <w:rPr>
          <w:rStyle w:val="Strong"/>
        </w:rPr>
        <w:t>Dr.</w:t>
      </w:r>
      <w:proofErr w:type="spellEnd"/>
      <w:r>
        <w:rPr>
          <w:rStyle w:val="Strong"/>
        </w:rPr>
        <w:t xml:space="preserve"> </w:t>
      </w:r>
      <w:proofErr w:type="spellStart"/>
      <w:r>
        <w:rPr>
          <w:rStyle w:val="Strong"/>
        </w:rPr>
        <w:t>Goutham</w:t>
      </w:r>
      <w:proofErr w:type="spellEnd"/>
      <w:r>
        <w:rPr>
          <w:rStyle w:val="Strong"/>
        </w:rPr>
        <w:t xml:space="preserve"> </w:t>
      </w:r>
      <w:proofErr w:type="spellStart"/>
      <w:r>
        <w:rPr>
          <w:rStyle w:val="Strong"/>
        </w:rPr>
        <w:t>Konikar</w:t>
      </w:r>
      <w:proofErr w:type="spellEnd"/>
      <w:r>
        <w:rPr>
          <w:rStyle w:val="Strong"/>
        </w:rPr>
        <w:t xml:space="preserve"> S. M.</w:t>
      </w:r>
      <w:r>
        <w:t xml:space="preserve"> (Faculty</w:t>
      </w:r>
      <w:proofErr w:type="gramStart"/>
      <w:r>
        <w:t>)¹</w:t>
      </w:r>
      <w:proofErr w:type="gramEnd"/>
      <w:r>
        <w:t xml:space="preserve">, and </w:t>
      </w:r>
      <w:r>
        <w:rPr>
          <w:rStyle w:val="Strong"/>
        </w:rPr>
        <w:t xml:space="preserve">Ar. </w:t>
      </w:r>
      <w:proofErr w:type="spellStart"/>
      <w:r>
        <w:rPr>
          <w:rStyle w:val="Strong"/>
        </w:rPr>
        <w:t>Kavyashree</w:t>
      </w:r>
      <w:proofErr w:type="spellEnd"/>
      <w:r>
        <w:rPr>
          <w:rStyle w:val="Strong"/>
        </w:rPr>
        <w:t xml:space="preserve"> U. A.</w:t>
      </w:r>
      <w:r>
        <w:t xml:space="preserve"> (Faculty)²</w:t>
      </w:r>
    </w:p>
    <w:p w:rsidR="004B7B15" w:rsidRPr="004E4DD5" w:rsidRDefault="004B7B15" w:rsidP="004B7B15">
      <w:pPr>
        <w:pStyle w:val="NormalWeb"/>
        <w:jc w:val="center"/>
        <w:rPr>
          <w:i/>
        </w:rPr>
      </w:pPr>
      <w:r w:rsidRPr="004E4DD5">
        <w:rPr>
          <w:b/>
          <w:i/>
        </w:rPr>
        <w:t>¹</w:t>
      </w:r>
      <w:r w:rsidRPr="004E4DD5">
        <w:rPr>
          <w:i/>
        </w:rPr>
        <w:t xml:space="preserve"> Department of Urban and Regional Planning, School of Planning &amp; Architecture, University of Mysore, Mysuru, Karnataka, India</w:t>
      </w:r>
      <w:r>
        <w:rPr>
          <w:i/>
        </w:rPr>
        <w:t>.</w:t>
      </w:r>
      <w:r w:rsidRPr="004E4DD5">
        <w:rPr>
          <w:i/>
        </w:rPr>
        <w:br/>
      </w:r>
      <w:r w:rsidRPr="004E4DD5">
        <w:rPr>
          <w:b/>
          <w:i/>
        </w:rPr>
        <w:t>²</w:t>
      </w:r>
      <w:r w:rsidRPr="004E4DD5">
        <w:rPr>
          <w:i/>
        </w:rPr>
        <w:t xml:space="preserve"> Department of Architecture, School of Planning &amp; Architecture, University of Mysore, Mysuru, Karnataka, India</w:t>
      </w:r>
      <w:r>
        <w:rPr>
          <w:i/>
        </w:rPr>
        <w:t>.</w:t>
      </w:r>
    </w:p>
    <w:p w:rsidR="004B7B15" w:rsidRDefault="004B7B15" w:rsidP="004B7B15">
      <w:pPr>
        <w:pStyle w:val="NormalWeb"/>
        <w:spacing w:before="0" w:beforeAutospacing="0" w:after="0" w:afterAutospacing="0"/>
        <w:jc w:val="center"/>
        <w:rPr>
          <w:rStyle w:val="Strong"/>
          <w:b w:val="0"/>
          <w:bCs w:val="0"/>
        </w:rPr>
      </w:pPr>
      <w:r>
        <w:rPr>
          <w:rStyle w:val="Strong"/>
        </w:rPr>
        <w:t>Corresponding Author:</w:t>
      </w:r>
      <w:r>
        <w:t xml:space="preserve"> </w:t>
      </w:r>
      <w:proofErr w:type="spellStart"/>
      <w:r w:rsidRPr="004B7B15">
        <w:t>Sannappaiah</w:t>
      </w:r>
      <w:proofErr w:type="spellEnd"/>
      <w:r w:rsidRPr="004B7B15">
        <w:t xml:space="preserve"> H.V. </w:t>
      </w:r>
    </w:p>
    <w:p w:rsidR="004B7B15" w:rsidRPr="004B7B15" w:rsidRDefault="004B7B15" w:rsidP="004B7B15">
      <w:pPr>
        <w:jc w:val="center"/>
        <w:rPr>
          <w:lang w:val="en-IN" w:eastAsia="en-GB"/>
        </w:rPr>
      </w:pPr>
      <w:r>
        <w:rPr>
          <w:rStyle w:val="Strong"/>
        </w:rPr>
        <w:t>Email:</w:t>
      </w:r>
      <w:r>
        <w:t xml:space="preserve"> </w:t>
      </w:r>
      <w:hyperlink r:id="rId7" w:history="1">
        <w:r w:rsidRPr="001057C8">
          <w:rPr>
            <w:rStyle w:val="Hyperlink"/>
          </w:rPr>
          <w:t>gouthamsmkonikar@gmail.com</w:t>
        </w:r>
      </w:hyperlink>
    </w:p>
    <w:p w:rsidR="004B7B15" w:rsidRDefault="004B7B15" w:rsidP="004B7B15">
      <w:pPr>
        <w:pStyle w:val="IEEEAuthorName"/>
        <w:spacing w:before="0" w:line="276" w:lineRule="auto"/>
        <w:rPr>
          <w:b/>
          <w:bCs/>
          <w:sz w:val="24"/>
          <w:lang w:val="en-IN"/>
        </w:rPr>
      </w:pPr>
    </w:p>
    <w:p w:rsidR="00BB558C" w:rsidRDefault="004B7B15" w:rsidP="00AD7692">
      <w:pPr>
        <w:pStyle w:val="IEEEAuthorName"/>
        <w:spacing w:before="0" w:line="276" w:lineRule="auto"/>
        <w:jc w:val="both"/>
        <w:rPr>
          <w:sz w:val="24"/>
          <w:lang w:val="en-IN"/>
        </w:rPr>
      </w:pPr>
      <w:r>
        <w:rPr>
          <w:b/>
          <w:bCs/>
          <w:sz w:val="24"/>
          <w:lang w:val="en-IN"/>
        </w:rPr>
        <w:t xml:space="preserve">ABSTRACT </w:t>
      </w:r>
    </w:p>
    <w:p w:rsidR="00AD7692" w:rsidRPr="00BB558C" w:rsidRDefault="00AD7692" w:rsidP="00FF4C21">
      <w:pPr>
        <w:pStyle w:val="IEEEAuthorName"/>
        <w:spacing w:before="0" w:line="276" w:lineRule="auto"/>
        <w:ind w:firstLine="720"/>
        <w:jc w:val="both"/>
        <w:rPr>
          <w:i/>
          <w:sz w:val="24"/>
          <w:lang w:val="en-IN"/>
        </w:rPr>
      </w:pPr>
      <w:r w:rsidRPr="00BB558C">
        <w:rPr>
          <w:i/>
          <w:sz w:val="24"/>
          <w:lang w:val="en-IN"/>
        </w:rPr>
        <w:t>Urbanization has been a defining characteristic of the 21st century, with metropolitan regions experiencing rapid growth. According to the United Nations (2021), urban populations are expected to account for nearly 68% of the world’s population by 2050, necessitating strategic planning interventions. India’s urban population is projected to reach 40% by 2030 (</w:t>
      </w:r>
      <w:proofErr w:type="spellStart"/>
      <w:r w:rsidRPr="00BB558C">
        <w:rPr>
          <w:i/>
          <w:sz w:val="24"/>
          <w:lang w:val="en-IN"/>
        </w:rPr>
        <w:t>MoHUA</w:t>
      </w:r>
      <w:proofErr w:type="spellEnd"/>
      <w:r w:rsidRPr="00BB558C">
        <w:rPr>
          <w:i/>
          <w:sz w:val="24"/>
          <w:lang w:val="en-IN"/>
        </w:rPr>
        <w:t>, 2020), creating challenges for governance, land management, and infrastructure provision.</w:t>
      </w:r>
    </w:p>
    <w:p w:rsidR="00AD7692" w:rsidRPr="00BB558C" w:rsidRDefault="00AD7692" w:rsidP="00FF4C21">
      <w:pPr>
        <w:pStyle w:val="IEEEAuthorName"/>
        <w:spacing w:before="0" w:line="276" w:lineRule="auto"/>
        <w:ind w:firstLine="720"/>
        <w:jc w:val="both"/>
        <w:rPr>
          <w:i/>
          <w:sz w:val="24"/>
          <w:lang w:val="en-IN"/>
        </w:rPr>
      </w:pPr>
      <w:r w:rsidRPr="00BB558C">
        <w:rPr>
          <w:i/>
          <w:sz w:val="24"/>
          <w:lang w:val="en-IN"/>
        </w:rPr>
        <w:t>Bangalore Metropolitan Region (BMR), as one of India’s fastest-growing urban areas, faces significant planning challenges due to unplanned expansion. While regulatory frameworks exist, the fragmented nature of governance and regulatory overlaps among multiple agencies often delay project execution. Town Planning Schemes (TPS) have emerged as an effective tool for structured urban growth, particularly in rapidly urbanizing areas. TPS enables planned urban development by integrating infrastructure provisioning with equitable land redistribution. However, despite its potential, the implementation of TPS in BMR has been hindered by institutional bottlenecks, legal complexities, landowner resistance, and financial constraints.</w:t>
      </w:r>
    </w:p>
    <w:p w:rsidR="00AD7692" w:rsidRPr="00BB558C" w:rsidRDefault="00AD7692" w:rsidP="00FF4C21">
      <w:pPr>
        <w:pStyle w:val="IEEEAuthorName"/>
        <w:spacing w:before="0" w:line="276" w:lineRule="auto"/>
        <w:ind w:firstLine="720"/>
        <w:jc w:val="both"/>
        <w:rPr>
          <w:i/>
          <w:sz w:val="24"/>
          <w:lang w:val="en-IN"/>
        </w:rPr>
      </w:pPr>
      <w:r w:rsidRPr="00BB558C">
        <w:rPr>
          <w:i/>
          <w:sz w:val="24"/>
          <w:lang w:val="en-IN"/>
        </w:rPr>
        <w:t>This paper examines the implementation of TPS in BMR, focusing on issues affecting its execution, strategic approaches for enhancement, and policy recommendations. The study draws from global and national urbanization trends, governance frameworks, and case studies of successful TPS implementation. The findings underscore the need for robust institutional coordination, legal clarity, financial sustainability, and community participation to ensure effective TPS implementation in BMR. The paper concludes with policy recommendations for integrating TPS into metropolitan planning to promote sustainable urban development.</w:t>
      </w:r>
    </w:p>
    <w:p w:rsidR="00AD7692" w:rsidRDefault="00AD7692" w:rsidP="00AD7692">
      <w:pPr>
        <w:pStyle w:val="IEEEAuthorName"/>
        <w:spacing w:before="0" w:line="276" w:lineRule="auto"/>
        <w:jc w:val="both"/>
        <w:rPr>
          <w:sz w:val="24"/>
          <w:lang w:val="en-IN"/>
        </w:rPr>
      </w:pPr>
      <w:r w:rsidRPr="00AD7692">
        <w:rPr>
          <w:b/>
          <w:bCs/>
          <w:sz w:val="24"/>
          <w:lang w:val="en-IN"/>
        </w:rPr>
        <w:t>Keywords:</w:t>
      </w:r>
      <w:r w:rsidRPr="00AD7692">
        <w:rPr>
          <w:sz w:val="24"/>
          <w:lang w:val="en-IN"/>
        </w:rPr>
        <w:t xml:space="preserve"> Town Planning Schemes</w:t>
      </w:r>
      <w:r w:rsidR="0083628F">
        <w:rPr>
          <w:sz w:val="24"/>
          <w:lang w:val="en-IN"/>
        </w:rPr>
        <w:t xml:space="preserve"> (TPS)</w:t>
      </w:r>
      <w:r w:rsidRPr="00AD7692">
        <w:rPr>
          <w:sz w:val="24"/>
          <w:lang w:val="en-IN"/>
        </w:rPr>
        <w:t>, Bangalore Metropolitan Region</w:t>
      </w:r>
      <w:r w:rsidR="0083628F">
        <w:rPr>
          <w:sz w:val="24"/>
          <w:lang w:val="en-IN"/>
        </w:rPr>
        <w:t xml:space="preserve"> (BMR)</w:t>
      </w:r>
      <w:r w:rsidRPr="00AD7692">
        <w:rPr>
          <w:sz w:val="24"/>
          <w:lang w:val="en-IN"/>
        </w:rPr>
        <w:t>, Urbanization, Sustainable Planning, Land Management, Policy Implementation</w:t>
      </w:r>
      <w:r w:rsidR="002966D8">
        <w:rPr>
          <w:sz w:val="24"/>
          <w:lang w:val="en-IN"/>
        </w:rPr>
        <w:t>.</w:t>
      </w:r>
    </w:p>
    <w:p w:rsidR="002966D8" w:rsidRDefault="002966D8" w:rsidP="002966D8">
      <w:pPr>
        <w:rPr>
          <w:lang w:val="en-IN" w:eastAsia="en-GB"/>
        </w:rPr>
      </w:pPr>
    </w:p>
    <w:p w:rsidR="002966D8" w:rsidRPr="002966D8" w:rsidRDefault="002966D8" w:rsidP="002966D8">
      <w:pPr>
        <w:rPr>
          <w:lang w:val="en-IN" w:eastAsia="en-GB"/>
        </w:rPr>
      </w:pPr>
    </w:p>
    <w:p w:rsidR="00AD7692" w:rsidRPr="00AD7692" w:rsidRDefault="004B7B15" w:rsidP="00AD7692">
      <w:pPr>
        <w:pStyle w:val="IEEEAuthorName"/>
        <w:spacing w:before="0" w:line="276" w:lineRule="auto"/>
        <w:jc w:val="both"/>
        <w:rPr>
          <w:b/>
          <w:bCs/>
          <w:sz w:val="24"/>
          <w:lang w:val="en-IN"/>
        </w:rPr>
      </w:pPr>
      <w:r>
        <w:rPr>
          <w:b/>
          <w:bCs/>
          <w:sz w:val="24"/>
          <w:lang w:val="en-IN"/>
        </w:rPr>
        <w:lastRenderedPageBreak/>
        <w:t>I</w:t>
      </w:r>
      <w:r w:rsidRPr="00AD7692">
        <w:rPr>
          <w:b/>
          <w:bCs/>
          <w:sz w:val="24"/>
          <w:lang w:val="en-IN"/>
        </w:rPr>
        <w:t>. INTRODUCTION</w:t>
      </w:r>
    </w:p>
    <w:p w:rsidR="00AD7692" w:rsidRPr="00AD7692" w:rsidRDefault="00AD7692" w:rsidP="00BB558C">
      <w:pPr>
        <w:pStyle w:val="IEEEAuthorName"/>
        <w:spacing w:before="0" w:line="276" w:lineRule="auto"/>
        <w:ind w:firstLine="720"/>
        <w:jc w:val="both"/>
        <w:rPr>
          <w:sz w:val="24"/>
          <w:lang w:val="en-IN"/>
        </w:rPr>
      </w:pPr>
      <w:r w:rsidRPr="00AD7692">
        <w:rPr>
          <w:sz w:val="24"/>
          <w:lang w:val="en-IN"/>
        </w:rPr>
        <w:t xml:space="preserve">Urbanization has become a defining feature of global development, with cities acting as economic and social engines. According to the United Nations (2021), more than 55% of the world's population currently resides in urban areas, and this number is expected to increase to 68% by 2050. Rapid urbanization presents numerous challenges, including inadequate infrastructure, environmental degradation, and land-use conflicts (UN-Habitat, 2016). Developing nations, including India, face additional hurdles such as informal settlements, congestion, and inefficient land management, which necessitate robust planning mechanisms (NITI </w:t>
      </w:r>
      <w:proofErr w:type="spellStart"/>
      <w:r w:rsidRPr="00AD7692">
        <w:rPr>
          <w:sz w:val="24"/>
          <w:lang w:val="en-IN"/>
        </w:rPr>
        <w:t>Aayog</w:t>
      </w:r>
      <w:proofErr w:type="spellEnd"/>
      <w:r w:rsidRPr="00AD7692">
        <w:rPr>
          <w:sz w:val="24"/>
          <w:lang w:val="en-IN"/>
        </w:rPr>
        <w:t>, 2019).</w:t>
      </w:r>
    </w:p>
    <w:p w:rsidR="00AD7692" w:rsidRPr="00AD7692" w:rsidRDefault="00AD7692" w:rsidP="00BB558C">
      <w:pPr>
        <w:pStyle w:val="IEEEAuthorName"/>
        <w:spacing w:before="0" w:line="276" w:lineRule="auto"/>
        <w:ind w:firstLine="720"/>
        <w:jc w:val="both"/>
        <w:rPr>
          <w:sz w:val="24"/>
          <w:lang w:val="en-IN"/>
        </w:rPr>
      </w:pPr>
      <w:r w:rsidRPr="00AD7692">
        <w:rPr>
          <w:sz w:val="24"/>
          <w:lang w:val="en-IN"/>
        </w:rPr>
        <w:t>India has experienced significant urban growth, with its urban population projected to increase from 31.2% in 2011 to approximately 40% by 2030 (</w:t>
      </w:r>
      <w:proofErr w:type="spellStart"/>
      <w:r w:rsidRPr="00AD7692">
        <w:rPr>
          <w:sz w:val="24"/>
          <w:lang w:val="en-IN"/>
        </w:rPr>
        <w:t>MoHUA</w:t>
      </w:r>
      <w:proofErr w:type="spellEnd"/>
      <w:r w:rsidRPr="00AD7692">
        <w:rPr>
          <w:sz w:val="24"/>
          <w:lang w:val="en-IN"/>
        </w:rPr>
        <w:t>, 2020). Cities such as Delhi, Mumbai, and Bangalore have expanded beyond their administrative limits, creating pressures on land, housing, and infrastructure (World Bank, 2022). As metropolitan regions grow, managing urban expansion in a structured and sustainable manner becomes imperative.</w:t>
      </w:r>
    </w:p>
    <w:p w:rsidR="00AD7692" w:rsidRPr="00AD7692" w:rsidRDefault="00AD7692" w:rsidP="00BB558C">
      <w:pPr>
        <w:pStyle w:val="IEEEAuthorName"/>
        <w:spacing w:before="0" w:line="276" w:lineRule="auto"/>
        <w:ind w:firstLine="720"/>
        <w:jc w:val="both"/>
        <w:rPr>
          <w:sz w:val="24"/>
          <w:lang w:val="en-IN"/>
        </w:rPr>
      </w:pPr>
      <w:r w:rsidRPr="00AD7692">
        <w:rPr>
          <w:sz w:val="24"/>
          <w:lang w:val="en-IN"/>
        </w:rPr>
        <w:t xml:space="preserve">Bangalore Metropolitan Region (BMR) spans 8,005 sq. km and includes Bangalore Urban, Bangalore Rural, and </w:t>
      </w:r>
      <w:proofErr w:type="spellStart"/>
      <w:r w:rsidRPr="00AD7692">
        <w:rPr>
          <w:sz w:val="24"/>
          <w:lang w:val="en-IN"/>
        </w:rPr>
        <w:t>Ramanagara</w:t>
      </w:r>
      <w:proofErr w:type="spellEnd"/>
      <w:r w:rsidRPr="00AD7692">
        <w:rPr>
          <w:sz w:val="24"/>
          <w:lang w:val="en-IN"/>
        </w:rPr>
        <w:t xml:space="preserve"> districts (BMRDA, 2016). Rapid economic development, driven by the IT sector, has led to significant land-use changes, unregulated urban sprawl, and increased demand for infrastructure (Revised Structure Plan 2031). This unplanned expansion has resulted in inefficient land utilization, traffic congestion, and loss of green spaces, posing severe challenges for sustainable growth.</w:t>
      </w:r>
    </w:p>
    <w:p w:rsidR="00AD7692" w:rsidRPr="00AD7692" w:rsidRDefault="00AD7692" w:rsidP="00BB558C">
      <w:pPr>
        <w:pStyle w:val="IEEEAuthorName"/>
        <w:spacing w:before="0" w:line="276" w:lineRule="auto"/>
        <w:ind w:firstLine="720"/>
        <w:jc w:val="both"/>
        <w:rPr>
          <w:sz w:val="24"/>
          <w:lang w:val="en-IN"/>
        </w:rPr>
      </w:pPr>
      <w:r w:rsidRPr="00AD7692">
        <w:rPr>
          <w:sz w:val="24"/>
          <w:lang w:val="en-IN"/>
        </w:rPr>
        <w:t>Several planning instruments have been deployed to address these challenges, including Master Plans, Zoning Regulations, and Development Control Rules (</w:t>
      </w:r>
      <w:proofErr w:type="spellStart"/>
      <w:r w:rsidRPr="00AD7692">
        <w:rPr>
          <w:sz w:val="24"/>
          <w:lang w:val="en-IN"/>
        </w:rPr>
        <w:t>MoHUA</w:t>
      </w:r>
      <w:proofErr w:type="spellEnd"/>
      <w:r w:rsidRPr="00AD7692">
        <w:rPr>
          <w:sz w:val="24"/>
          <w:lang w:val="en-IN"/>
        </w:rPr>
        <w:t>, 2019). Among these, Town Planning Schemes (TPS) have emerged as a viable mechanism for ensuring structured urban expansion. TPS is a participatory planning approach where landowners contribute land for public infrastructure in exchange for serviced plots. This method has been successfully implemented in Gujarat and Maharashtra, reducing land acquisition disputes and enabling planned growth (NIUA, 2018).</w:t>
      </w:r>
    </w:p>
    <w:p w:rsidR="00AD7692" w:rsidRPr="00AD7692" w:rsidRDefault="00AD7692" w:rsidP="0017634B">
      <w:pPr>
        <w:pStyle w:val="IEEEAuthorName"/>
        <w:spacing w:before="0" w:line="276" w:lineRule="auto"/>
        <w:ind w:firstLine="720"/>
        <w:jc w:val="both"/>
        <w:rPr>
          <w:sz w:val="24"/>
          <w:lang w:val="en-IN"/>
        </w:rPr>
      </w:pPr>
      <w:r w:rsidRPr="00AD7692">
        <w:rPr>
          <w:sz w:val="24"/>
          <w:lang w:val="en-IN"/>
        </w:rPr>
        <w:t xml:space="preserve">Despite its benefits, TPS implementation in BMR faces numerous obstacles, including fragmented governance, slow approvals, financial constraints, and resistance from landowners (BMRDA, 2016). This paper aims to assess these challenges and propose strategic measures to enhance TPS adoption in BMR. The study focuses on </w:t>
      </w:r>
      <w:proofErr w:type="spellStart"/>
      <w:r w:rsidRPr="00AD7692">
        <w:rPr>
          <w:sz w:val="24"/>
          <w:lang w:val="en-IN"/>
        </w:rPr>
        <w:t>analyzing</w:t>
      </w:r>
      <w:proofErr w:type="spellEnd"/>
      <w:r w:rsidRPr="00AD7692">
        <w:rPr>
          <w:sz w:val="24"/>
          <w:lang w:val="en-IN"/>
        </w:rPr>
        <w:t xml:space="preserve"> governance frameworks, identifying key impediments, and recommending policy interventions to strengthen TPS execution.</w:t>
      </w:r>
    </w:p>
    <w:p w:rsidR="00AD7692" w:rsidRPr="007827AB" w:rsidRDefault="00AD7692" w:rsidP="00AD7692">
      <w:pPr>
        <w:pStyle w:val="IEEEAuthorName"/>
        <w:spacing w:before="0" w:line="276" w:lineRule="auto"/>
        <w:jc w:val="both"/>
        <w:rPr>
          <w:b/>
          <w:sz w:val="24"/>
          <w:lang w:val="en-IN"/>
        </w:rPr>
      </w:pPr>
      <w:r w:rsidRPr="007827AB">
        <w:rPr>
          <w:b/>
          <w:sz w:val="24"/>
          <w:lang w:val="en-IN"/>
        </w:rPr>
        <w:t>The primary objectives of this research are:</w:t>
      </w:r>
    </w:p>
    <w:p w:rsidR="00AD7692" w:rsidRPr="007827AB" w:rsidRDefault="00AD7692" w:rsidP="007827AB">
      <w:pPr>
        <w:pStyle w:val="IEEEAuthorName"/>
        <w:numPr>
          <w:ilvl w:val="0"/>
          <w:numId w:val="41"/>
        </w:numPr>
        <w:spacing w:before="0" w:line="276" w:lineRule="auto"/>
        <w:ind w:left="641" w:hanging="357"/>
        <w:jc w:val="both"/>
        <w:rPr>
          <w:i/>
          <w:sz w:val="24"/>
          <w:lang w:val="en-IN"/>
        </w:rPr>
      </w:pPr>
      <w:r w:rsidRPr="007827AB">
        <w:rPr>
          <w:i/>
          <w:sz w:val="24"/>
          <w:lang w:val="en-IN"/>
        </w:rPr>
        <w:t>To evaluate the governance and institutional framework influencing TPS implementation in BMR.</w:t>
      </w:r>
    </w:p>
    <w:p w:rsidR="00AD7692" w:rsidRPr="007827AB" w:rsidRDefault="00AD7692" w:rsidP="007827AB">
      <w:pPr>
        <w:pStyle w:val="IEEEAuthorName"/>
        <w:numPr>
          <w:ilvl w:val="0"/>
          <w:numId w:val="41"/>
        </w:numPr>
        <w:spacing w:before="0" w:line="276" w:lineRule="auto"/>
        <w:ind w:left="641" w:hanging="357"/>
        <w:jc w:val="both"/>
        <w:rPr>
          <w:i/>
          <w:sz w:val="24"/>
          <w:lang w:val="en-IN"/>
        </w:rPr>
      </w:pPr>
      <w:r w:rsidRPr="007827AB">
        <w:rPr>
          <w:i/>
          <w:sz w:val="24"/>
          <w:lang w:val="en-IN"/>
        </w:rPr>
        <w:t>To identify the key challenges and barriers in executing TPS.</w:t>
      </w:r>
    </w:p>
    <w:p w:rsidR="00AD7692" w:rsidRPr="007827AB" w:rsidRDefault="00AD7692" w:rsidP="007827AB">
      <w:pPr>
        <w:pStyle w:val="IEEEAuthorName"/>
        <w:numPr>
          <w:ilvl w:val="0"/>
          <w:numId w:val="41"/>
        </w:numPr>
        <w:spacing w:before="0" w:line="276" w:lineRule="auto"/>
        <w:ind w:left="641" w:hanging="357"/>
        <w:jc w:val="both"/>
        <w:rPr>
          <w:i/>
          <w:sz w:val="24"/>
          <w:lang w:val="en-IN"/>
        </w:rPr>
      </w:pPr>
      <w:r w:rsidRPr="007827AB">
        <w:rPr>
          <w:i/>
          <w:sz w:val="24"/>
          <w:lang w:val="en-IN"/>
        </w:rPr>
        <w:t>To propose policy interventions and strategic measures for improving TPS adoption.</w:t>
      </w:r>
    </w:p>
    <w:p w:rsidR="00AD7692" w:rsidRPr="00AD7692" w:rsidRDefault="00AD7692" w:rsidP="00BB558C">
      <w:pPr>
        <w:pStyle w:val="IEEEAuthorName"/>
        <w:spacing w:before="0" w:line="276" w:lineRule="auto"/>
        <w:ind w:firstLine="360"/>
        <w:jc w:val="both"/>
        <w:rPr>
          <w:sz w:val="24"/>
          <w:lang w:val="en-IN"/>
        </w:rPr>
      </w:pPr>
      <w:r w:rsidRPr="00AD7692">
        <w:rPr>
          <w:sz w:val="24"/>
          <w:lang w:val="en-IN"/>
        </w:rPr>
        <w:lastRenderedPageBreak/>
        <w:t>By addressing these objectives, this study aims to contribute to the discourse on urban land management and provide actionable insights for policymakers, urban planners, and stakeholders involved in metropolitan planning.</w:t>
      </w:r>
    </w:p>
    <w:p w:rsidR="00AD7692" w:rsidRPr="00AD7692" w:rsidRDefault="004B7B15" w:rsidP="00AD7692">
      <w:pPr>
        <w:pStyle w:val="IEEEAuthorName"/>
        <w:spacing w:before="0" w:line="276" w:lineRule="auto"/>
        <w:jc w:val="both"/>
        <w:rPr>
          <w:b/>
          <w:bCs/>
          <w:sz w:val="24"/>
          <w:lang w:val="en-IN"/>
        </w:rPr>
      </w:pPr>
      <w:r>
        <w:rPr>
          <w:b/>
          <w:bCs/>
          <w:sz w:val="24"/>
          <w:lang w:val="en-IN"/>
        </w:rPr>
        <w:t>II</w:t>
      </w:r>
      <w:r w:rsidRPr="00AD7692">
        <w:rPr>
          <w:b/>
          <w:bCs/>
          <w:sz w:val="24"/>
          <w:lang w:val="en-IN"/>
        </w:rPr>
        <w:t>. LITERATURE REVIEW</w:t>
      </w:r>
    </w:p>
    <w:p w:rsidR="00AD7692" w:rsidRPr="00AD7692" w:rsidRDefault="00AD7692" w:rsidP="00BB558C">
      <w:pPr>
        <w:pStyle w:val="IEEEAuthorName"/>
        <w:spacing w:before="0" w:line="276" w:lineRule="auto"/>
        <w:ind w:firstLine="720"/>
        <w:jc w:val="both"/>
        <w:rPr>
          <w:sz w:val="24"/>
          <w:lang w:val="en-IN"/>
        </w:rPr>
      </w:pPr>
      <w:r w:rsidRPr="00AD7692">
        <w:rPr>
          <w:sz w:val="24"/>
          <w:lang w:val="en-IN"/>
        </w:rPr>
        <w:t xml:space="preserve">Urbanization has been extensively studied as a global phenomenon, with metropolitan regions emerging as focal points for economic activity and population concentration (UN-Habitat, 2016). Scholars have highlighted that effective urban governance and structured planning interventions are essential to managing rapid urban growth (World Bank, 2022). Internationally, cities such as Tokyo, London, and Singapore have adopted comprehensive land-use policies and transit-oriented development to curb unplanned sprawl and enhance </w:t>
      </w:r>
      <w:proofErr w:type="spellStart"/>
      <w:r w:rsidRPr="00AD7692">
        <w:rPr>
          <w:sz w:val="24"/>
          <w:lang w:val="en-IN"/>
        </w:rPr>
        <w:t>livability</w:t>
      </w:r>
      <w:proofErr w:type="spellEnd"/>
      <w:r w:rsidRPr="00AD7692">
        <w:rPr>
          <w:sz w:val="24"/>
          <w:lang w:val="en-IN"/>
        </w:rPr>
        <w:t xml:space="preserve"> (NITI </w:t>
      </w:r>
      <w:proofErr w:type="spellStart"/>
      <w:r w:rsidRPr="00AD7692">
        <w:rPr>
          <w:sz w:val="24"/>
          <w:lang w:val="en-IN"/>
        </w:rPr>
        <w:t>Aayog</w:t>
      </w:r>
      <w:proofErr w:type="spellEnd"/>
      <w:r w:rsidRPr="00AD7692">
        <w:rPr>
          <w:sz w:val="24"/>
          <w:lang w:val="en-IN"/>
        </w:rPr>
        <w:t>, 2019).</w:t>
      </w:r>
    </w:p>
    <w:p w:rsidR="00AD7692" w:rsidRPr="00AD7692" w:rsidRDefault="00AD7692" w:rsidP="00BB558C">
      <w:pPr>
        <w:pStyle w:val="IEEEAuthorName"/>
        <w:spacing w:before="0" w:line="276" w:lineRule="auto"/>
        <w:ind w:firstLine="720"/>
        <w:jc w:val="both"/>
        <w:rPr>
          <w:sz w:val="24"/>
          <w:lang w:val="en-IN"/>
        </w:rPr>
      </w:pPr>
      <w:r w:rsidRPr="00AD7692">
        <w:rPr>
          <w:sz w:val="24"/>
          <w:lang w:val="en-IN"/>
        </w:rPr>
        <w:t>In India, urbanization trends indicate a significant shift towards metropolitan expansion, with cities absorbing rural areas into their urban footprint (</w:t>
      </w:r>
      <w:proofErr w:type="spellStart"/>
      <w:r w:rsidRPr="00AD7692">
        <w:rPr>
          <w:sz w:val="24"/>
          <w:lang w:val="en-IN"/>
        </w:rPr>
        <w:t>MoHUA</w:t>
      </w:r>
      <w:proofErr w:type="spellEnd"/>
      <w:r w:rsidRPr="00AD7692">
        <w:rPr>
          <w:sz w:val="24"/>
          <w:lang w:val="en-IN"/>
        </w:rPr>
        <w:t xml:space="preserve">, 2020). Studies show that while master plans provide a broad planning framework, their implementation remains weak due to regulatory gaps and institutional fragmentation (NIUA, 2018). The 74th Constitutional Amendment Act mandates the establishment of Metropolitan Planning Committees (MPCs) to oversee regional planning; however, their limited role has affected coordinated urban development (NITI </w:t>
      </w:r>
      <w:proofErr w:type="spellStart"/>
      <w:r w:rsidRPr="00AD7692">
        <w:rPr>
          <w:sz w:val="24"/>
          <w:lang w:val="en-IN"/>
        </w:rPr>
        <w:t>Aayog</w:t>
      </w:r>
      <w:proofErr w:type="spellEnd"/>
      <w:r w:rsidRPr="00AD7692">
        <w:rPr>
          <w:sz w:val="24"/>
          <w:lang w:val="en-IN"/>
        </w:rPr>
        <w:t>, 2021).</w:t>
      </w:r>
    </w:p>
    <w:p w:rsidR="00AD7692" w:rsidRPr="00AD7692" w:rsidRDefault="00AD7692" w:rsidP="00BB558C">
      <w:pPr>
        <w:pStyle w:val="IEEEAuthorName"/>
        <w:spacing w:before="0" w:line="276" w:lineRule="auto"/>
        <w:ind w:firstLine="720"/>
        <w:jc w:val="both"/>
        <w:rPr>
          <w:sz w:val="24"/>
          <w:lang w:val="en-IN"/>
        </w:rPr>
      </w:pPr>
      <w:r w:rsidRPr="00AD7692">
        <w:rPr>
          <w:sz w:val="24"/>
          <w:lang w:val="en-IN"/>
        </w:rPr>
        <w:t>BMR has experienced rapid demographic and spatial growth, leading to challenges such as land encroachment, infrastructure deficits, and environmental degradation (BMRDA, 2016). The Revised Structure Plan 2031 identifies the need for better land management strategies, highlighting the limitations of conventional land acquisition methods. Town Planning Schemes (TPS) have been proposed as an alternative approach that allows planned expansion while ensuring landowners receive equitable compensation (</w:t>
      </w:r>
      <w:proofErr w:type="spellStart"/>
      <w:r w:rsidRPr="00AD7692">
        <w:rPr>
          <w:sz w:val="24"/>
          <w:lang w:val="en-IN"/>
        </w:rPr>
        <w:t>MoHUA</w:t>
      </w:r>
      <w:proofErr w:type="spellEnd"/>
      <w:r w:rsidRPr="00AD7692">
        <w:rPr>
          <w:sz w:val="24"/>
          <w:lang w:val="en-IN"/>
        </w:rPr>
        <w:t>, 2019).</w:t>
      </w:r>
    </w:p>
    <w:p w:rsidR="00AD7692" w:rsidRPr="00AD7692" w:rsidRDefault="00AD7692" w:rsidP="00BB558C">
      <w:pPr>
        <w:pStyle w:val="IEEEAuthorName"/>
        <w:spacing w:before="0" w:line="276" w:lineRule="auto"/>
        <w:ind w:firstLine="720"/>
        <w:jc w:val="both"/>
        <w:rPr>
          <w:sz w:val="24"/>
          <w:lang w:val="en-IN"/>
        </w:rPr>
      </w:pPr>
      <w:r w:rsidRPr="00AD7692">
        <w:rPr>
          <w:sz w:val="24"/>
          <w:lang w:val="en-IN"/>
        </w:rPr>
        <w:t>TPS involves land readjustment, where landowners contribute a portion of their land for roads, parks, and public utilities in exchange for serviced plots. Studies from Gujarat and Maharashtra demonstrate that TPS reduces legal disputes, promotes infrastructure-led development, and improves land value (NIUA, 2018). However, in BMR, implementation challenges persist due to delays in approval, lack of stakeholder awareness, and financial constraints (BMRDA, 2016).</w:t>
      </w:r>
    </w:p>
    <w:p w:rsidR="00AD7692" w:rsidRDefault="00AD7692" w:rsidP="00BB558C">
      <w:pPr>
        <w:pStyle w:val="IEEEAuthorName"/>
        <w:spacing w:before="0" w:line="276" w:lineRule="auto"/>
        <w:ind w:firstLine="720"/>
        <w:jc w:val="both"/>
        <w:rPr>
          <w:sz w:val="24"/>
          <w:lang w:val="en-IN"/>
        </w:rPr>
      </w:pPr>
      <w:r w:rsidRPr="00AD7692">
        <w:rPr>
          <w:sz w:val="24"/>
          <w:lang w:val="en-IN"/>
        </w:rPr>
        <w:t>Case studies from Ahmedabad and Pune indicate that TPS success depends on institutional capacity, streamlined regulatory mechanisms, and stakeholder participation (</w:t>
      </w:r>
      <w:proofErr w:type="spellStart"/>
      <w:r w:rsidRPr="00AD7692">
        <w:rPr>
          <w:sz w:val="24"/>
          <w:lang w:val="en-IN"/>
        </w:rPr>
        <w:t>MoHUA</w:t>
      </w:r>
      <w:proofErr w:type="spellEnd"/>
      <w:r w:rsidRPr="00AD7692">
        <w:rPr>
          <w:sz w:val="24"/>
          <w:lang w:val="en-IN"/>
        </w:rPr>
        <w:t>, 2019). Internationally, countries like the Netherlands and Singapore have leveraged similar participatory planning tools to integrate infrastructure development with land management (World Bank, 2022). Lessons from these case studies suggest that TPS can be effectively implemented in BMR with appropriate policy interventions and governance reforms.</w:t>
      </w:r>
    </w:p>
    <w:p w:rsidR="002966D8" w:rsidRDefault="002966D8" w:rsidP="002966D8">
      <w:pPr>
        <w:rPr>
          <w:lang w:val="en-IN" w:eastAsia="en-GB"/>
        </w:rPr>
      </w:pPr>
    </w:p>
    <w:p w:rsidR="002966D8" w:rsidRDefault="002966D8" w:rsidP="002966D8">
      <w:pPr>
        <w:rPr>
          <w:lang w:val="en-IN" w:eastAsia="en-GB"/>
        </w:rPr>
      </w:pPr>
    </w:p>
    <w:p w:rsidR="002966D8" w:rsidRDefault="002966D8" w:rsidP="002966D8">
      <w:pPr>
        <w:rPr>
          <w:lang w:val="en-IN" w:eastAsia="en-GB"/>
        </w:rPr>
      </w:pPr>
    </w:p>
    <w:p w:rsidR="002966D8" w:rsidRDefault="002966D8" w:rsidP="002966D8">
      <w:pPr>
        <w:rPr>
          <w:lang w:val="en-IN" w:eastAsia="en-GB"/>
        </w:rPr>
      </w:pPr>
    </w:p>
    <w:p w:rsidR="002966D8" w:rsidRPr="002966D8" w:rsidRDefault="002966D8" w:rsidP="002966D8">
      <w:pPr>
        <w:rPr>
          <w:lang w:val="en-IN" w:eastAsia="en-GB"/>
        </w:rPr>
      </w:pPr>
    </w:p>
    <w:p w:rsidR="00AD7692" w:rsidRDefault="004B7B15" w:rsidP="00AD7692">
      <w:pPr>
        <w:pStyle w:val="IEEEAuthorName"/>
        <w:spacing w:before="0" w:line="276" w:lineRule="auto"/>
        <w:jc w:val="both"/>
        <w:rPr>
          <w:b/>
          <w:bCs/>
          <w:sz w:val="24"/>
          <w:lang w:val="en-IN"/>
        </w:rPr>
      </w:pPr>
      <w:r>
        <w:rPr>
          <w:b/>
          <w:bCs/>
          <w:sz w:val="24"/>
          <w:lang w:val="en-IN"/>
        </w:rPr>
        <w:lastRenderedPageBreak/>
        <w:t>III</w:t>
      </w:r>
      <w:r w:rsidRPr="00AD7692">
        <w:rPr>
          <w:b/>
          <w:bCs/>
          <w:sz w:val="24"/>
          <w:lang w:val="en-IN"/>
        </w:rPr>
        <w:t>. METHODOLOGY</w:t>
      </w:r>
    </w:p>
    <w:p w:rsidR="00FF4C21" w:rsidRPr="00FF4C21" w:rsidRDefault="00FF4C21" w:rsidP="00FF4C21">
      <w:pPr>
        <w:spacing w:after="120" w:line="276" w:lineRule="auto"/>
        <w:ind w:firstLine="720"/>
        <w:jc w:val="both"/>
        <w:rPr>
          <w:lang w:val="en-IN" w:eastAsia="en-GB"/>
        </w:rPr>
      </w:pPr>
      <w:r w:rsidRPr="00FF4C21">
        <w:rPr>
          <w:lang w:val="en-IN" w:eastAsia="en-GB"/>
        </w:rPr>
        <w:t xml:space="preserve">This study adopts a qualitative approach, focusing on governance frameworks, policy interventions, and stakeholder perspectives to </w:t>
      </w:r>
      <w:proofErr w:type="spellStart"/>
      <w:r w:rsidRPr="00FF4C21">
        <w:rPr>
          <w:lang w:val="en-IN" w:eastAsia="en-GB"/>
        </w:rPr>
        <w:t>analyze</w:t>
      </w:r>
      <w:proofErr w:type="spellEnd"/>
      <w:r w:rsidRPr="00FF4C21">
        <w:rPr>
          <w:lang w:val="en-IN" w:eastAsia="en-GB"/>
        </w:rPr>
        <w:t xml:space="preserve"> the implementation of Town Planning Schemes (TPS) in Bangalore Metropolitan Region (BMR). The methodology includes an extensive review of policy documents, legal frameworks, and institutional structures governing urban planning in BMR. The study also incorporates comparative analysis with TPS models in other Indian states and international best practices.</w:t>
      </w:r>
    </w:p>
    <w:p w:rsidR="00FF4C21" w:rsidRPr="00FF4C21" w:rsidRDefault="00FF4C21" w:rsidP="00FF4C21">
      <w:pPr>
        <w:spacing w:after="120" w:line="276" w:lineRule="auto"/>
        <w:ind w:firstLine="720"/>
        <w:jc w:val="both"/>
        <w:rPr>
          <w:lang w:val="en-IN" w:eastAsia="en-GB"/>
        </w:rPr>
      </w:pPr>
      <w:r w:rsidRPr="00FF4C21">
        <w:rPr>
          <w:lang w:val="en-IN" w:eastAsia="en-GB"/>
        </w:rPr>
        <w:t>Primary data sources include structured interviews with key stakeholders, such as urban planners, municipal officials, and landowners, to gain insights into the practical challenges of TPS execution. The interviews focus on governance barriers, policy gaps, and institutional limitations hindering TPS implementation. Secondary data is collected from planning reports, government publications, and academic studies to evaluate the regulatory and financial aspects of TPS.</w:t>
      </w:r>
    </w:p>
    <w:p w:rsidR="00FF4C21" w:rsidRPr="00FF4C21" w:rsidRDefault="00FF4C21" w:rsidP="00FF4C21">
      <w:pPr>
        <w:spacing w:after="120" w:line="276" w:lineRule="auto"/>
        <w:jc w:val="both"/>
        <w:rPr>
          <w:b/>
          <w:lang w:val="en-IN" w:eastAsia="en-GB"/>
        </w:rPr>
      </w:pPr>
      <w:r w:rsidRPr="00FF4C21">
        <w:rPr>
          <w:b/>
          <w:lang w:val="en-IN" w:eastAsia="en-GB"/>
        </w:rPr>
        <w:t>The research methodology is structured around the following objectives:</w:t>
      </w:r>
    </w:p>
    <w:p w:rsidR="00FF4C21" w:rsidRPr="00FF4C21" w:rsidRDefault="00FF4C21" w:rsidP="00FF4C21">
      <w:pPr>
        <w:spacing w:after="120" w:line="276" w:lineRule="auto"/>
        <w:jc w:val="both"/>
        <w:rPr>
          <w:lang w:val="en-IN" w:eastAsia="en-GB"/>
        </w:rPr>
      </w:pPr>
      <w:r w:rsidRPr="00FF4C21">
        <w:rPr>
          <w:lang w:val="en-IN" w:eastAsia="en-GB"/>
        </w:rPr>
        <w:t xml:space="preserve">a) </w:t>
      </w:r>
      <w:r w:rsidRPr="00FF4C21">
        <w:rPr>
          <w:b/>
          <w:bCs/>
          <w:lang w:val="en-IN" w:eastAsia="en-GB"/>
        </w:rPr>
        <w:t>Assessing governance structures</w:t>
      </w:r>
      <w:r w:rsidRPr="00FF4C21">
        <w:rPr>
          <w:lang w:val="en-IN" w:eastAsia="en-GB"/>
        </w:rPr>
        <w:t xml:space="preserve"> – This involves an in-depth analysis of existing planning laws, institutional mechanisms, and coordination between agencies such as BMRDA, BBMP, and ULBs. Policy document analysis and institutional mapping help identify governance inefficiencies affecting TPS implementation.</w:t>
      </w:r>
    </w:p>
    <w:p w:rsidR="00FF4C21" w:rsidRPr="00FF4C21" w:rsidRDefault="00FF4C21" w:rsidP="00FF4C21">
      <w:pPr>
        <w:spacing w:after="120" w:line="276" w:lineRule="auto"/>
        <w:jc w:val="both"/>
        <w:rPr>
          <w:lang w:val="en-IN" w:eastAsia="en-GB"/>
        </w:rPr>
      </w:pPr>
      <w:r w:rsidRPr="00FF4C21">
        <w:rPr>
          <w:lang w:val="en-IN" w:eastAsia="en-GB"/>
        </w:rPr>
        <w:t xml:space="preserve">b) </w:t>
      </w:r>
      <w:r w:rsidRPr="00FF4C21">
        <w:rPr>
          <w:b/>
          <w:bCs/>
          <w:lang w:val="en-IN" w:eastAsia="en-GB"/>
        </w:rPr>
        <w:t>Identifying key impediments</w:t>
      </w:r>
      <w:r w:rsidRPr="00FF4C21">
        <w:rPr>
          <w:lang w:val="en-IN" w:eastAsia="en-GB"/>
        </w:rPr>
        <w:t xml:space="preserve"> – Through stakeholder consultations and case study reviews, the study examines the primary barriers to TPS adoption, including legal challenges, financial constraints, and public resistance.</w:t>
      </w:r>
    </w:p>
    <w:p w:rsidR="00FF4C21" w:rsidRPr="00FF4C21" w:rsidRDefault="00FF4C21" w:rsidP="00FF4C21">
      <w:pPr>
        <w:spacing w:after="120" w:line="276" w:lineRule="auto"/>
        <w:jc w:val="both"/>
        <w:rPr>
          <w:lang w:val="en-IN" w:eastAsia="en-GB"/>
        </w:rPr>
      </w:pPr>
      <w:r w:rsidRPr="00FF4C21">
        <w:rPr>
          <w:lang w:val="en-IN" w:eastAsia="en-GB"/>
        </w:rPr>
        <w:t xml:space="preserve">c) </w:t>
      </w:r>
      <w:r w:rsidRPr="00FF4C21">
        <w:rPr>
          <w:b/>
          <w:bCs/>
          <w:lang w:val="en-IN" w:eastAsia="en-GB"/>
        </w:rPr>
        <w:t>Proposing policy recommendations</w:t>
      </w:r>
      <w:r w:rsidRPr="00FF4C21">
        <w:rPr>
          <w:lang w:val="en-IN" w:eastAsia="en-GB"/>
        </w:rPr>
        <w:t xml:space="preserve"> – Drawing from best practices in Gujarat and international experiences from Japan and the Netherlands, the study provides recommendations to improve the TPS framework in BMR.</w:t>
      </w:r>
    </w:p>
    <w:p w:rsidR="00FF4C21" w:rsidRPr="00FF4C21" w:rsidRDefault="00FF4C21" w:rsidP="00FF4C21">
      <w:pPr>
        <w:spacing w:after="120" w:line="276" w:lineRule="auto"/>
        <w:ind w:firstLine="720"/>
        <w:jc w:val="both"/>
        <w:rPr>
          <w:lang w:val="en-IN" w:eastAsia="en-GB"/>
        </w:rPr>
      </w:pPr>
      <w:r w:rsidRPr="00FF4C21">
        <w:rPr>
          <w:lang w:val="en-IN" w:eastAsia="en-GB"/>
        </w:rPr>
        <w:t>By integrating policy analysis, institutional review, and stakeholder engagement, this study aims to provide actionable insights for strengthening TPS execution in BMR and ensuring a more efficient urban land management system.</w:t>
      </w:r>
    </w:p>
    <w:p w:rsidR="00FF4C21" w:rsidRPr="00FF4C21" w:rsidRDefault="00FF4C21" w:rsidP="00FF4C21">
      <w:pPr>
        <w:rPr>
          <w:lang w:val="en-IN" w:eastAsia="en-GB"/>
        </w:rPr>
      </w:pPr>
    </w:p>
    <w:p w:rsidR="0017634B" w:rsidRPr="0017634B" w:rsidRDefault="004B7B15" w:rsidP="0017634B">
      <w:pPr>
        <w:spacing w:after="120" w:line="276" w:lineRule="auto"/>
        <w:jc w:val="both"/>
        <w:rPr>
          <w:b/>
          <w:bCs/>
          <w:lang w:val="en-IN" w:eastAsia="en-GB"/>
        </w:rPr>
      </w:pPr>
      <w:r>
        <w:rPr>
          <w:b/>
          <w:bCs/>
          <w:lang w:val="en-IN" w:eastAsia="en-GB"/>
        </w:rPr>
        <w:t>IV</w:t>
      </w:r>
      <w:r w:rsidRPr="0017634B">
        <w:rPr>
          <w:b/>
          <w:bCs/>
          <w:lang w:val="en-IN" w:eastAsia="en-GB"/>
        </w:rPr>
        <w:t>. PROFILE OF BMR</w:t>
      </w:r>
    </w:p>
    <w:p w:rsidR="0017634B" w:rsidRDefault="0017634B" w:rsidP="0017634B">
      <w:pPr>
        <w:spacing w:after="120" w:line="276" w:lineRule="auto"/>
        <w:ind w:firstLine="720"/>
        <w:jc w:val="both"/>
        <w:rPr>
          <w:lang w:val="en-IN" w:eastAsia="en-GB"/>
        </w:rPr>
      </w:pPr>
      <w:r w:rsidRPr="0017634B">
        <w:rPr>
          <w:lang w:val="en-IN" w:eastAsia="en-GB"/>
        </w:rPr>
        <w:t xml:space="preserve">Bangalore Metropolitan Region (BMR) is one of the largest urban agglomerations in India, covering approximately 8,005 sq. km. It encompasses Bangalore Urban, Bangalore Rural, and </w:t>
      </w:r>
      <w:proofErr w:type="spellStart"/>
      <w:r w:rsidRPr="0017634B">
        <w:rPr>
          <w:lang w:val="en-IN" w:eastAsia="en-GB"/>
        </w:rPr>
        <w:t>Ramanagara</w:t>
      </w:r>
      <w:proofErr w:type="spellEnd"/>
      <w:r w:rsidRPr="0017634B">
        <w:rPr>
          <w:lang w:val="en-IN" w:eastAsia="en-GB"/>
        </w:rPr>
        <w:t xml:space="preserve"> districts, forming a vital economic and administrativ</w:t>
      </w:r>
      <w:r w:rsidR="00B227AF">
        <w:rPr>
          <w:lang w:val="en-IN" w:eastAsia="en-GB"/>
        </w:rPr>
        <w:t>e hub in Karnataka</w:t>
      </w:r>
      <w:r w:rsidRPr="0017634B">
        <w:rPr>
          <w:lang w:val="en-IN" w:eastAsia="en-GB"/>
        </w:rPr>
        <w:t xml:space="preserve">. The region includes diverse administrative jurisdictions, comprising the core metropolitan area under the </w:t>
      </w:r>
      <w:proofErr w:type="spellStart"/>
      <w:r w:rsidRPr="0017634B">
        <w:rPr>
          <w:lang w:val="en-IN" w:eastAsia="en-GB"/>
        </w:rPr>
        <w:t>Bruhat</w:t>
      </w:r>
      <w:proofErr w:type="spellEnd"/>
      <w:r w:rsidRPr="0017634B">
        <w:rPr>
          <w:lang w:val="en-IN" w:eastAsia="en-GB"/>
        </w:rPr>
        <w:t xml:space="preserve"> Bengaluru </w:t>
      </w:r>
      <w:proofErr w:type="spellStart"/>
      <w:r w:rsidRPr="0017634B">
        <w:rPr>
          <w:lang w:val="en-IN" w:eastAsia="en-GB"/>
        </w:rPr>
        <w:t>Mahanagara</w:t>
      </w:r>
      <w:proofErr w:type="spellEnd"/>
      <w:r w:rsidRPr="0017634B">
        <w:rPr>
          <w:lang w:val="en-IN" w:eastAsia="en-GB"/>
        </w:rPr>
        <w:t xml:space="preserve"> </w:t>
      </w:r>
      <w:proofErr w:type="spellStart"/>
      <w:r w:rsidRPr="0017634B">
        <w:rPr>
          <w:lang w:val="en-IN" w:eastAsia="en-GB"/>
        </w:rPr>
        <w:t>Palike</w:t>
      </w:r>
      <w:proofErr w:type="spellEnd"/>
      <w:r w:rsidRPr="0017634B">
        <w:rPr>
          <w:lang w:val="en-IN" w:eastAsia="en-GB"/>
        </w:rPr>
        <w:t xml:space="preserve"> (BBMP), multiple urban local bodies (ULBs), town municipal councils, and gram </w:t>
      </w:r>
      <w:proofErr w:type="spellStart"/>
      <w:r w:rsidRPr="0017634B">
        <w:rPr>
          <w:lang w:val="en-IN" w:eastAsia="en-GB"/>
        </w:rPr>
        <w:t>panchayats</w:t>
      </w:r>
      <w:proofErr w:type="spellEnd"/>
      <w:r w:rsidRPr="0017634B">
        <w:rPr>
          <w:lang w:val="en-IN" w:eastAsia="en-GB"/>
        </w:rPr>
        <w:t>, leading to complex governance structures (Revised Structure Plan 2031).</w:t>
      </w:r>
      <w:r w:rsidR="002966D8">
        <w:rPr>
          <w:lang w:val="en-IN" w:eastAsia="en-GB"/>
        </w:rPr>
        <w:t xml:space="preserve"> (Figure 1)</w:t>
      </w:r>
    </w:p>
    <w:p w:rsidR="002966D8" w:rsidRDefault="002966D8" w:rsidP="0017634B">
      <w:pPr>
        <w:spacing w:after="120" w:line="276" w:lineRule="auto"/>
        <w:ind w:firstLine="720"/>
        <w:jc w:val="both"/>
        <w:rPr>
          <w:lang w:val="en-IN" w:eastAsia="en-GB"/>
        </w:rPr>
      </w:pPr>
    </w:p>
    <w:p w:rsidR="002966D8" w:rsidRDefault="002966D8" w:rsidP="0017634B">
      <w:pPr>
        <w:spacing w:after="120" w:line="276" w:lineRule="auto"/>
        <w:ind w:firstLine="720"/>
        <w:jc w:val="both"/>
        <w:rPr>
          <w:lang w:val="en-IN" w:eastAsia="en-GB"/>
        </w:rPr>
      </w:pPr>
    </w:p>
    <w:p w:rsidR="008F2925" w:rsidRDefault="008F2925" w:rsidP="0017634B">
      <w:pPr>
        <w:spacing w:after="120" w:line="276" w:lineRule="auto"/>
        <w:ind w:firstLine="720"/>
        <w:jc w:val="both"/>
        <w:rPr>
          <w:lang w:val="en-IN" w:eastAsia="en-GB"/>
        </w:rPr>
      </w:pPr>
    </w:p>
    <w:p w:rsidR="002966D8" w:rsidRDefault="002966D8" w:rsidP="0017634B">
      <w:pPr>
        <w:spacing w:after="120" w:line="276" w:lineRule="auto"/>
        <w:ind w:firstLine="720"/>
        <w:jc w:val="both"/>
        <w:rPr>
          <w:lang w:val="en-IN" w:eastAsia="en-GB"/>
        </w:rPr>
      </w:pPr>
      <w:r>
        <w:rPr>
          <w:noProof/>
          <w:lang w:val="en-IN" w:eastAsia="en-IN"/>
        </w:rPr>
        <w:lastRenderedPageBreak/>
        <w:drawing>
          <wp:anchor distT="0" distB="0" distL="114300" distR="114300" simplePos="0" relativeHeight="251662336" behindDoc="1" locked="0" layoutInCell="1" allowOverlap="1" wp14:anchorId="495310E6" wp14:editId="12BC207F">
            <wp:simplePos x="0" y="0"/>
            <wp:positionH relativeFrom="column">
              <wp:posOffset>1111250</wp:posOffset>
            </wp:positionH>
            <wp:positionV relativeFrom="paragraph">
              <wp:posOffset>19050</wp:posOffset>
            </wp:positionV>
            <wp:extent cx="3599180" cy="4358640"/>
            <wp:effectExtent l="19050" t="19050" r="20320" b="22860"/>
            <wp:wrapTight wrapText="bothSides">
              <wp:wrapPolygon edited="0">
                <wp:start x="-114" y="-94"/>
                <wp:lineTo x="-114" y="21619"/>
                <wp:lineTo x="21608" y="21619"/>
                <wp:lineTo x="21608" y="-94"/>
                <wp:lineTo x="-114" y="-9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_Admin &amp; JDiction Boundary_001.png"/>
                    <pic:cNvPicPr/>
                  </pic:nvPicPr>
                  <pic:blipFill rotWithShape="1">
                    <a:blip r:embed="rId8" cstate="print">
                      <a:extLst>
                        <a:ext uri="{28A0092B-C50C-407E-A947-70E740481C1C}">
                          <a14:useLocalDpi xmlns:a14="http://schemas.microsoft.com/office/drawing/2010/main" val="0"/>
                        </a:ext>
                      </a:extLst>
                    </a:blip>
                    <a:srcRect l="2117" t="1962" r="2359" b="9347"/>
                    <a:stretch/>
                  </pic:blipFill>
                  <pic:spPr bwMode="auto">
                    <a:xfrm>
                      <a:off x="0" y="0"/>
                      <a:ext cx="3599180" cy="43586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66D8" w:rsidRDefault="002966D8" w:rsidP="0017634B">
      <w:pPr>
        <w:spacing w:after="120" w:line="276" w:lineRule="auto"/>
        <w:ind w:firstLine="720"/>
        <w:jc w:val="both"/>
        <w:rPr>
          <w:lang w:val="en-IN" w:eastAsia="en-GB"/>
        </w:rPr>
      </w:pPr>
    </w:p>
    <w:p w:rsidR="002966D8" w:rsidRDefault="002966D8" w:rsidP="0017634B">
      <w:pPr>
        <w:spacing w:after="120" w:line="276" w:lineRule="auto"/>
        <w:jc w:val="both"/>
        <w:rPr>
          <w:b/>
          <w:lang w:val="en-IN" w:eastAsia="en-GB"/>
        </w:rPr>
      </w:pPr>
    </w:p>
    <w:p w:rsidR="002966D8" w:rsidRDefault="002966D8" w:rsidP="0017634B">
      <w:pPr>
        <w:spacing w:after="120" w:line="276" w:lineRule="auto"/>
        <w:jc w:val="both"/>
        <w:rPr>
          <w:b/>
          <w:lang w:val="en-IN" w:eastAsia="en-GB"/>
        </w:rPr>
      </w:pPr>
    </w:p>
    <w:p w:rsidR="002966D8" w:rsidRDefault="002966D8" w:rsidP="0017634B">
      <w:pPr>
        <w:spacing w:after="120" w:line="276" w:lineRule="auto"/>
        <w:jc w:val="both"/>
        <w:rPr>
          <w:b/>
          <w:lang w:val="en-IN" w:eastAsia="en-GB"/>
        </w:rPr>
      </w:pPr>
    </w:p>
    <w:p w:rsidR="002966D8" w:rsidRDefault="002966D8" w:rsidP="0017634B">
      <w:pPr>
        <w:spacing w:after="120" w:line="276" w:lineRule="auto"/>
        <w:jc w:val="both"/>
        <w:rPr>
          <w:b/>
          <w:lang w:val="en-IN" w:eastAsia="en-GB"/>
        </w:rPr>
      </w:pPr>
    </w:p>
    <w:p w:rsidR="002966D8" w:rsidRDefault="002966D8" w:rsidP="0017634B">
      <w:pPr>
        <w:spacing w:after="120" w:line="276" w:lineRule="auto"/>
        <w:jc w:val="both"/>
        <w:rPr>
          <w:b/>
          <w:lang w:val="en-IN" w:eastAsia="en-GB"/>
        </w:rPr>
      </w:pPr>
    </w:p>
    <w:p w:rsidR="002966D8" w:rsidRDefault="002966D8" w:rsidP="0017634B">
      <w:pPr>
        <w:spacing w:after="120" w:line="276" w:lineRule="auto"/>
        <w:jc w:val="both"/>
        <w:rPr>
          <w:b/>
          <w:lang w:val="en-IN" w:eastAsia="en-GB"/>
        </w:rPr>
      </w:pPr>
    </w:p>
    <w:p w:rsidR="002966D8" w:rsidRDefault="002966D8" w:rsidP="0017634B">
      <w:pPr>
        <w:spacing w:after="120" w:line="276" w:lineRule="auto"/>
        <w:jc w:val="both"/>
        <w:rPr>
          <w:b/>
          <w:lang w:val="en-IN" w:eastAsia="en-GB"/>
        </w:rPr>
      </w:pPr>
    </w:p>
    <w:p w:rsidR="002966D8" w:rsidRDefault="002966D8" w:rsidP="0017634B">
      <w:pPr>
        <w:spacing w:after="120" w:line="276" w:lineRule="auto"/>
        <w:jc w:val="both"/>
        <w:rPr>
          <w:b/>
          <w:lang w:val="en-IN" w:eastAsia="en-GB"/>
        </w:rPr>
      </w:pPr>
    </w:p>
    <w:p w:rsidR="002966D8" w:rsidRDefault="002966D8" w:rsidP="0017634B">
      <w:pPr>
        <w:spacing w:after="120" w:line="276" w:lineRule="auto"/>
        <w:jc w:val="both"/>
        <w:rPr>
          <w:b/>
          <w:lang w:val="en-IN" w:eastAsia="en-GB"/>
        </w:rPr>
      </w:pPr>
    </w:p>
    <w:p w:rsidR="002966D8" w:rsidRDefault="002966D8" w:rsidP="0017634B">
      <w:pPr>
        <w:spacing w:after="120" w:line="276" w:lineRule="auto"/>
        <w:jc w:val="both"/>
        <w:rPr>
          <w:b/>
          <w:lang w:val="en-IN" w:eastAsia="en-GB"/>
        </w:rPr>
      </w:pPr>
    </w:p>
    <w:p w:rsidR="002966D8" w:rsidRDefault="002966D8" w:rsidP="0017634B">
      <w:pPr>
        <w:spacing w:after="120" w:line="276" w:lineRule="auto"/>
        <w:jc w:val="both"/>
        <w:rPr>
          <w:b/>
          <w:lang w:val="en-IN" w:eastAsia="en-GB"/>
        </w:rPr>
      </w:pPr>
    </w:p>
    <w:p w:rsidR="002966D8" w:rsidRDefault="002966D8" w:rsidP="0017634B">
      <w:pPr>
        <w:spacing w:after="120" w:line="276" w:lineRule="auto"/>
        <w:jc w:val="both"/>
        <w:rPr>
          <w:b/>
          <w:lang w:val="en-IN" w:eastAsia="en-GB"/>
        </w:rPr>
      </w:pPr>
    </w:p>
    <w:p w:rsidR="002966D8" w:rsidRDefault="002966D8" w:rsidP="0017634B">
      <w:pPr>
        <w:spacing w:after="120" w:line="276" w:lineRule="auto"/>
        <w:jc w:val="both"/>
        <w:rPr>
          <w:b/>
          <w:lang w:val="en-IN" w:eastAsia="en-GB"/>
        </w:rPr>
      </w:pPr>
    </w:p>
    <w:p w:rsidR="002966D8" w:rsidRDefault="002966D8" w:rsidP="0017634B">
      <w:pPr>
        <w:spacing w:after="120" w:line="276" w:lineRule="auto"/>
        <w:jc w:val="both"/>
        <w:rPr>
          <w:b/>
          <w:lang w:val="en-IN" w:eastAsia="en-GB"/>
        </w:rPr>
      </w:pPr>
    </w:p>
    <w:p w:rsidR="002966D8" w:rsidRPr="009F62B8" w:rsidRDefault="002966D8" w:rsidP="002966D8">
      <w:pPr>
        <w:spacing w:line="276" w:lineRule="auto"/>
        <w:jc w:val="center"/>
        <w:rPr>
          <w:rFonts w:eastAsia="Times New Roman"/>
          <w:b/>
          <w:lang w:val="en-IN" w:eastAsia="en-IN"/>
        </w:rPr>
      </w:pPr>
      <w:r w:rsidRPr="009F62B8">
        <w:rPr>
          <w:rFonts w:eastAsia="Times New Roman"/>
          <w:b/>
          <w:lang w:val="en-IN" w:eastAsia="en-IN"/>
        </w:rPr>
        <w:t xml:space="preserve">Figure 1: </w:t>
      </w:r>
      <w:r>
        <w:rPr>
          <w:rFonts w:eastAsia="Times New Roman"/>
          <w:b/>
          <w:lang w:val="en-IN" w:eastAsia="en-IN"/>
        </w:rPr>
        <w:t xml:space="preserve">Administrative and Planning Jurisdictions </w:t>
      </w:r>
      <w:r w:rsidRPr="009F62B8">
        <w:rPr>
          <w:rFonts w:eastAsia="Times New Roman"/>
          <w:b/>
          <w:lang w:val="en-IN" w:eastAsia="en-IN"/>
        </w:rPr>
        <w:t>of BMR</w:t>
      </w:r>
    </w:p>
    <w:p w:rsidR="002966D8" w:rsidRDefault="002966D8" w:rsidP="002966D8">
      <w:pPr>
        <w:spacing w:line="276" w:lineRule="auto"/>
        <w:ind w:firstLine="289"/>
        <w:jc w:val="center"/>
        <w:rPr>
          <w:rFonts w:eastAsia="Times New Roman"/>
          <w:lang w:val="en-IN" w:eastAsia="en-IN"/>
        </w:rPr>
      </w:pPr>
      <w:r>
        <w:rPr>
          <w:rFonts w:eastAsia="Times New Roman"/>
          <w:lang w:val="en-IN" w:eastAsia="en-IN"/>
        </w:rPr>
        <w:t>(Source: BMR Revised Structure Plan, 2016)</w:t>
      </w:r>
    </w:p>
    <w:p w:rsidR="002966D8" w:rsidRDefault="002966D8" w:rsidP="0017634B">
      <w:pPr>
        <w:spacing w:after="120" w:line="276" w:lineRule="auto"/>
        <w:jc w:val="both"/>
        <w:rPr>
          <w:b/>
          <w:lang w:val="en-IN" w:eastAsia="en-GB"/>
        </w:rPr>
      </w:pPr>
    </w:p>
    <w:p w:rsidR="0017634B" w:rsidRPr="0017634B" w:rsidRDefault="0017634B" w:rsidP="0017634B">
      <w:pPr>
        <w:spacing w:after="120" w:line="276" w:lineRule="auto"/>
        <w:jc w:val="both"/>
        <w:rPr>
          <w:lang w:val="en-IN" w:eastAsia="en-GB"/>
        </w:rPr>
      </w:pPr>
      <w:r w:rsidRPr="0017634B">
        <w:rPr>
          <w:b/>
          <w:lang w:val="en-IN" w:eastAsia="en-GB"/>
        </w:rPr>
        <w:t xml:space="preserve">4.1 </w:t>
      </w:r>
      <w:r w:rsidRPr="0017634B">
        <w:rPr>
          <w:b/>
          <w:bCs/>
          <w:lang w:val="en-IN" w:eastAsia="en-GB"/>
        </w:rPr>
        <w:t>Demographic Profile</w:t>
      </w:r>
    </w:p>
    <w:p w:rsidR="0017634B" w:rsidRPr="0017634B" w:rsidRDefault="0017634B" w:rsidP="0017634B">
      <w:pPr>
        <w:spacing w:after="120" w:line="276" w:lineRule="auto"/>
        <w:ind w:firstLine="720"/>
        <w:jc w:val="both"/>
        <w:rPr>
          <w:lang w:val="en-IN" w:eastAsia="en-GB"/>
        </w:rPr>
      </w:pPr>
      <w:r w:rsidRPr="0017634B">
        <w:rPr>
          <w:lang w:val="en-IN" w:eastAsia="en-GB"/>
        </w:rPr>
        <w:t xml:space="preserve">According to the Census of India (2011), BMR had a population of over 12 million, with an annual growth rate exceeding 3%. Bangalore Urban district alone accounted for over 9.6 million people, making it the dominant population </w:t>
      </w:r>
      <w:proofErr w:type="spellStart"/>
      <w:r w:rsidRPr="0017634B">
        <w:rPr>
          <w:lang w:val="en-IN" w:eastAsia="en-GB"/>
        </w:rPr>
        <w:t>center</w:t>
      </w:r>
      <w:proofErr w:type="spellEnd"/>
      <w:r w:rsidRPr="0017634B">
        <w:rPr>
          <w:lang w:val="en-IN" w:eastAsia="en-GB"/>
        </w:rPr>
        <w:t xml:space="preserve"> within the region. The region has experienced rapid migration-driven urbanization, primarily due to employment opportunities in the IT and service sectors. Projections indicate that the population of BMR may reach 16 million by 2031, necessitating enhanced urban plan</w:t>
      </w:r>
      <w:r w:rsidR="007827AB">
        <w:rPr>
          <w:lang w:val="en-IN" w:eastAsia="en-GB"/>
        </w:rPr>
        <w:t>ning interventions</w:t>
      </w:r>
      <w:proofErr w:type="gramStart"/>
      <w:r w:rsidRPr="0017634B">
        <w:rPr>
          <w:lang w:val="en-IN" w:eastAsia="en-GB"/>
        </w:rPr>
        <w:t>.</w:t>
      </w:r>
      <w:r w:rsidR="00466C8F">
        <w:rPr>
          <w:lang w:val="en-IN" w:eastAsia="en-GB"/>
        </w:rPr>
        <w:t>(</w:t>
      </w:r>
      <w:proofErr w:type="gramEnd"/>
      <w:r w:rsidR="00466C8F">
        <w:rPr>
          <w:lang w:val="en-IN" w:eastAsia="en-GB"/>
        </w:rPr>
        <w:t>Figure 2)</w:t>
      </w:r>
    </w:p>
    <w:p w:rsidR="0017634B" w:rsidRDefault="0017634B" w:rsidP="0017634B">
      <w:pPr>
        <w:spacing w:after="120" w:line="276" w:lineRule="auto"/>
        <w:ind w:firstLine="720"/>
        <w:jc w:val="both"/>
        <w:rPr>
          <w:lang w:val="en-IN" w:eastAsia="en-GB"/>
        </w:rPr>
      </w:pPr>
      <w:r w:rsidRPr="0017634B">
        <w:rPr>
          <w:lang w:val="en-IN" w:eastAsia="en-GB"/>
        </w:rPr>
        <w:t xml:space="preserve">The population density varies significantly across BMR, with central Bengaluru exhibiting densities exceeding 10,000 persons per sq. km, while </w:t>
      </w:r>
      <w:proofErr w:type="spellStart"/>
      <w:r w:rsidRPr="0017634B">
        <w:rPr>
          <w:lang w:val="en-IN" w:eastAsia="en-GB"/>
        </w:rPr>
        <w:t>peri</w:t>
      </w:r>
      <w:proofErr w:type="spellEnd"/>
      <w:r w:rsidRPr="0017634B">
        <w:rPr>
          <w:lang w:val="en-IN" w:eastAsia="en-GB"/>
        </w:rPr>
        <w:t xml:space="preserve">-urban areas like </w:t>
      </w:r>
      <w:proofErr w:type="spellStart"/>
      <w:r w:rsidRPr="0017634B">
        <w:rPr>
          <w:lang w:val="en-IN" w:eastAsia="en-GB"/>
        </w:rPr>
        <w:t>Hoskote</w:t>
      </w:r>
      <w:proofErr w:type="spellEnd"/>
      <w:r w:rsidRPr="0017634B">
        <w:rPr>
          <w:lang w:val="en-IN" w:eastAsia="en-GB"/>
        </w:rPr>
        <w:t xml:space="preserve">, </w:t>
      </w:r>
      <w:proofErr w:type="spellStart"/>
      <w:r w:rsidRPr="0017634B">
        <w:rPr>
          <w:lang w:val="en-IN" w:eastAsia="en-GB"/>
        </w:rPr>
        <w:t>Nelamangala</w:t>
      </w:r>
      <w:proofErr w:type="spellEnd"/>
      <w:r w:rsidRPr="0017634B">
        <w:rPr>
          <w:lang w:val="en-IN" w:eastAsia="en-GB"/>
        </w:rPr>
        <w:t xml:space="preserve">, and </w:t>
      </w:r>
      <w:proofErr w:type="spellStart"/>
      <w:r w:rsidRPr="0017634B">
        <w:rPr>
          <w:lang w:val="en-IN" w:eastAsia="en-GB"/>
        </w:rPr>
        <w:t>Ramanagara</w:t>
      </w:r>
      <w:proofErr w:type="spellEnd"/>
      <w:r w:rsidRPr="0017634B">
        <w:rPr>
          <w:lang w:val="en-IN" w:eastAsia="en-GB"/>
        </w:rPr>
        <w:t xml:space="preserve"> have lower densities ranging from 500 to 2,000 persons per sq. km. The urban expansion of Bengaluru has resulted in the emergence of satellite townships, increasing the demand for planned urban growth (Census, 2011).</w:t>
      </w:r>
    </w:p>
    <w:p w:rsidR="002966D8" w:rsidRDefault="002966D8" w:rsidP="0017634B">
      <w:pPr>
        <w:spacing w:after="120" w:line="276" w:lineRule="auto"/>
        <w:ind w:firstLine="720"/>
        <w:jc w:val="both"/>
        <w:rPr>
          <w:lang w:val="en-IN" w:eastAsia="en-GB"/>
        </w:rPr>
      </w:pPr>
    </w:p>
    <w:p w:rsidR="002966D8" w:rsidRDefault="002966D8" w:rsidP="0017634B">
      <w:pPr>
        <w:spacing w:after="120" w:line="276" w:lineRule="auto"/>
        <w:ind w:firstLine="720"/>
        <w:jc w:val="both"/>
        <w:rPr>
          <w:lang w:val="en-IN" w:eastAsia="en-GB"/>
        </w:rPr>
      </w:pPr>
    </w:p>
    <w:p w:rsidR="002966D8" w:rsidRDefault="002966D8" w:rsidP="0017634B">
      <w:pPr>
        <w:spacing w:after="120" w:line="276" w:lineRule="auto"/>
        <w:ind w:firstLine="720"/>
        <w:jc w:val="both"/>
        <w:rPr>
          <w:lang w:val="en-IN" w:eastAsia="en-GB"/>
        </w:rPr>
      </w:pPr>
    </w:p>
    <w:p w:rsidR="002966D8" w:rsidRPr="0017634B" w:rsidRDefault="002966D8" w:rsidP="0017634B">
      <w:pPr>
        <w:spacing w:after="120" w:line="276" w:lineRule="auto"/>
        <w:ind w:firstLine="720"/>
        <w:jc w:val="both"/>
        <w:rPr>
          <w:lang w:val="en-IN" w:eastAsia="en-GB"/>
        </w:rPr>
      </w:pPr>
    </w:p>
    <w:p w:rsidR="002966D8" w:rsidRDefault="002966D8" w:rsidP="0017634B">
      <w:pPr>
        <w:spacing w:after="120" w:line="276" w:lineRule="auto"/>
        <w:jc w:val="both"/>
        <w:rPr>
          <w:noProof/>
          <w:lang w:val="en-IN" w:eastAsia="en-IN"/>
        </w:rPr>
      </w:pPr>
      <w:r>
        <w:rPr>
          <w:noProof/>
          <w:lang w:val="en-IN" w:eastAsia="en-IN"/>
        </w:rPr>
        <w:lastRenderedPageBreak/>
        <w:drawing>
          <wp:anchor distT="0" distB="0" distL="114300" distR="114300" simplePos="0" relativeHeight="251663360" behindDoc="1" locked="0" layoutInCell="1" allowOverlap="1" wp14:anchorId="652BF309" wp14:editId="62178C8A">
            <wp:simplePos x="0" y="0"/>
            <wp:positionH relativeFrom="column">
              <wp:posOffset>1134110</wp:posOffset>
            </wp:positionH>
            <wp:positionV relativeFrom="paragraph">
              <wp:posOffset>27305</wp:posOffset>
            </wp:positionV>
            <wp:extent cx="3635130" cy="4356000"/>
            <wp:effectExtent l="19050" t="19050" r="22860" b="26035"/>
            <wp:wrapTight wrapText="bothSides">
              <wp:wrapPolygon edited="0">
                <wp:start x="-113" y="-94"/>
                <wp:lineTo x="-113" y="21635"/>
                <wp:lineTo x="21623" y="21635"/>
                <wp:lineTo x="21623" y="-94"/>
                <wp:lineTo x="-113" y="-9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_Demographic Profile_001.png"/>
                    <pic:cNvPicPr/>
                  </pic:nvPicPr>
                  <pic:blipFill rotWithShape="1">
                    <a:blip r:embed="rId9" cstate="print">
                      <a:extLst>
                        <a:ext uri="{28A0092B-C50C-407E-A947-70E740481C1C}">
                          <a14:useLocalDpi xmlns:a14="http://schemas.microsoft.com/office/drawing/2010/main" val="0"/>
                        </a:ext>
                      </a:extLst>
                    </a:blip>
                    <a:srcRect l="2116" t="3644" r="2095" b="10281"/>
                    <a:stretch/>
                  </pic:blipFill>
                  <pic:spPr bwMode="auto">
                    <a:xfrm>
                      <a:off x="0" y="0"/>
                      <a:ext cx="3635130" cy="4356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66D8" w:rsidRDefault="002966D8" w:rsidP="0017634B">
      <w:pPr>
        <w:spacing w:after="120" w:line="276" w:lineRule="auto"/>
        <w:jc w:val="both"/>
        <w:rPr>
          <w:noProof/>
          <w:lang w:val="en-IN" w:eastAsia="en-IN"/>
        </w:rPr>
      </w:pPr>
    </w:p>
    <w:p w:rsidR="002966D8" w:rsidRDefault="002966D8" w:rsidP="0017634B">
      <w:pPr>
        <w:spacing w:after="120" w:line="276" w:lineRule="auto"/>
        <w:jc w:val="both"/>
        <w:rPr>
          <w:noProof/>
          <w:lang w:val="en-IN" w:eastAsia="en-IN"/>
        </w:rPr>
      </w:pPr>
    </w:p>
    <w:p w:rsidR="002966D8" w:rsidRDefault="002966D8" w:rsidP="0017634B">
      <w:pPr>
        <w:spacing w:after="120" w:line="276" w:lineRule="auto"/>
        <w:jc w:val="both"/>
        <w:rPr>
          <w:noProof/>
          <w:lang w:val="en-IN" w:eastAsia="en-IN"/>
        </w:rPr>
      </w:pPr>
    </w:p>
    <w:p w:rsidR="002966D8" w:rsidRDefault="002966D8" w:rsidP="0017634B">
      <w:pPr>
        <w:spacing w:after="120" w:line="276" w:lineRule="auto"/>
        <w:jc w:val="both"/>
        <w:rPr>
          <w:noProof/>
          <w:lang w:val="en-IN" w:eastAsia="en-IN"/>
        </w:rPr>
      </w:pPr>
    </w:p>
    <w:p w:rsidR="002966D8" w:rsidRDefault="002966D8" w:rsidP="0017634B">
      <w:pPr>
        <w:spacing w:after="120" w:line="276" w:lineRule="auto"/>
        <w:jc w:val="both"/>
        <w:rPr>
          <w:noProof/>
          <w:lang w:val="en-IN" w:eastAsia="en-IN"/>
        </w:rPr>
      </w:pPr>
    </w:p>
    <w:p w:rsidR="002966D8" w:rsidRDefault="002966D8" w:rsidP="0017634B">
      <w:pPr>
        <w:spacing w:after="120" w:line="276" w:lineRule="auto"/>
        <w:jc w:val="both"/>
        <w:rPr>
          <w:noProof/>
          <w:lang w:val="en-IN" w:eastAsia="en-IN"/>
        </w:rPr>
      </w:pPr>
    </w:p>
    <w:p w:rsidR="002966D8" w:rsidRDefault="002966D8" w:rsidP="0017634B">
      <w:pPr>
        <w:spacing w:after="120" w:line="276" w:lineRule="auto"/>
        <w:jc w:val="both"/>
        <w:rPr>
          <w:noProof/>
          <w:lang w:val="en-IN" w:eastAsia="en-IN"/>
        </w:rPr>
      </w:pPr>
    </w:p>
    <w:p w:rsidR="002966D8" w:rsidRDefault="002966D8" w:rsidP="0017634B">
      <w:pPr>
        <w:spacing w:after="120" w:line="276" w:lineRule="auto"/>
        <w:jc w:val="both"/>
        <w:rPr>
          <w:noProof/>
          <w:lang w:val="en-IN" w:eastAsia="en-IN"/>
        </w:rPr>
      </w:pPr>
    </w:p>
    <w:p w:rsidR="002966D8" w:rsidRDefault="002966D8" w:rsidP="0017634B">
      <w:pPr>
        <w:spacing w:after="120" w:line="276" w:lineRule="auto"/>
        <w:jc w:val="both"/>
        <w:rPr>
          <w:noProof/>
          <w:lang w:val="en-IN" w:eastAsia="en-IN"/>
        </w:rPr>
      </w:pPr>
    </w:p>
    <w:p w:rsidR="002966D8" w:rsidRDefault="002966D8" w:rsidP="0017634B">
      <w:pPr>
        <w:spacing w:after="120" w:line="276" w:lineRule="auto"/>
        <w:jc w:val="both"/>
        <w:rPr>
          <w:b/>
          <w:bCs/>
          <w:lang w:val="en-IN" w:eastAsia="en-GB"/>
        </w:rPr>
      </w:pPr>
    </w:p>
    <w:p w:rsidR="002966D8" w:rsidRDefault="002966D8" w:rsidP="0017634B">
      <w:pPr>
        <w:spacing w:after="120" w:line="276" w:lineRule="auto"/>
        <w:jc w:val="both"/>
        <w:rPr>
          <w:b/>
          <w:bCs/>
          <w:lang w:val="en-IN" w:eastAsia="en-GB"/>
        </w:rPr>
      </w:pPr>
    </w:p>
    <w:p w:rsidR="002966D8" w:rsidRDefault="002966D8" w:rsidP="0017634B">
      <w:pPr>
        <w:spacing w:after="120" w:line="276" w:lineRule="auto"/>
        <w:jc w:val="both"/>
        <w:rPr>
          <w:b/>
          <w:bCs/>
          <w:lang w:val="en-IN" w:eastAsia="en-GB"/>
        </w:rPr>
      </w:pPr>
    </w:p>
    <w:p w:rsidR="002966D8" w:rsidRDefault="002966D8" w:rsidP="0017634B">
      <w:pPr>
        <w:spacing w:after="120" w:line="276" w:lineRule="auto"/>
        <w:jc w:val="both"/>
        <w:rPr>
          <w:b/>
          <w:bCs/>
          <w:lang w:val="en-IN" w:eastAsia="en-GB"/>
        </w:rPr>
      </w:pPr>
    </w:p>
    <w:p w:rsidR="002966D8" w:rsidRDefault="002966D8" w:rsidP="0017634B">
      <w:pPr>
        <w:spacing w:after="120" w:line="276" w:lineRule="auto"/>
        <w:jc w:val="both"/>
        <w:rPr>
          <w:b/>
          <w:bCs/>
          <w:lang w:val="en-IN" w:eastAsia="en-GB"/>
        </w:rPr>
      </w:pPr>
    </w:p>
    <w:p w:rsidR="002966D8" w:rsidRDefault="002966D8" w:rsidP="0017634B">
      <w:pPr>
        <w:spacing w:after="120" w:line="276" w:lineRule="auto"/>
        <w:jc w:val="both"/>
        <w:rPr>
          <w:b/>
          <w:bCs/>
          <w:lang w:val="en-IN" w:eastAsia="en-GB"/>
        </w:rPr>
      </w:pPr>
    </w:p>
    <w:p w:rsidR="002966D8" w:rsidRPr="002966D8" w:rsidRDefault="002966D8" w:rsidP="002966D8">
      <w:pPr>
        <w:jc w:val="center"/>
        <w:rPr>
          <w:b/>
          <w:bCs/>
          <w:lang w:val="en-IN" w:eastAsia="en-GB"/>
        </w:rPr>
      </w:pPr>
      <w:r>
        <w:rPr>
          <w:b/>
          <w:bCs/>
          <w:lang w:val="en-IN" w:eastAsia="en-GB"/>
        </w:rPr>
        <w:t xml:space="preserve">Figure 2: Demographic Profile </w:t>
      </w:r>
      <w:r w:rsidRPr="002966D8">
        <w:rPr>
          <w:b/>
          <w:bCs/>
          <w:lang w:val="en-IN" w:eastAsia="en-GB"/>
        </w:rPr>
        <w:t>of BMR</w:t>
      </w:r>
    </w:p>
    <w:p w:rsidR="002966D8" w:rsidRPr="002966D8" w:rsidRDefault="002966D8" w:rsidP="002966D8">
      <w:pPr>
        <w:jc w:val="center"/>
        <w:rPr>
          <w:bCs/>
          <w:lang w:val="en-IN" w:eastAsia="en-GB"/>
        </w:rPr>
      </w:pPr>
      <w:r w:rsidRPr="002966D8">
        <w:rPr>
          <w:bCs/>
          <w:lang w:val="en-IN" w:eastAsia="en-GB"/>
        </w:rPr>
        <w:t>(Source: BMR Revised Structure Plan, 2016)</w:t>
      </w:r>
    </w:p>
    <w:p w:rsidR="002966D8" w:rsidRDefault="002966D8" w:rsidP="0017634B">
      <w:pPr>
        <w:spacing w:after="120" w:line="276" w:lineRule="auto"/>
        <w:jc w:val="both"/>
        <w:rPr>
          <w:b/>
          <w:bCs/>
          <w:lang w:val="en-IN" w:eastAsia="en-GB"/>
        </w:rPr>
      </w:pPr>
    </w:p>
    <w:p w:rsidR="0017634B" w:rsidRPr="0017634B" w:rsidRDefault="0017634B" w:rsidP="0017634B">
      <w:pPr>
        <w:spacing w:after="120" w:line="276" w:lineRule="auto"/>
        <w:jc w:val="both"/>
        <w:rPr>
          <w:b/>
          <w:bCs/>
          <w:lang w:val="en-IN" w:eastAsia="en-GB"/>
        </w:rPr>
      </w:pPr>
      <w:r>
        <w:rPr>
          <w:b/>
          <w:bCs/>
          <w:lang w:val="en-IN" w:eastAsia="en-GB"/>
        </w:rPr>
        <w:t xml:space="preserve">4.2 </w:t>
      </w:r>
      <w:r w:rsidRPr="0017634B">
        <w:rPr>
          <w:b/>
          <w:bCs/>
          <w:lang w:val="en-IN" w:eastAsia="en-GB"/>
        </w:rPr>
        <w:t>Socio-Economic Profile</w:t>
      </w:r>
    </w:p>
    <w:p w:rsidR="007827AB" w:rsidRDefault="0017634B" w:rsidP="007827AB">
      <w:pPr>
        <w:spacing w:after="120" w:line="276" w:lineRule="auto"/>
        <w:ind w:firstLine="720"/>
        <w:jc w:val="both"/>
        <w:rPr>
          <w:lang w:val="en-IN" w:eastAsia="en-GB"/>
        </w:rPr>
      </w:pPr>
      <w:r w:rsidRPr="0017634B">
        <w:rPr>
          <w:lang w:val="en-IN" w:eastAsia="en-GB"/>
        </w:rPr>
        <w:t xml:space="preserve">BMR is an economic powerhouse, contributing significantly to Karnataka’s GDP. The region hosts a robust IT sector, with major technology parks such as Electronics City, Whitefield, and </w:t>
      </w:r>
      <w:proofErr w:type="spellStart"/>
      <w:r w:rsidRPr="0017634B">
        <w:rPr>
          <w:lang w:val="en-IN" w:eastAsia="en-GB"/>
        </w:rPr>
        <w:t>Manyata</w:t>
      </w:r>
      <w:proofErr w:type="spellEnd"/>
      <w:r w:rsidRPr="0017634B">
        <w:rPr>
          <w:lang w:val="en-IN" w:eastAsia="en-GB"/>
        </w:rPr>
        <w:t xml:space="preserve"> Tech Park acting as employment </w:t>
      </w:r>
      <w:proofErr w:type="spellStart"/>
      <w:r w:rsidRPr="0017634B">
        <w:rPr>
          <w:lang w:val="en-IN" w:eastAsia="en-GB"/>
        </w:rPr>
        <w:t>centers</w:t>
      </w:r>
      <w:proofErr w:type="spellEnd"/>
      <w:r w:rsidRPr="0017634B">
        <w:rPr>
          <w:lang w:val="en-IN" w:eastAsia="en-GB"/>
        </w:rPr>
        <w:t>. Additionally, manufacturing, biotechnology, and research institutions contribute to economic growth. The per capita income in Bengaluru is among the highest in India, reflecting the economic prosper</w:t>
      </w:r>
      <w:r w:rsidR="007827AB">
        <w:rPr>
          <w:lang w:val="en-IN" w:eastAsia="en-GB"/>
        </w:rPr>
        <w:t xml:space="preserve">ity of the region. </w:t>
      </w:r>
    </w:p>
    <w:p w:rsidR="0017634B" w:rsidRDefault="0017634B" w:rsidP="007827AB">
      <w:pPr>
        <w:spacing w:after="120" w:line="276" w:lineRule="auto"/>
        <w:ind w:firstLine="720"/>
        <w:jc w:val="both"/>
        <w:rPr>
          <w:lang w:val="en-IN" w:eastAsia="en-GB"/>
        </w:rPr>
      </w:pPr>
      <w:r w:rsidRPr="0017634B">
        <w:rPr>
          <w:lang w:val="en-IN" w:eastAsia="en-GB"/>
        </w:rPr>
        <w:t>However, socio-economic disparities persist. While the urban core enjoys high levels of infrastructure, education, and healthcare services, peripheral areas lack adequate facilities. Informal settlements and slums continue to expand, highlighting concerns related to affordable housing and equitable urban development. The Revised Structure Plan 2031 emphasizes the need for integrated development strategies to bridge these disparities.</w:t>
      </w:r>
    </w:p>
    <w:p w:rsidR="002966D8" w:rsidRDefault="002966D8" w:rsidP="007827AB">
      <w:pPr>
        <w:spacing w:after="120" w:line="276" w:lineRule="auto"/>
        <w:ind w:firstLine="720"/>
        <w:jc w:val="both"/>
        <w:rPr>
          <w:lang w:val="en-IN" w:eastAsia="en-GB"/>
        </w:rPr>
      </w:pPr>
    </w:p>
    <w:p w:rsidR="002966D8" w:rsidRDefault="002966D8" w:rsidP="007827AB">
      <w:pPr>
        <w:spacing w:after="120" w:line="276" w:lineRule="auto"/>
        <w:ind w:firstLine="720"/>
        <w:jc w:val="both"/>
        <w:rPr>
          <w:lang w:val="en-IN" w:eastAsia="en-GB"/>
        </w:rPr>
      </w:pPr>
    </w:p>
    <w:p w:rsidR="002966D8" w:rsidRDefault="002966D8" w:rsidP="007827AB">
      <w:pPr>
        <w:spacing w:after="120" w:line="276" w:lineRule="auto"/>
        <w:ind w:firstLine="720"/>
        <w:jc w:val="both"/>
        <w:rPr>
          <w:lang w:val="en-IN" w:eastAsia="en-GB"/>
        </w:rPr>
      </w:pPr>
    </w:p>
    <w:p w:rsidR="002966D8" w:rsidRPr="0017634B" w:rsidRDefault="002966D8" w:rsidP="007827AB">
      <w:pPr>
        <w:spacing w:after="120" w:line="276" w:lineRule="auto"/>
        <w:ind w:firstLine="720"/>
        <w:jc w:val="both"/>
        <w:rPr>
          <w:lang w:val="en-IN" w:eastAsia="en-GB"/>
        </w:rPr>
      </w:pPr>
    </w:p>
    <w:p w:rsidR="0017634B" w:rsidRPr="0017634B" w:rsidRDefault="0017634B" w:rsidP="0017634B">
      <w:pPr>
        <w:spacing w:after="120" w:line="276" w:lineRule="auto"/>
        <w:jc w:val="both"/>
        <w:rPr>
          <w:b/>
          <w:bCs/>
          <w:lang w:val="en-IN" w:eastAsia="en-GB"/>
        </w:rPr>
      </w:pPr>
      <w:r>
        <w:rPr>
          <w:b/>
          <w:bCs/>
          <w:lang w:val="en-IN" w:eastAsia="en-GB"/>
        </w:rPr>
        <w:lastRenderedPageBreak/>
        <w:t xml:space="preserve">4.3 </w:t>
      </w:r>
      <w:r w:rsidRPr="0017634B">
        <w:rPr>
          <w:b/>
          <w:bCs/>
          <w:lang w:val="en-IN" w:eastAsia="en-GB"/>
        </w:rPr>
        <w:t>Land Use and Spatial Structure</w:t>
      </w:r>
    </w:p>
    <w:p w:rsidR="00466C8F" w:rsidRDefault="0017634B" w:rsidP="007827AB">
      <w:pPr>
        <w:spacing w:after="120" w:line="276" w:lineRule="auto"/>
        <w:ind w:firstLine="357"/>
        <w:jc w:val="both"/>
        <w:rPr>
          <w:lang w:val="en-IN" w:eastAsia="en-GB"/>
        </w:rPr>
      </w:pPr>
      <w:r w:rsidRPr="0017634B">
        <w:rPr>
          <w:lang w:val="en-IN" w:eastAsia="en-GB"/>
        </w:rPr>
        <w:t xml:space="preserve">Land use in BMR has undergone significant transformation due to urban expansion. According to the Revised Structure Plan 2031, built-up areas have increased exponentially, consuming agricultural and open lands. </w:t>
      </w:r>
    </w:p>
    <w:p w:rsidR="0017634B" w:rsidRPr="0017634B" w:rsidRDefault="0017634B" w:rsidP="007827AB">
      <w:pPr>
        <w:spacing w:after="120" w:line="276" w:lineRule="auto"/>
        <w:ind w:firstLine="357"/>
        <w:jc w:val="both"/>
        <w:rPr>
          <w:lang w:val="en-IN" w:eastAsia="en-GB"/>
        </w:rPr>
      </w:pPr>
      <w:r w:rsidRPr="0017634B">
        <w:rPr>
          <w:lang w:val="en-IN" w:eastAsia="en-GB"/>
        </w:rPr>
        <w:t>Key land-use classifications</w:t>
      </w:r>
      <w:r w:rsidR="00466C8F">
        <w:rPr>
          <w:lang w:val="en-IN" w:eastAsia="en-GB"/>
        </w:rPr>
        <w:t xml:space="preserve"> as given in figure 3 </w:t>
      </w:r>
      <w:r w:rsidR="00466C8F" w:rsidRPr="0017634B">
        <w:rPr>
          <w:lang w:val="en-IN" w:eastAsia="en-GB"/>
        </w:rPr>
        <w:t>include</w:t>
      </w:r>
      <w:r w:rsidRPr="0017634B">
        <w:rPr>
          <w:lang w:val="en-IN" w:eastAsia="en-GB"/>
        </w:rPr>
        <w:t>:</w:t>
      </w:r>
    </w:p>
    <w:p w:rsidR="0017634B" w:rsidRPr="0017634B" w:rsidRDefault="0017634B" w:rsidP="0017634B">
      <w:pPr>
        <w:numPr>
          <w:ilvl w:val="0"/>
          <w:numId w:val="39"/>
        </w:numPr>
        <w:spacing w:after="120" w:line="276" w:lineRule="auto"/>
        <w:ind w:left="357" w:hanging="357"/>
        <w:jc w:val="both"/>
        <w:rPr>
          <w:lang w:val="en-IN" w:eastAsia="en-GB"/>
        </w:rPr>
      </w:pPr>
      <w:r w:rsidRPr="0017634B">
        <w:rPr>
          <w:b/>
          <w:bCs/>
          <w:lang w:val="en-IN" w:eastAsia="en-GB"/>
        </w:rPr>
        <w:t>Built-Up Areas</w:t>
      </w:r>
      <w:r w:rsidRPr="0017634B">
        <w:rPr>
          <w:lang w:val="en-IN" w:eastAsia="en-GB"/>
        </w:rPr>
        <w:t xml:space="preserve"> – Covering over 2,000 sq. km, built-up areas have expanded along major transport corridors such as </w:t>
      </w:r>
      <w:proofErr w:type="spellStart"/>
      <w:r w:rsidRPr="0017634B">
        <w:rPr>
          <w:lang w:val="en-IN" w:eastAsia="en-GB"/>
        </w:rPr>
        <w:t>Tumkur</w:t>
      </w:r>
      <w:proofErr w:type="spellEnd"/>
      <w:r w:rsidRPr="0017634B">
        <w:rPr>
          <w:lang w:val="en-IN" w:eastAsia="en-GB"/>
        </w:rPr>
        <w:t xml:space="preserve"> Road, Mysore Road, and </w:t>
      </w:r>
      <w:proofErr w:type="spellStart"/>
      <w:r w:rsidRPr="0017634B">
        <w:rPr>
          <w:lang w:val="en-IN" w:eastAsia="en-GB"/>
        </w:rPr>
        <w:t>Hosur</w:t>
      </w:r>
      <w:proofErr w:type="spellEnd"/>
      <w:r w:rsidRPr="0017634B">
        <w:rPr>
          <w:lang w:val="en-IN" w:eastAsia="en-GB"/>
        </w:rPr>
        <w:t xml:space="preserve"> Road.</w:t>
      </w:r>
    </w:p>
    <w:p w:rsidR="0017634B" w:rsidRPr="0017634B" w:rsidRDefault="0017634B" w:rsidP="0017634B">
      <w:pPr>
        <w:numPr>
          <w:ilvl w:val="0"/>
          <w:numId w:val="39"/>
        </w:numPr>
        <w:spacing w:after="120" w:line="276" w:lineRule="auto"/>
        <w:ind w:left="357" w:hanging="357"/>
        <w:jc w:val="both"/>
        <w:rPr>
          <w:lang w:val="en-IN" w:eastAsia="en-GB"/>
        </w:rPr>
      </w:pPr>
      <w:r w:rsidRPr="0017634B">
        <w:rPr>
          <w:b/>
          <w:bCs/>
          <w:lang w:val="en-IN" w:eastAsia="en-GB"/>
        </w:rPr>
        <w:t>Agricultural Land</w:t>
      </w:r>
      <w:r w:rsidRPr="0017634B">
        <w:rPr>
          <w:lang w:val="en-IN" w:eastAsia="en-GB"/>
        </w:rPr>
        <w:t xml:space="preserve"> – Though shrinking, agriculture still occupies substantial portions of Bangalore Rural and </w:t>
      </w:r>
      <w:proofErr w:type="spellStart"/>
      <w:r w:rsidRPr="0017634B">
        <w:rPr>
          <w:lang w:val="en-IN" w:eastAsia="en-GB"/>
        </w:rPr>
        <w:t>Ramanagara</w:t>
      </w:r>
      <w:proofErr w:type="spellEnd"/>
      <w:r w:rsidRPr="0017634B">
        <w:rPr>
          <w:lang w:val="en-IN" w:eastAsia="en-GB"/>
        </w:rPr>
        <w:t xml:space="preserve"> districts, supporting horticulture, floriculture, and dairy farming.</w:t>
      </w:r>
    </w:p>
    <w:p w:rsidR="0017634B" w:rsidRPr="0017634B" w:rsidRDefault="0017634B" w:rsidP="0017634B">
      <w:pPr>
        <w:numPr>
          <w:ilvl w:val="0"/>
          <w:numId w:val="39"/>
        </w:numPr>
        <w:spacing w:after="120" w:line="276" w:lineRule="auto"/>
        <w:ind w:left="357" w:hanging="357"/>
        <w:jc w:val="both"/>
        <w:rPr>
          <w:lang w:val="en-IN" w:eastAsia="en-GB"/>
        </w:rPr>
      </w:pPr>
      <w:r w:rsidRPr="0017634B">
        <w:rPr>
          <w:b/>
          <w:bCs/>
          <w:lang w:val="en-IN" w:eastAsia="en-GB"/>
        </w:rPr>
        <w:t>Industrial Zones</w:t>
      </w:r>
      <w:r w:rsidRPr="0017634B">
        <w:rPr>
          <w:lang w:val="en-IN" w:eastAsia="en-GB"/>
        </w:rPr>
        <w:t xml:space="preserve"> – The region includes major industrial clusters like </w:t>
      </w:r>
      <w:proofErr w:type="spellStart"/>
      <w:r w:rsidRPr="0017634B">
        <w:rPr>
          <w:lang w:val="en-IN" w:eastAsia="en-GB"/>
        </w:rPr>
        <w:t>Peenya</w:t>
      </w:r>
      <w:proofErr w:type="spellEnd"/>
      <w:r w:rsidRPr="0017634B">
        <w:rPr>
          <w:lang w:val="en-IN" w:eastAsia="en-GB"/>
        </w:rPr>
        <w:t xml:space="preserve">, </w:t>
      </w:r>
      <w:proofErr w:type="spellStart"/>
      <w:r w:rsidRPr="0017634B">
        <w:rPr>
          <w:lang w:val="en-IN" w:eastAsia="en-GB"/>
        </w:rPr>
        <w:t>Bidadi</w:t>
      </w:r>
      <w:proofErr w:type="spellEnd"/>
      <w:r w:rsidRPr="0017634B">
        <w:rPr>
          <w:lang w:val="en-IN" w:eastAsia="en-GB"/>
        </w:rPr>
        <w:t xml:space="preserve">, and </w:t>
      </w:r>
      <w:proofErr w:type="spellStart"/>
      <w:r w:rsidRPr="0017634B">
        <w:rPr>
          <w:lang w:val="en-IN" w:eastAsia="en-GB"/>
        </w:rPr>
        <w:t>Jigani</w:t>
      </w:r>
      <w:proofErr w:type="spellEnd"/>
      <w:r w:rsidRPr="0017634B">
        <w:rPr>
          <w:lang w:val="en-IN" w:eastAsia="en-GB"/>
        </w:rPr>
        <w:t>, with upcoming industrial corridors planned to enhance economic growth.</w:t>
      </w:r>
    </w:p>
    <w:p w:rsidR="0017634B" w:rsidRDefault="0017634B" w:rsidP="0017634B">
      <w:pPr>
        <w:numPr>
          <w:ilvl w:val="0"/>
          <w:numId w:val="39"/>
        </w:numPr>
        <w:spacing w:after="120" w:line="276" w:lineRule="auto"/>
        <w:ind w:left="357" w:hanging="357"/>
        <w:jc w:val="both"/>
        <w:rPr>
          <w:lang w:val="en-IN" w:eastAsia="en-GB"/>
        </w:rPr>
      </w:pPr>
      <w:r w:rsidRPr="0017634B">
        <w:rPr>
          <w:b/>
          <w:bCs/>
          <w:lang w:val="en-IN" w:eastAsia="en-GB"/>
        </w:rPr>
        <w:t>Green Spaces and Lakes</w:t>
      </w:r>
      <w:r w:rsidRPr="0017634B">
        <w:rPr>
          <w:lang w:val="en-IN" w:eastAsia="en-GB"/>
        </w:rPr>
        <w:t xml:space="preserve"> – BMR historically had extensive green cover and water bodies, but rapid urbanization has led to lake encroachments and deforestation. Conservation efforts, including the revival of lakes like </w:t>
      </w:r>
      <w:proofErr w:type="spellStart"/>
      <w:r w:rsidRPr="0017634B">
        <w:rPr>
          <w:lang w:val="en-IN" w:eastAsia="en-GB"/>
        </w:rPr>
        <w:t>Bellandur</w:t>
      </w:r>
      <w:proofErr w:type="spellEnd"/>
      <w:r w:rsidRPr="0017634B">
        <w:rPr>
          <w:lang w:val="en-IN" w:eastAsia="en-GB"/>
        </w:rPr>
        <w:t xml:space="preserve"> and </w:t>
      </w:r>
      <w:proofErr w:type="spellStart"/>
      <w:r w:rsidRPr="0017634B">
        <w:rPr>
          <w:lang w:val="en-IN" w:eastAsia="en-GB"/>
        </w:rPr>
        <w:t>Varthur</w:t>
      </w:r>
      <w:proofErr w:type="spellEnd"/>
      <w:r w:rsidRPr="0017634B">
        <w:rPr>
          <w:lang w:val="en-IN" w:eastAsia="en-GB"/>
        </w:rPr>
        <w:t>, have been initiated (BMRDA, 2016).</w:t>
      </w:r>
    </w:p>
    <w:p w:rsidR="002966D8" w:rsidRPr="0017634B" w:rsidRDefault="002966D8" w:rsidP="002966D8">
      <w:pPr>
        <w:spacing w:after="120" w:line="276" w:lineRule="auto"/>
        <w:jc w:val="both"/>
        <w:rPr>
          <w:lang w:val="en-IN" w:eastAsia="en-GB"/>
        </w:rPr>
      </w:pPr>
      <w:r w:rsidRPr="009E405F">
        <w:rPr>
          <w:rFonts w:eastAsia="Times New Roman"/>
          <w:b/>
          <w:bCs/>
          <w:noProof/>
          <w:lang w:val="en-IN" w:eastAsia="en-IN"/>
        </w:rPr>
        <w:drawing>
          <wp:anchor distT="0" distB="0" distL="114300" distR="114300" simplePos="0" relativeHeight="251665408" behindDoc="1" locked="0" layoutInCell="1" allowOverlap="1" wp14:anchorId="1690E939" wp14:editId="504FE7C1">
            <wp:simplePos x="0" y="0"/>
            <wp:positionH relativeFrom="column">
              <wp:posOffset>1050290</wp:posOffset>
            </wp:positionH>
            <wp:positionV relativeFrom="paragraph">
              <wp:posOffset>12700</wp:posOffset>
            </wp:positionV>
            <wp:extent cx="3635375" cy="4320540"/>
            <wp:effectExtent l="0" t="0" r="3175" b="3810"/>
            <wp:wrapTight wrapText="bothSides">
              <wp:wrapPolygon edited="0">
                <wp:start x="0" y="0"/>
                <wp:lineTo x="0" y="21524"/>
                <wp:lineTo x="21506" y="21524"/>
                <wp:lineTo x="215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ULC_2024.jpg"/>
                    <pic:cNvPicPr/>
                  </pic:nvPicPr>
                  <pic:blipFill rotWithShape="1">
                    <a:blip r:embed="rId10" cstate="print">
                      <a:extLst>
                        <a:ext uri="{28A0092B-C50C-407E-A947-70E740481C1C}">
                          <a14:useLocalDpi xmlns:a14="http://schemas.microsoft.com/office/drawing/2010/main" val="0"/>
                        </a:ext>
                      </a:extLst>
                    </a:blip>
                    <a:srcRect l="1861" t="846" r="1618" b="1386"/>
                    <a:stretch/>
                  </pic:blipFill>
                  <pic:spPr bwMode="auto">
                    <a:xfrm>
                      <a:off x="0" y="0"/>
                      <a:ext cx="3635375" cy="4320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66D8" w:rsidRDefault="002966D8" w:rsidP="0017634B">
      <w:pPr>
        <w:spacing w:after="120" w:line="276" w:lineRule="auto"/>
        <w:jc w:val="both"/>
        <w:rPr>
          <w:b/>
          <w:bCs/>
          <w:lang w:val="en-IN" w:eastAsia="en-GB"/>
        </w:rPr>
      </w:pPr>
    </w:p>
    <w:p w:rsidR="002966D8" w:rsidRDefault="002966D8" w:rsidP="0017634B">
      <w:pPr>
        <w:spacing w:after="120" w:line="276" w:lineRule="auto"/>
        <w:jc w:val="both"/>
        <w:rPr>
          <w:b/>
          <w:bCs/>
          <w:lang w:val="en-IN" w:eastAsia="en-GB"/>
        </w:rPr>
      </w:pPr>
    </w:p>
    <w:p w:rsidR="002966D8" w:rsidRDefault="002966D8" w:rsidP="0017634B">
      <w:pPr>
        <w:spacing w:after="120" w:line="276" w:lineRule="auto"/>
        <w:jc w:val="both"/>
        <w:rPr>
          <w:b/>
          <w:bCs/>
          <w:lang w:val="en-IN" w:eastAsia="en-GB"/>
        </w:rPr>
      </w:pPr>
    </w:p>
    <w:p w:rsidR="002966D8" w:rsidRDefault="002966D8" w:rsidP="0017634B">
      <w:pPr>
        <w:spacing w:after="120" w:line="276" w:lineRule="auto"/>
        <w:jc w:val="both"/>
        <w:rPr>
          <w:b/>
          <w:bCs/>
          <w:lang w:val="en-IN" w:eastAsia="en-GB"/>
        </w:rPr>
      </w:pPr>
    </w:p>
    <w:p w:rsidR="002966D8" w:rsidRDefault="002966D8" w:rsidP="0017634B">
      <w:pPr>
        <w:spacing w:after="120" w:line="276" w:lineRule="auto"/>
        <w:jc w:val="both"/>
        <w:rPr>
          <w:b/>
          <w:bCs/>
          <w:lang w:val="en-IN" w:eastAsia="en-GB"/>
        </w:rPr>
      </w:pPr>
    </w:p>
    <w:p w:rsidR="002966D8" w:rsidRDefault="002966D8" w:rsidP="0017634B">
      <w:pPr>
        <w:spacing w:after="120" w:line="276" w:lineRule="auto"/>
        <w:jc w:val="both"/>
        <w:rPr>
          <w:b/>
          <w:bCs/>
          <w:lang w:val="en-IN" w:eastAsia="en-GB"/>
        </w:rPr>
      </w:pPr>
    </w:p>
    <w:p w:rsidR="002966D8" w:rsidRDefault="002966D8" w:rsidP="0017634B">
      <w:pPr>
        <w:spacing w:after="120" w:line="276" w:lineRule="auto"/>
        <w:jc w:val="both"/>
        <w:rPr>
          <w:b/>
          <w:bCs/>
          <w:lang w:val="en-IN" w:eastAsia="en-GB"/>
        </w:rPr>
      </w:pPr>
    </w:p>
    <w:p w:rsidR="002966D8" w:rsidRDefault="002966D8" w:rsidP="0017634B">
      <w:pPr>
        <w:spacing w:after="120" w:line="276" w:lineRule="auto"/>
        <w:jc w:val="both"/>
        <w:rPr>
          <w:b/>
          <w:bCs/>
          <w:lang w:val="en-IN" w:eastAsia="en-GB"/>
        </w:rPr>
      </w:pPr>
    </w:p>
    <w:p w:rsidR="002966D8" w:rsidRDefault="002966D8" w:rsidP="0017634B">
      <w:pPr>
        <w:spacing w:after="120" w:line="276" w:lineRule="auto"/>
        <w:jc w:val="both"/>
        <w:rPr>
          <w:b/>
          <w:bCs/>
          <w:lang w:val="en-IN" w:eastAsia="en-GB"/>
        </w:rPr>
      </w:pPr>
    </w:p>
    <w:p w:rsidR="002966D8" w:rsidRDefault="002966D8" w:rsidP="0017634B">
      <w:pPr>
        <w:spacing w:after="120" w:line="276" w:lineRule="auto"/>
        <w:jc w:val="both"/>
        <w:rPr>
          <w:b/>
          <w:bCs/>
          <w:lang w:val="en-IN" w:eastAsia="en-GB"/>
        </w:rPr>
      </w:pPr>
    </w:p>
    <w:p w:rsidR="002966D8" w:rsidRDefault="002966D8" w:rsidP="0017634B">
      <w:pPr>
        <w:spacing w:after="120" w:line="276" w:lineRule="auto"/>
        <w:jc w:val="both"/>
        <w:rPr>
          <w:b/>
          <w:bCs/>
          <w:lang w:val="en-IN" w:eastAsia="en-GB"/>
        </w:rPr>
      </w:pPr>
    </w:p>
    <w:p w:rsidR="002966D8" w:rsidRDefault="002966D8" w:rsidP="0017634B">
      <w:pPr>
        <w:spacing w:after="120" w:line="276" w:lineRule="auto"/>
        <w:jc w:val="both"/>
        <w:rPr>
          <w:b/>
          <w:bCs/>
          <w:lang w:val="en-IN" w:eastAsia="en-GB"/>
        </w:rPr>
      </w:pPr>
    </w:p>
    <w:p w:rsidR="002966D8" w:rsidRDefault="002966D8" w:rsidP="0017634B">
      <w:pPr>
        <w:spacing w:after="120" w:line="276" w:lineRule="auto"/>
        <w:jc w:val="both"/>
        <w:rPr>
          <w:b/>
          <w:bCs/>
          <w:lang w:val="en-IN" w:eastAsia="en-GB"/>
        </w:rPr>
      </w:pPr>
    </w:p>
    <w:p w:rsidR="002966D8" w:rsidRDefault="002966D8" w:rsidP="0017634B">
      <w:pPr>
        <w:spacing w:after="120" w:line="276" w:lineRule="auto"/>
        <w:jc w:val="both"/>
        <w:rPr>
          <w:b/>
          <w:bCs/>
          <w:lang w:val="en-IN" w:eastAsia="en-GB"/>
        </w:rPr>
      </w:pPr>
    </w:p>
    <w:p w:rsidR="002966D8" w:rsidRDefault="002966D8" w:rsidP="0017634B">
      <w:pPr>
        <w:spacing w:after="120" w:line="276" w:lineRule="auto"/>
        <w:jc w:val="both"/>
        <w:rPr>
          <w:b/>
          <w:bCs/>
          <w:lang w:val="en-IN" w:eastAsia="en-GB"/>
        </w:rPr>
      </w:pPr>
    </w:p>
    <w:p w:rsidR="002966D8" w:rsidRPr="002966D8" w:rsidRDefault="002966D8" w:rsidP="002966D8">
      <w:pPr>
        <w:jc w:val="center"/>
        <w:rPr>
          <w:b/>
          <w:bCs/>
          <w:lang w:val="en-IN" w:eastAsia="en-GB"/>
        </w:rPr>
      </w:pPr>
      <w:r>
        <w:rPr>
          <w:b/>
          <w:bCs/>
          <w:lang w:val="en-IN" w:eastAsia="en-GB"/>
        </w:rPr>
        <w:t xml:space="preserve">Figure 3: Land Use Land Cover </w:t>
      </w:r>
      <w:r w:rsidRPr="002966D8">
        <w:rPr>
          <w:b/>
          <w:bCs/>
          <w:lang w:val="en-IN" w:eastAsia="en-GB"/>
        </w:rPr>
        <w:t>of BMR</w:t>
      </w:r>
      <w:r>
        <w:rPr>
          <w:b/>
          <w:bCs/>
          <w:lang w:val="en-IN" w:eastAsia="en-GB"/>
        </w:rPr>
        <w:t>-2023</w:t>
      </w:r>
    </w:p>
    <w:p w:rsidR="002966D8" w:rsidRPr="002966D8" w:rsidRDefault="002966D8" w:rsidP="002966D8">
      <w:pPr>
        <w:jc w:val="center"/>
        <w:rPr>
          <w:bCs/>
          <w:lang w:val="en-IN" w:eastAsia="en-GB"/>
        </w:rPr>
      </w:pPr>
      <w:r w:rsidRPr="002966D8">
        <w:rPr>
          <w:bCs/>
          <w:lang w:val="en-IN" w:eastAsia="en-GB"/>
        </w:rPr>
        <w:t xml:space="preserve">(Source: </w:t>
      </w:r>
      <w:r>
        <w:rPr>
          <w:bCs/>
          <w:lang w:val="en-IN" w:eastAsia="en-GB"/>
        </w:rPr>
        <w:t>Author using GIS</w:t>
      </w:r>
      <w:r w:rsidRPr="002966D8">
        <w:rPr>
          <w:bCs/>
          <w:lang w:val="en-IN" w:eastAsia="en-GB"/>
        </w:rPr>
        <w:t>)</w:t>
      </w:r>
    </w:p>
    <w:p w:rsidR="002966D8" w:rsidRDefault="002966D8" w:rsidP="0017634B">
      <w:pPr>
        <w:spacing w:after="120" w:line="276" w:lineRule="auto"/>
        <w:jc w:val="both"/>
        <w:rPr>
          <w:b/>
          <w:bCs/>
          <w:lang w:val="en-IN" w:eastAsia="en-GB"/>
        </w:rPr>
      </w:pPr>
    </w:p>
    <w:p w:rsidR="0017634B" w:rsidRPr="0017634B" w:rsidRDefault="0017634B" w:rsidP="0017634B">
      <w:pPr>
        <w:spacing w:after="120" w:line="276" w:lineRule="auto"/>
        <w:jc w:val="both"/>
        <w:rPr>
          <w:b/>
          <w:bCs/>
          <w:lang w:val="en-IN" w:eastAsia="en-GB"/>
        </w:rPr>
      </w:pPr>
      <w:r>
        <w:rPr>
          <w:b/>
          <w:bCs/>
          <w:lang w:val="en-IN" w:eastAsia="en-GB"/>
        </w:rPr>
        <w:lastRenderedPageBreak/>
        <w:t xml:space="preserve">4.4 </w:t>
      </w:r>
      <w:r w:rsidRPr="0017634B">
        <w:rPr>
          <w:b/>
          <w:bCs/>
          <w:lang w:val="en-IN" w:eastAsia="en-GB"/>
        </w:rPr>
        <w:t>Urbanization Trends and Planning Challenges</w:t>
      </w:r>
    </w:p>
    <w:p w:rsidR="000D6948" w:rsidRPr="000D6948" w:rsidRDefault="000D6948" w:rsidP="000D6948">
      <w:pPr>
        <w:spacing w:after="120" w:line="276" w:lineRule="auto"/>
        <w:ind w:firstLine="720"/>
        <w:jc w:val="both"/>
        <w:rPr>
          <w:lang w:val="en-IN" w:eastAsia="en-GB"/>
        </w:rPr>
      </w:pPr>
      <w:r w:rsidRPr="000D6948">
        <w:rPr>
          <w:lang w:val="en-IN" w:eastAsia="en-GB"/>
        </w:rPr>
        <w:t xml:space="preserve">BMR's rapid growth has caused traffic congestion, inadequate public transport, and infrastructure strain. The Revised Structure Plan 2031 promotes </w:t>
      </w:r>
      <w:r w:rsidRPr="000D6948">
        <w:rPr>
          <w:bCs/>
          <w:lang w:val="en-IN" w:eastAsia="en-GB"/>
        </w:rPr>
        <w:t>polycentric development</w:t>
      </w:r>
      <w:r w:rsidRPr="000D6948">
        <w:rPr>
          <w:lang w:val="en-IN" w:eastAsia="en-GB"/>
        </w:rPr>
        <w:t xml:space="preserve"> to decongest Bengaluru, but progress has been slow due to fragmented governance and lack of coordination. </w:t>
      </w:r>
      <w:r w:rsidRPr="000D6948">
        <w:rPr>
          <w:bCs/>
          <w:lang w:val="en-IN" w:eastAsia="en-GB"/>
        </w:rPr>
        <w:t>Strategic urban planning through TPS</w:t>
      </w:r>
      <w:r w:rsidRPr="000D6948">
        <w:rPr>
          <w:lang w:val="en-IN" w:eastAsia="en-GB"/>
        </w:rPr>
        <w:t xml:space="preserve"> is essential to manage land use effectively, ensuring </w:t>
      </w:r>
      <w:r w:rsidRPr="000D6948">
        <w:rPr>
          <w:bCs/>
          <w:lang w:val="en-IN" w:eastAsia="en-GB"/>
        </w:rPr>
        <w:t>sustainable growth, environmental protection, and infrastructure integration</w:t>
      </w:r>
      <w:r w:rsidRPr="000D6948">
        <w:rPr>
          <w:lang w:val="en-IN" w:eastAsia="en-GB"/>
        </w:rPr>
        <w:t xml:space="preserve"> (BMRDA, 2016).</w:t>
      </w:r>
    </w:p>
    <w:p w:rsidR="0017634B" w:rsidRPr="0017634B" w:rsidRDefault="004B7B15" w:rsidP="0017634B">
      <w:pPr>
        <w:spacing w:after="120" w:line="276" w:lineRule="auto"/>
        <w:jc w:val="both"/>
        <w:rPr>
          <w:b/>
          <w:bCs/>
          <w:lang w:val="en-IN" w:eastAsia="en-GB"/>
        </w:rPr>
      </w:pPr>
      <w:r>
        <w:rPr>
          <w:b/>
          <w:bCs/>
          <w:lang w:val="en-IN" w:eastAsia="en-GB"/>
        </w:rPr>
        <w:t>V</w:t>
      </w:r>
      <w:r w:rsidR="0017634B" w:rsidRPr="0017634B">
        <w:rPr>
          <w:b/>
          <w:bCs/>
          <w:lang w:val="en-IN" w:eastAsia="en-GB"/>
        </w:rPr>
        <w:t xml:space="preserve">. </w:t>
      </w:r>
      <w:r w:rsidRPr="0017634B">
        <w:rPr>
          <w:b/>
          <w:bCs/>
          <w:lang w:val="en-IN" w:eastAsia="en-GB"/>
        </w:rPr>
        <w:t>CHALLENGES IN IMPLEMENTING TPS IN BMR</w:t>
      </w:r>
    </w:p>
    <w:p w:rsidR="000C3AA1" w:rsidRDefault="000C3AA1" w:rsidP="000C3AA1">
      <w:pPr>
        <w:numPr>
          <w:ilvl w:val="0"/>
          <w:numId w:val="37"/>
        </w:numPr>
        <w:spacing w:after="120" w:line="276" w:lineRule="auto"/>
        <w:ind w:left="357" w:hanging="357"/>
        <w:jc w:val="both"/>
        <w:rPr>
          <w:lang w:val="en-IN" w:eastAsia="en-GB"/>
        </w:rPr>
      </w:pPr>
      <w:r w:rsidRPr="000C3AA1">
        <w:rPr>
          <w:b/>
          <w:bCs/>
          <w:lang w:val="en-IN" w:eastAsia="en-GB"/>
        </w:rPr>
        <w:t>Environmental Conflicts and Land Use Constraints</w:t>
      </w:r>
      <w:r w:rsidRPr="000C3AA1">
        <w:rPr>
          <w:lang w:val="en-IN" w:eastAsia="en-GB"/>
        </w:rPr>
        <w:t xml:space="preserve"> – The </w:t>
      </w:r>
      <w:r w:rsidRPr="000C3AA1">
        <w:rPr>
          <w:bCs/>
          <w:lang w:val="en-IN" w:eastAsia="en-GB"/>
        </w:rPr>
        <w:t>Conflict Map</w:t>
      </w:r>
      <w:r w:rsidRPr="000C3AA1">
        <w:rPr>
          <w:lang w:val="en-IN" w:eastAsia="en-GB"/>
        </w:rPr>
        <w:t xml:space="preserve"> from the </w:t>
      </w:r>
      <w:r w:rsidRPr="000C3AA1">
        <w:rPr>
          <w:bCs/>
          <w:lang w:val="en-IN" w:eastAsia="en-GB"/>
        </w:rPr>
        <w:t>Revised Structure Plan 2031</w:t>
      </w:r>
      <w:r w:rsidRPr="000C3AA1">
        <w:rPr>
          <w:lang w:val="en-IN" w:eastAsia="en-GB"/>
        </w:rPr>
        <w:t xml:space="preserve"> highlights significant environmental and land-use conflicts within BMR, where urban expansion intersects with </w:t>
      </w:r>
      <w:r w:rsidRPr="000C3AA1">
        <w:rPr>
          <w:bCs/>
          <w:lang w:val="en-IN" w:eastAsia="en-GB"/>
        </w:rPr>
        <w:t>protected forests, water bodies, and valley systems</w:t>
      </w:r>
      <w:r w:rsidRPr="000C3AA1">
        <w:rPr>
          <w:lang w:val="en-IN" w:eastAsia="en-GB"/>
        </w:rPr>
        <w:t xml:space="preserve">. Many TPS areas overlap with </w:t>
      </w:r>
      <w:r w:rsidRPr="000C3AA1">
        <w:rPr>
          <w:bCs/>
          <w:lang w:val="en-IN" w:eastAsia="en-GB"/>
        </w:rPr>
        <w:t>flood-prone zones and ecologically sensitive regions</w:t>
      </w:r>
      <w:r w:rsidRPr="000C3AA1">
        <w:rPr>
          <w:lang w:val="en-IN" w:eastAsia="en-GB"/>
        </w:rPr>
        <w:t xml:space="preserve">, particularly in </w:t>
      </w:r>
      <w:proofErr w:type="spellStart"/>
      <w:r w:rsidRPr="000C3AA1">
        <w:rPr>
          <w:bCs/>
          <w:lang w:val="en-IN" w:eastAsia="en-GB"/>
        </w:rPr>
        <w:t>Anekal</w:t>
      </w:r>
      <w:proofErr w:type="spellEnd"/>
      <w:r w:rsidRPr="000C3AA1">
        <w:rPr>
          <w:bCs/>
          <w:lang w:val="en-IN" w:eastAsia="en-GB"/>
        </w:rPr>
        <w:t xml:space="preserve">, </w:t>
      </w:r>
      <w:proofErr w:type="spellStart"/>
      <w:r w:rsidRPr="000C3AA1">
        <w:rPr>
          <w:bCs/>
          <w:lang w:val="en-IN" w:eastAsia="en-GB"/>
        </w:rPr>
        <w:t>Kanakapura</w:t>
      </w:r>
      <w:proofErr w:type="spellEnd"/>
      <w:r w:rsidRPr="000C3AA1">
        <w:rPr>
          <w:bCs/>
          <w:lang w:val="en-IN" w:eastAsia="en-GB"/>
        </w:rPr>
        <w:t xml:space="preserve">, and </w:t>
      </w:r>
      <w:proofErr w:type="spellStart"/>
      <w:r w:rsidRPr="000C3AA1">
        <w:rPr>
          <w:bCs/>
          <w:lang w:val="en-IN" w:eastAsia="en-GB"/>
        </w:rPr>
        <w:t>Bidadi</w:t>
      </w:r>
      <w:proofErr w:type="spellEnd"/>
      <w:r w:rsidRPr="000C3AA1">
        <w:rPr>
          <w:lang w:val="en-IN" w:eastAsia="en-GB"/>
        </w:rPr>
        <w:t xml:space="preserve">, leading to increased flooding, pollution, and habitat degradation. These conflicts pose </w:t>
      </w:r>
      <w:r w:rsidRPr="000C3AA1">
        <w:rPr>
          <w:bCs/>
          <w:lang w:val="en-IN" w:eastAsia="en-GB"/>
        </w:rPr>
        <w:t>regulatory challenges</w:t>
      </w:r>
      <w:r w:rsidRPr="000C3AA1">
        <w:rPr>
          <w:lang w:val="en-IN" w:eastAsia="en-GB"/>
        </w:rPr>
        <w:t xml:space="preserve">, requiring stricter environmental compliance, delaying TPS approvals, and increasing costs. Without </w:t>
      </w:r>
      <w:r w:rsidRPr="000C3AA1">
        <w:rPr>
          <w:bCs/>
          <w:lang w:val="en-IN" w:eastAsia="en-GB"/>
        </w:rPr>
        <w:t>land suitability assessments and ecological protection measures</w:t>
      </w:r>
      <w:r w:rsidRPr="000C3AA1">
        <w:rPr>
          <w:lang w:val="en-IN" w:eastAsia="en-GB"/>
        </w:rPr>
        <w:t>, TPS projects face resistance from environmental groups and regulatory agencies, complicating implementation and necessitating mitigation strategies to ensure sustainable urban growth.</w:t>
      </w:r>
    </w:p>
    <w:p w:rsidR="000C3AA1" w:rsidRDefault="00E27016" w:rsidP="000C3AA1">
      <w:pPr>
        <w:spacing w:after="120" w:line="276" w:lineRule="auto"/>
        <w:jc w:val="both"/>
        <w:rPr>
          <w:lang w:val="en-IN" w:eastAsia="en-GB"/>
        </w:rPr>
      </w:pPr>
      <w:r>
        <w:rPr>
          <w:noProof/>
          <w:lang w:val="en-IN" w:eastAsia="en-IN"/>
        </w:rPr>
        <w:drawing>
          <wp:anchor distT="0" distB="0" distL="114300" distR="114300" simplePos="0" relativeHeight="251666432" behindDoc="1" locked="0" layoutInCell="1" allowOverlap="1" wp14:anchorId="42822F50" wp14:editId="175DF239">
            <wp:simplePos x="0" y="0"/>
            <wp:positionH relativeFrom="column">
              <wp:posOffset>1210310</wp:posOffset>
            </wp:positionH>
            <wp:positionV relativeFrom="paragraph">
              <wp:posOffset>64770</wp:posOffset>
            </wp:positionV>
            <wp:extent cx="3636000" cy="4293763"/>
            <wp:effectExtent l="19050" t="19050" r="22225" b="12065"/>
            <wp:wrapTight wrapText="bothSides">
              <wp:wrapPolygon edited="0">
                <wp:start x="-113" y="-96"/>
                <wp:lineTo x="-113" y="21565"/>
                <wp:lineTo x="21619" y="21565"/>
                <wp:lineTo x="21619" y="-96"/>
                <wp:lineTo x="-113" y="-9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_Conflict Map_001.png"/>
                    <pic:cNvPicPr/>
                  </pic:nvPicPr>
                  <pic:blipFill rotWithShape="1">
                    <a:blip r:embed="rId11" cstate="print">
                      <a:extLst>
                        <a:ext uri="{28A0092B-C50C-407E-A947-70E740481C1C}">
                          <a14:useLocalDpi xmlns:a14="http://schemas.microsoft.com/office/drawing/2010/main" val="0"/>
                        </a:ext>
                      </a:extLst>
                    </a:blip>
                    <a:srcRect l="2778" t="3458" r="1565" b="8879"/>
                    <a:stretch/>
                  </pic:blipFill>
                  <pic:spPr bwMode="auto">
                    <a:xfrm>
                      <a:off x="0" y="0"/>
                      <a:ext cx="3636000" cy="429376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C3AA1" w:rsidRDefault="000C3AA1" w:rsidP="000C3AA1">
      <w:pPr>
        <w:spacing w:after="120" w:line="276" w:lineRule="auto"/>
        <w:jc w:val="both"/>
        <w:rPr>
          <w:lang w:val="en-IN" w:eastAsia="en-GB"/>
        </w:rPr>
      </w:pPr>
    </w:p>
    <w:p w:rsidR="000C3AA1" w:rsidRDefault="000C3AA1" w:rsidP="000C3AA1">
      <w:pPr>
        <w:spacing w:after="120" w:line="276" w:lineRule="auto"/>
        <w:jc w:val="both"/>
        <w:rPr>
          <w:lang w:val="en-IN" w:eastAsia="en-GB"/>
        </w:rPr>
      </w:pPr>
    </w:p>
    <w:p w:rsidR="000C3AA1" w:rsidRDefault="000C3AA1" w:rsidP="000C3AA1">
      <w:pPr>
        <w:spacing w:after="120" w:line="276" w:lineRule="auto"/>
        <w:jc w:val="both"/>
        <w:rPr>
          <w:lang w:val="en-IN" w:eastAsia="en-GB"/>
        </w:rPr>
      </w:pPr>
    </w:p>
    <w:p w:rsidR="000C3AA1" w:rsidRDefault="000C3AA1" w:rsidP="000C3AA1">
      <w:pPr>
        <w:spacing w:after="120" w:line="276" w:lineRule="auto"/>
        <w:jc w:val="both"/>
        <w:rPr>
          <w:lang w:val="en-IN" w:eastAsia="en-GB"/>
        </w:rPr>
      </w:pPr>
    </w:p>
    <w:p w:rsidR="000C3AA1" w:rsidRDefault="000C3AA1" w:rsidP="000C3AA1">
      <w:pPr>
        <w:spacing w:after="120" w:line="276" w:lineRule="auto"/>
        <w:jc w:val="both"/>
        <w:rPr>
          <w:lang w:val="en-IN" w:eastAsia="en-GB"/>
        </w:rPr>
      </w:pPr>
    </w:p>
    <w:p w:rsidR="000C3AA1" w:rsidRDefault="000C3AA1" w:rsidP="000C3AA1">
      <w:pPr>
        <w:spacing w:after="120" w:line="276" w:lineRule="auto"/>
        <w:jc w:val="both"/>
        <w:rPr>
          <w:lang w:val="en-IN" w:eastAsia="en-GB"/>
        </w:rPr>
      </w:pPr>
    </w:p>
    <w:p w:rsidR="000C3AA1" w:rsidRDefault="000C3AA1" w:rsidP="000C3AA1">
      <w:pPr>
        <w:spacing w:after="120" w:line="276" w:lineRule="auto"/>
        <w:jc w:val="both"/>
        <w:rPr>
          <w:lang w:val="en-IN" w:eastAsia="en-GB"/>
        </w:rPr>
      </w:pPr>
    </w:p>
    <w:p w:rsidR="000C3AA1" w:rsidRDefault="000C3AA1" w:rsidP="000C3AA1">
      <w:pPr>
        <w:spacing w:after="120" w:line="276" w:lineRule="auto"/>
        <w:jc w:val="both"/>
        <w:rPr>
          <w:lang w:val="en-IN" w:eastAsia="en-GB"/>
        </w:rPr>
      </w:pPr>
    </w:p>
    <w:p w:rsidR="000C3AA1" w:rsidRDefault="000C3AA1" w:rsidP="000C3AA1">
      <w:pPr>
        <w:spacing w:after="120" w:line="276" w:lineRule="auto"/>
        <w:jc w:val="both"/>
        <w:rPr>
          <w:lang w:val="en-IN" w:eastAsia="en-GB"/>
        </w:rPr>
      </w:pPr>
    </w:p>
    <w:p w:rsidR="000C3AA1" w:rsidRDefault="000C3AA1" w:rsidP="000C3AA1">
      <w:pPr>
        <w:spacing w:after="120" w:line="276" w:lineRule="auto"/>
        <w:jc w:val="both"/>
        <w:rPr>
          <w:lang w:val="en-IN" w:eastAsia="en-GB"/>
        </w:rPr>
      </w:pPr>
    </w:p>
    <w:p w:rsidR="000C3AA1" w:rsidRDefault="000C3AA1" w:rsidP="000C3AA1">
      <w:pPr>
        <w:spacing w:after="120" w:line="276" w:lineRule="auto"/>
        <w:jc w:val="both"/>
        <w:rPr>
          <w:lang w:val="en-IN" w:eastAsia="en-GB"/>
        </w:rPr>
      </w:pPr>
    </w:p>
    <w:p w:rsidR="000C3AA1" w:rsidRDefault="000C3AA1" w:rsidP="000C3AA1">
      <w:pPr>
        <w:spacing w:after="120" w:line="276" w:lineRule="auto"/>
        <w:jc w:val="both"/>
        <w:rPr>
          <w:lang w:val="en-IN" w:eastAsia="en-GB"/>
        </w:rPr>
      </w:pPr>
    </w:p>
    <w:p w:rsidR="000D6948" w:rsidRDefault="000D6948" w:rsidP="000D6948">
      <w:pPr>
        <w:jc w:val="center"/>
        <w:rPr>
          <w:b/>
          <w:bCs/>
          <w:lang w:val="en-IN" w:eastAsia="en-GB"/>
        </w:rPr>
      </w:pPr>
    </w:p>
    <w:p w:rsidR="000D6948" w:rsidRDefault="000D6948" w:rsidP="000D6948">
      <w:pPr>
        <w:jc w:val="center"/>
        <w:rPr>
          <w:b/>
          <w:bCs/>
          <w:lang w:val="en-IN" w:eastAsia="en-GB"/>
        </w:rPr>
      </w:pPr>
    </w:p>
    <w:p w:rsidR="00E27016" w:rsidRDefault="00E27016" w:rsidP="000D6948">
      <w:pPr>
        <w:jc w:val="center"/>
        <w:rPr>
          <w:b/>
          <w:bCs/>
          <w:lang w:val="en-IN" w:eastAsia="en-GB"/>
        </w:rPr>
      </w:pPr>
    </w:p>
    <w:p w:rsidR="00E27016" w:rsidRDefault="00E27016" w:rsidP="000D6948">
      <w:pPr>
        <w:jc w:val="center"/>
        <w:rPr>
          <w:b/>
          <w:bCs/>
          <w:lang w:val="en-IN" w:eastAsia="en-GB"/>
        </w:rPr>
      </w:pPr>
    </w:p>
    <w:p w:rsidR="00E27016" w:rsidRDefault="00E27016" w:rsidP="000D6948">
      <w:pPr>
        <w:jc w:val="center"/>
        <w:rPr>
          <w:b/>
          <w:bCs/>
          <w:lang w:val="en-IN" w:eastAsia="en-GB"/>
        </w:rPr>
      </w:pPr>
    </w:p>
    <w:p w:rsidR="000D6948" w:rsidRPr="000D6948" w:rsidRDefault="000D6948" w:rsidP="000D6948">
      <w:pPr>
        <w:jc w:val="center"/>
        <w:rPr>
          <w:b/>
          <w:bCs/>
          <w:lang w:val="en-IN" w:eastAsia="en-GB"/>
        </w:rPr>
      </w:pPr>
      <w:r w:rsidRPr="000D6948">
        <w:rPr>
          <w:b/>
          <w:bCs/>
          <w:lang w:val="en-IN" w:eastAsia="en-GB"/>
        </w:rPr>
        <w:t>Figure 4: Conflict Areas of BMR</w:t>
      </w:r>
    </w:p>
    <w:p w:rsidR="000D6948" w:rsidRDefault="000D6948" w:rsidP="000D6948">
      <w:pPr>
        <w:jc w:val="center"/>
        <w:rPr>
          <w:bCs/>
          <w:lang w:val="en-IN" w:eastAsia="en-GB"/>
        </w:rPr>
      </w:pPr>
      <w:r w:rsidRPr="000D6948">
        <w:rPr>
          <w:bCs/>
          <w:lang w:val="en-IN" w:eastAsia="en-GB"/>
        </w:rPr>
        <w:t>(Source: BMR Revised Structure Plan, 2016)</w:t>
      </w:r>
    </w:p>
    <w:p w:rsidR="00E27016" w:rsidRDefault="00E27016" w:rsidP="000D6948">
      <w:pPr>
        <w:jc w:val="center"/>
        <w:rPr>
          <w:bCs/>
          <w:lang w:val="en-IN" w:eastAsia="en-GB"/>
        </w:rPr>
      </w:pPr>
    </w:p>
    <w:p w:rsidR="00E27016" w:rsidRPr="000D6948" w:rsidRDefault="00E27016" w:rsidP="000D6948">
      <w:pPr>
        <w:jc w:val="center"/>
        <w:rPr>
          <w:bCs/>
          <w:lang w:val="en-IN" w:eastAsia="en-GB"/>
        </w:rPr>
      </w:pPr>
    </w:p>
    <w:p w:rsidR="0017634B" w:rsidRPr="0017634B" w:rsidRDefault="0017634B" w:rsidP="0017634B">
      <w:pPr>
        <w:numPr>
          <w:ilvl w:val="0"/>
          <w:numId w:val="37"/>
        </w:numPr>
        <w:spacing w:after="120" w:line="276" w:lineRule="auto"/>
        <w:ind w:left="357" w:hanging="357"/>
        <w:jc w:val="both"/>
        <w:rPr>
          <w:lang w:val="en-IN" w:eastAsia="en-GB"/>
        </w:rPr>
      </w:pPr>
      <w:r w:rsidRPr="0017634B">
        <w:rPr>
          <w:b/>
          <w:bCs/>
          <w:lang w:val="en-IN" w:eastAsia="en-GB"/>
        </w:rPr>
        <w:t>Fragmented Governance and Institutional Barriers</w:t>
      </w:r>
      <w:r w:rsidRPr="0017634B">
        <w:rPr>
          <w:lang w:val="en-IN" w:eastAsia="en-GB"/>
        </w:rPr>
        <w:t xml:space="preserve"> – Multiple agencies such as BMRDA, BBMP, and ULBs operate without a unified framework, leading to delays in TPS implementation. The lack of coordination hinders decision-making and results in policy inconsistencies.</w:t>
      </w:r>
    </w:p>
    <w:p w:rsidR="0017634B" w:rsidRPr="0017634B" w:rsidRDefault="0017634B" w:rsidP="0017634B">
      <w:pPr>
        <w:numPr>
          <w:ilvl w:val="0"/>
          <w:numId w:val="37"/>
        </w:numPr>
        <w:spacing w:after="120" w:line="276" w:lineRule="auto"/>
        <w:ind w:left="357" w:hanging="357"/>
        <w:jc w:val="both"/>
        <w:rPr>
          <w:lang w:val="en-IN" w:eastAsia="en-GB"/>
        </w:rPr>
      </w:pPr>
      <w:r w:rsidRPr="0017634B">
        <w:rPr>
          <w:b/>
          <w:bCs/>
          <w:lang w:val="en-IN" w:eastAsia="en-GB"/>
        </w:rPr>
        <w:t>Legal and Regulatory Hurdles</w:t>
      </w:r>
      <w:r w:rsidRPr="0017634B">
        <w:rPr>
          <w:lang w:val="en-IN" w:eastAsia="en-GB"/>
        </w:rPr>
        <w:t xml:space="preserve"> – Complex land acquisition laws, overlapping jurisdictional responsibilities, and slow approval processes create roadblocks for TPS projects. The absence of clear legal mechanisms to streamline TPS execution further complicates planning efforts.</w:t>
      </w:r>
    </w:p>
    <w:p w:rsidR="0017634B" w:rsidRPr="0017634B" w:rsidRDefault="0017634B" w:rsidP="0017634B">
      <w:pPr>
        <w:numPr>
          <w:ilvl w:val="0"/>
          <w:numId w:val="37"/>
        </w:numPr>
        <w:spacing w:after="120" w:line="276" w:lineRule="auto"/>
        <w:ind w:left="357" w:hanging="357"/>
        <w:jc w:val="both"/>
        <w:rPr>
          <w:lang w:val="en-IN" w:eastAsia="en-GB"/>
        </w:rPr>
      </w:pPr>
      <w:r w:rsidRPr="0017634B">
        <w:rPr>
          <w:b/>
          <w:bCs/>
          <w:lang w:val="en-IN" w:eastAsia="en-GB"/>
        </w:rPr>
        <w:t>Financial Constraints</w:t>
      </w:r>
      <w:r w:rsidRPr="0017634B">
        <w:rPr>
          <w:lang w:val="en-IN" w:eastAsia="en-GB"/>
        </w:rPr>
        <w:t xml:space="preserve"> – Funding limitations pose a significant challenge for TPS execution. Many urban local bodies lack the financial resources to undertake large-scale land development projects, making it difficult to provide basic infrastructure under TPS.</w:t>
      </w:r>
    </w:p>
    <w:p w:rsidR="0017634B" w:rsidRPr="0017634B" w:rsidRDefault="0017634B" w:rsidP="0017634B">
      <w:pPr>
        <w:numPr>
          <w:ilvl w:val="0"/>
          <w:numId w:val="37"/>
        </w:numPr>
        <w:spacing w:after="120" w:line="276" w:lineRule="auto"/>
        <w:ind w:left="357" w:hanging="357"/>
        <w:jc w:val="both"/>
        <w:rPr>
          <w:lang w:val="en-IN" w:eastAsia="en-GB"/>
        </w:rPr>
      </w:pPr>
      <w:r w:rsidRPr="0017634B">
        <w:rPr>
          <w:b/>
          <w:bCs/>
          <w:lang w:val="en-IN" w:eastAsia="en-GB"/>
        </w:rPr>
        <w:t>Landowner Resistance</w:t>
      </w:r>
      <w:r w:rsidRPr="0017634B">
        <w:rPr>
          <w:lang w:val="en-IN" w:eastAsia="en-GB"/>
        </w:rPr>
        <w:t xml:space="preserve"> – Due to misconceptions regarding land redistribution and valuation, many landowners are reluctant to participate in TPS. The prolonged duration of TPS execution also discourages participation, leading to fragmented urban expansion.</w:t>
      </w:r>
    </w:p>
    <w:p w:rsidR="0017634B" w:rsidRPr="0017634B" w:rsidRDefault="0017634B" w:rsidP="0017634B">
      <w:pPr>
        <w:numPr>
          <w:ilvl w:val="0"/>
          <w:numId w:val="37"/>
        </w:numPr>
        <w:spacing w:after="120" w:line="276" w:lineRule="auto"/>
        <w:ind w:left="357" w:hanging="357"/>
        <w:jc w:val="both"/>
        <w:rPr>
          <w:lang w:val="en-IN" w:eastAsia="en-GB"/>
        </w:rPr>
      </w:pPr>
      <w:r w:rsidRPr="0017634B">
        <w:rPr>
          <w:b/>
          <w:bCs/>
          <w:lang w:val="en-IN" w:eastAsia="en-GB"/>
        </w:rPr>
        <w:t>Lack of Public Awareness</w:t>
      </w:r>
      <w:r w:rsidRPr="0017634B">
        <w:rPr>
          <w:lang w:val="en-IN" w:eastAsia="en-GB"/>
        </w:rPr>
        <w:t xml:space="preserve"> – The absence of awareness campaigns and stakeholder engagement programs results in limited public participation in TPS. Without community involvement, securing land for urban development becomes more challenging.</w:t>
      </w:r>
    </w:p>
    <w:p w:rsidR="00344A9E" w:rsidRPr="000C3AA1" w:rsidRDefault="0017634B" w:rsidP="00493A77">
      <w:pPr>
        <w:numPr>
          <w:ilvl w:val="0"/>
          <w:numId w:val="37"/>
        </w:numPr>
        <w:spacing w:after="120" w:line="276" w:lineRule="auto"/>
        <w:ind w:left="357" w:hanging="357"/>
        <w:jc w:val="both"/>
        <w:rPr>
          <w:lang w:val="en-IN" w:eastAsia="en-GB"/>
        </w:rPr>
      </w:pPr>
      <w:r w:rsidRPr="0017634B">
        <w:rPr>
          <w:b/>
          <w:bCs/>
          <w:lang w:val="en-IN" w:eastAsia="en-GB"/>
        </w:rPr>
        <w:t>Delays in Implementation</w:t>
      </w:r>
      <w:r w:rsidRPr="0017634B">
        <w:rPr>
          <w:lang w:val="en-IN" w:eastAsia="en-GB"/>
        </w:rPr>
        <w:t xml:space="preserve"> – Bureaucratic red tape, slow project approvals, and inadequate institutional capacity contribute to lengthy implementation timelines. The delayed execution of TPS projects affects planned urbanization and leads to increased land speculation.</w:t>
      </w:r>
      <w:r w:rsidR="00B23B93">
        <w:rPr>
          <w:lang w:val="en-IN" w:eastAsia="en-GB"/>
        </w:rPr>
        <w:t xml:space="preserve">  </w:t>
      </w:r>
      <w:r w:rsidR="00B23B93">
        <w:rPr>
          <w:bCs/>
          <w:lang w:val="en-IN" w:eastAsia="en-GB"/>
        </w:rPr>
        <w:t xml:space="preserve">The various </w:t>
      </w:r>
      <w:r w:rsidR="00B23B93" w:rsidRPr="00B23B93">
        <w:rPr>
          <w:bCs/>
          <w:lang w:val="en-IN" w:eastAsia="en-GB"/>
        </w:rPr>
        <w:t xml:space="preserve">Conflict Areas with BMR are illustrated in </w:t>
      </w:r>
      <w:r w:rsidR="00B23B93" w:rsidRPr="00B23B93">
        <w:rPr>
          <w:lang w:val="en-IN" w:eastAsia="en-GB"/>
        </w:rPr>
        <w:t>Figure 4.</w:t>
      </w:r>
    </w:p>
    <w:p w:rsidR="00493A77" w:rsidRPr="00493A77" w:rsidRDefault="00493A77" w:rsidP="00493A77">
      <w:pPr>
        <w:spacing w:after="120" w:line="276" w:lineRule="auto"/>
        <w:jc w:val="both"/>
        <w:rPr>
          <w:b/>
          <w:bCs/>
          <w:lang w:val="en-IN" w:eastAsia="en-GB"/>
        </w:rPr>
      </w:pPr>
      <w:r>
        <w:rPr>
          <w:b/>
          <w:bCs/>
          <w:lang w:val="en-IN" w:eastAsia="en-GB"/>
        </w:rPr>
        <w:t>VI</w:t>
      </w:r>
      <w:r w:rsidRPr="00493A77">
        <w:rPr>
          <w:b/>
          <w:bCs/>
          <w:lang w:val="en-IN" w:eastAsia="en-GB"/>
        </w:rPr>
        <w:t>. STRATEGIES FOR EFFECTIVE TPS IMPLEMENTATION</w:t>
      </w:r>
    </w:p>
    <w:p w:rsidR="00493A77" w:rsidRPr="00493A77" w:rsidRDefault="00493A77" w:rsidP="00493A77">
      <w:pPr>
        <w:spacing w:after="120" w:line="276" w:lineRule="auto"/>
        <w:ind w:firstLine="357"/>
        <w:jc w:val="both"/>
        <w:rPr>
          <w:lang w:val="en-IN" w:eastAsia="en-GB"/>
        </w:rPr>
      </w:pPr>
      <w:r w:rsidRPr="00493A77">
        <w:rPr>
          <w:lang w:val="en-IN" w:eastAsia="en-GB"/>
        </w:rPr>
        <w:t>A structured approach is required to improve the implementation of Town Planning Schemes (TPS) in Bangalore Metropolitan Region (BMR). The following strategies focus on short-term and operational measures that enhance TPS execution and efficiency:</w:t>
      </w:r>
    </w:p>
    <w:p w:rsidR="00291BA3" w:rsidRPr="00291BA3" w:rsidRDefault="00291BA3" w:rsidP="00291BA3">
      <w:pPr>
        <w:numPr>
          <w:ilvl w:val="0"/>
          <w:numId w:val="45"/>
        </w:numPr>
        <w:spacing w:after="120" w:line="276" w:lineRule="auto"/>
        <w:ind w:left="357" w:hanging="357"/>
        <w:jc w:val="both"/>
        <w:rPr>
          <w:lang w:val="en-IN" w:eastAsia="en-GB"/>
        </w:rPr>
      </w:pPr>
      <w:r w:rsidRPr="00291BA3">
        <w:rPr>
          <w:b/>
          <w:bCs/>
          <w:lang w:val="en-IN" w:eastAsia="en-GB"/>
        </w:rPr>
        <w:t>Land Zoning and Planned Urban Expansion</w:t>
      </w:r>
      <w:r w:rsidRPr="00291BA3">
        <w:rPr>
          <w:lang w:val="en-IN" w:eastAsia="en-GB"/>
        </w:rPr>
        <w:t xml:space="preserve"> – The </w:t>
      </w:r>
      <w:r w:rsidRPr="00291BA3">
        <w:rPr>
          <w:bCs/>
          <w:lang w:val="en-IN" w:eastAsia="en-GB"/>
        </w:rPr>
        <w:t>Proposed Land Utilization Plan - 2031</w:t>
      </w:r>
      <w:r w:rsidRPr="00291BA3">
        <w:rPr>
          <w:lang w:val="en-IN" w:eastAsia="en-GB"/>
        </w:rPr>
        <w:t xml:space="preserve"> emphasizes the need for a </w:t>
      </w:r>
      <w:r w:rsidRPr="00291BA3">
        <w:rPr>
          <w:bCs/>
          <w:lang w:val="en-IN" w:eastAsia="en-GB"/>
        </w:rPr>
        <w:t>structured urbanization approach</w:t>
      </w:r>
      <w:r w:rsidRPr="00291BA3">
        <w:rPr>
          <w:lang w:val="en-IN" w:eastAsia="en-GB"/>
        </w:rPr>
        <w:t xml:space="preserve"> by demarcating clear </w:t>
      </w:r>
      <w:proofErr w:type="spellStart"/>
      <w:r w:rsidRPr="00291BA3">
        <w:rPr>
          <w:bCs/>
          <w:lang w:val="en-IN" w:eastAsia="en-GB"/>
        </w:rPr>
        <w:t>urbanizable</w:t>
      </w:r>
      <w:proofErr w:type="spellEnd"/>
      <w:r w:rsidRPr="00291BA3">
        <w:rPr>
          <w:bCs/>
          <w:lang w:val="en-IN" w:eastAsia="en-GB"/>
        </w:rPr>
        <w:t xml:space="preserve"> zones (UZ-1 and UZ-2), industrial zones, and conservation areas</w:t>
      </w:r>
      <w:r w:rsidRPr="00291BA3">
        <w:rPr>
          <w:lang w:val="en-IN" w:eastAsia="en-GB"/>
        </w:rPr>
        <w:t xml:space="preserve"> within BMR. TPS should align with this framework to ensure </w:t>
      </w:r>
      <w:r w:rsidRPr="00291BA3">
        <w:rPr>
          <w:bCs/>
          <w:lang w:val="en-IN" w:eastAsia="en-GB"/>
        </w:rPr>
        <w:t>orderly growth and prevent ad-hoc land use conversions</w:t>
      </w:r>
      <w:r w:rsidRPr="00291BA3">
        <w:rPr>
          <w:lang w:val="en-IN" w:eastAsia="en-GB"/>
        </w:rPr>
        <w:t xml:space="preserve">. </w:t>
      </w:r>
      <w:r w:rsidRPr="00291BA3">
        <w:rPr>
          <w:bCs/>
          <w:lang w:val="en-IN" w:eastAsia="en-GB"/>
        </w:rPr>
        <w:t xml:space="preserve">Specific TPS projects should be designated within the identified </w:t>
      </w:r>
      <w:proofErr w:type="spellStart"/>
      <w:r w:rsidRPr="00291BA3">
        <w:rPr>
          <w:bCs/>
          <w:lang w:val="en-IN" w:eastAsia="en-GB"/>
        </w:rPr>
        <w:t>urbanizable</w:t>
      </w:r>
      <w:proofErr w:type="spellEnd"/>
      <w:r w:rsidRPr="00291BA3">
        <w:rPr>
          <w:bCs/>
          <w:lang w:val="en-IN" w:eastAsia="en-GB"/>
        </w:rPr>
        <w:t xml:space="preserve"> zones</w:t>
      </w:r>
      <w:r w:rsidRPr="00291BA3">
        <w:rPr>
          <w:lang w:val="en-IN" w:eastAsia="en-GB"/>
        </w:rPr>
        <w:t xml:space="preserve">, integrating residential, commercial, and mixed-use areas based on demand projections. Additionally, the </w:t>
      </w:r>
      <w:r w:rsidRPr="00291BA3">
        <w:rPr>
          <w:bCs/>
          <w:lang w:val="en-IN" w:eastAsia="en-GB"/>
        </w:rPr>
        <w:t>protection of Agricultural Conservation Zones (ACZ-1 and ACZ-2) must be legally enforced</w:t>
      </w:r>
      <w:r w:rsidRPr="00291BA3">
        <w:rPr>
          <w:lang w:val="en-IN" w:eastAsia="en-GB"/>
        </w:rPr>
        <w:t xml:space="preserve"> to prevent uncontrolled urban sprawl. This approach ensures </w:t>
      </w:r>
      <w:r w:rsidRPr="00291BA3">
        <w:rPr>
          <w:bCs/>
          <w:lang w:val="en-IN" w:eastAsia="en-GB"/>
        </w:rPr>
        <w:t>planned expansion while preserving ecological and agricultural land</w:t>
      </w:r>
      <w:r w:rsidRPr="00291BA3">
        <w:rPr>
          <w:lang w:val="en-IN" w:eastAsia="en-GB"/>
        </w:rPr>
        <w:t xml:space="preserve">, facilitating a </w:t>
      </w:r>
      <w:r w:rsidRPr="00291BA3">
        <w:rPr>
          <w:bCs/>
          <w:lang w:val="en-IN" w:eastAsia="en-GB"/>
        </w:rPr>
        <w:t>balanced urban-rural transition</w:t>
      </w:r>
      <w:r w:rsidRPr="00291BA3">
        <w:rPr>
          <w:lang w:val="en-IN" w:eastAsia="en-GB"/>
        </w:rPr>
        <w:t>.</w:t>
      </w:r>
      <w:r>
        <w:rPr>
          <w:lang w:val="en-IN" w:eastAsia="en-GB"/>
        </w:rPr>
        <w:t xml:space="preserve"> (Figure 5)</w:t>
      </w:r>
    </w:p>
    <w:p w:rsidR="00493A77" w:rsidRDefault="00493A77" w:rsidP="00493A77">
      <w:pPr>
        <w:numPr>
          <w:ilvl w:val="0"/>
          <w:numId w:val="45"/>
        </w:numPr>
        <w:spacing w:after="120" w:line="276" w:lineRule="auto"/>
        <w:ind w:left="357" w:hanging="357"/>
        <w:jc w:val="both"/>
        <w:rPr>
          <w:lang w:val="en-IN" w:eastAsia="en-GB"/>
        </w:rPr>
      </w:pPr>
      <w:r w:rsidRPr="00493A77">
        <w:rPr>
          <w:b/>
          <w:bCs/>
          <w:lang w:val="en-IN" w:eastAsia="en-GB"/>
        </w:rPr>
        <w:t>Enhancing Institutional Coordination</w:t>
      </w:r>
      <w:r w:rsidRPr="00493A77">
        <w:rPr>
          <w:lang w:val="en-IN" w:eastAsia="en-GB"/>
        </w:rPr>
        <w:t xml:space="preserve"> – Establishing a </w:t>
      </w:r>
      <w:r w:rsidRPr="00493A77">
        <w:rPr>
          <w:bCs/>
          <w:lang w:val="en-IN" w:eastAsia="en-GB"/>
        </w:rPr>
        <w:t>dedicated TPS cell within BMRDA</w:t>
      </w:r>
      <w:r w:rsidRPr="00493A77">
        <w:rPr>
          <w:lang w:val="en-IN" w:eastAsia="en-GB"/>
        </w:rPr>
        <w:t xml:space="preserve"> can improve inter-agency coordination. This unit should oversee TPS execution, liaise with BBMP, ULBs, and BDA, and ensure streamlined approval processes. A single-window clearance system can reduce bureaucratic delays and improve efficiency.</w:t>
      </w:r>
    </w:p>
    <w:p w:rsidR="00291BA3" w:rsidRDefault="00291BA3" w:rsidP="00291BA3">
      <w:pPr>
        <w:spacing w:after="120" w:line="276" w:lineRule="auto"/>
        <w:jc w:val="both"/>
        <w:rPr>
          <w:lang w:val="en-IN" w:eastAsia="en-GB"/>
        </w:rPr>
      </w:pPr>
      <w:r>
        <w:rPr>
          <w:noProof/>
          <w:lang w:val="en-IN" w:eastAsia="en-IN"/>
        </w:rPr>
        <w:lastRenderedPageBreak/>
        <w:drawing>
          <wp:anchor distT="0" distB="0" distL="114300" distR="114300" simplePos="0" relativeHeight="251667456" behindDoc="1" locked="0" layoutInCell="1" allowOverlap="1" wp14:anchorId="3F2056A5" wp14:editId="56A8C125">
            <wp:simplePos x="0" y="0"/>
            <wp:positionH relativeFrom="column">
              <wp:posOffset>974090</wp:posOffset>
            </wp:positionH>
            <wp:positionV relativeFrom="paragraph">
              <wp:posOffset>19050</wp:posOffset>
            </wp:positionV>
            <wp:extent cx="3611880" cy="4319905"/>
            <wp:effectExtent l="19050" t="19050" r="26670" b="23495"/>
            <wp:wrapTight wrapText="bothSides">
              <wp:wrapPolygon edited="0">
                <wp:start x="-114" y="-95"/>
                <wp:lineTo x="-114" y="21622"/>
                <wp:lineTo x="21646" y="21622"/>
                <wp:lineTo x="21646" y="-95"/>
                <wp:lineTo x="-114" y="-9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_Land Utilization Plan - 2031_with LPAs_001.png"/>
                    <pic:cNvPicPr/>
                  </pic:nvPicPr>
                  <pic:blipFill rotWithShape="1">
                    <a:blip r:embed="rId12" cstate="print">
                      <a:extLst>
                        <a:ext uri="{28A0092B-C50C-407E-A947-70E740481C1C}">
                          <a14:useLocalDpi xmlns:a14="http://schemas.microsoft.com/office/drawing/2010/main" val="0"/>
                        </a:ext>
                      </a:extLst>
                    </a:blip>
                    <a:srcRect l="2646" t="2996" r="2227" b="8275"/>
                    <a:stretch/>
                  </pic:blipFill>
                  <pic:spPr bwMode="auto">
                    <a:xfrm>
                      <a:off x="0" y="0"/>
                      <a:ext cx="3611880" cy="43199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1BA3" w:rsidRDefault="00291BA3" w:rsidP="00291BA3">
      <w:pPr>
        <w:spacing w:after="120" w:line="276" w:lineRule="auto"/>
        <w:jc w:val="both"/>
        <w:rPr>
          <w:lang w:val="en-IN" w:eastAsia="en-GB"/>
        </w:rPr>
      </w:pPr>
    </w:p>
    <w:p w:rsidR="00291BA3" w:rsidRDefault="00291BA3" w:rsidP="00291BA3">
      <w:pPr>
        <w:spacing w:after="120" w:line="276" w:lineRule="auto"/>
        <w:jc w:val="both"/>
        <w:rPr>
          <w:lang w:val="en-IN" w:eastAsia="en-GB"/>
        </w:rPr>
      </w:pPr>
    </w:p>
    <w:p w:rsidR="00291BA3" w:rsidRDefault="00291BA3" w:rsidP="00291BA3">
      <w:pPr>
        <w:spacing w:after="120" w:line="276" w:lineRule="auto"/>
        <w:jc w:val="both"/>
        <w:rPr>
          <w:lang w:val="en-IN" w:eastAsia="en-GB"/>
        </w:rPr>
      </w:pPr>
    </w:p>
    <w:p w:rsidR="00291BA3" w:rsidRDefault="00291BA3" w:rsidP="00291BA3">
      <w:pPr>
        <w:spacing w:after="120" w:line="276" w:lineRule="auto"/>
        <w:jc w:val="both"/>
        <w:rPr>
          <w:lang w:val="en-IN" w:eastAsia="en-GB"/>
        </w:rPr>
      </w:pPr>
    </w:p>
    <w:p w:rsidR="00291BA3" w:rsidRDefault="00291BA3" w:rsidP="00291BA3">
      <w:pPr>
        <w:spacing w:after="120" w:line="276" w:lineRule="auto"/>
        <w:jc w:val="both"/>
        <w:rPr>
          <w:lang w:val="en-IN" w:eastAsia="en-GB"/>
        </w:rPr>
      </w:pPr>
    </w:p>
    <w:p w:rsidR="00291BA3" w:rsidRDefault="00291BA3" w:rsidP="00291BA3">
      <w:pPr>
        <w:spacing w:after="120" w:line="276" w:lineRule="auto"/>
        <w:jc w:val="both"/>
        <w:rPr>
          <w:lang w:val="en-IN" w:eastAsia="en-GB"/>
        </w:rPr>
      </w:pPr>
    </w:p>
    <w:p w:rsidR="00291BA3" w:rsidRDefault="00291BA3" w:rsidP="00291BA3">
      <w:pPr>
        <w:spacing w:after="120" w:line="276" w:lineRule="auto"/>
        <w:jc w:val="both"/>
        <w:rPr>
          <w:lang w:val="en-IN" w:eastAsia="en-GB"/>
        </w:rPr>
      </w:pPr>
    </w:p>
    <w:p w:rsidR="00291BA3" w:rsidRDefault="00291BA3" w:rsidP="00291BA3">
      <w:pPr>
        <w:spacing w:after="120" w:line="276" w:lineRule="auto"/>
        <w:jc w:val="both"/>
        <w:rPr>
          <w:lang w:val="en-IN" w:eastAsia="en-GB"/>
        </w:rPr>
      </w:pPr>
    </w:p>
    <w:p w:rsidR="00291BA3" w:rsidRDefault="00291BA3" w:rsidP="00291BA3">
      <w:pPr>
        <w:spacing w:after="120" w:line="276" w:lineRule="auto"/>
        <w:jc w:val="both"/>
        <w:rPr>
          <w:lang w:val="en-IN" w:eastAsia="en-GB"/>
        </w:rPr>
      </w:pPr>
    </w:p>
    <w:p w:rsidR="00291BA3" w:rsidRDefault="00291BA3" w:rsidP="00291BA3">
      <w:pPr>
        <w:spacing w:after="120" w:line="276" w:lineRule="auto"/>
        <w:jc w:val="both"/>
        <w:rPr>
          <w:lang w:val="en-IN" w:eastAsia="en-GB"/>
        </w:rPr>
      </w:pPr>
    </w:p>
    <w:p w:rsidR="00291BA3" w:rsidRDefault="00291BA3" w:rsidP="00291BA3">
      <w:pPr>
        <w:spacing w:after="120" w:line="276" w:lineRule="auto"/>
        <w:jc w:val="both"/>
        <w:rPr>
          <w:lang w:val="en-IN" w:eastAsia="en-GB"/>
        </w:rPr>
      </w:pPr>
    </w:p>
    <w:p w:rsidR="00291BA3" w:rsidRDefault="00291BA3" w:rsidP="00291BA3">
      <w:pPr>
        <w:spacing w:after="120" w:line="276" w:lineRule="auto"/>
        <w:jc w:val="both"/>
        <w:rPr>
          <w:lang w:val="en-IN" w:eastAsia="en-GB"/>
        </w:rPr>
      </w:pPr>
    </w:p>
    <w:p w:rsidR="00291BA3" w:rsidRDefault="00291BA3" w:rsidP="00291BA3">
      <w:pPr>
        <w:spacing w:after="120" w:line="276" w:lineRule="auto"/>
        <w:jc w:val="both"/>
        <w:rPr>
          <w:lang w:val="en-IN" w:eastAsia="en-GB"/>
        </w:rPr>
      </w:pPr>
    </w:p>
    <w:p w:rsidR="00291BA3" w:rsidRDefault="00291BA3" w:rsidP="00291BA3">
      <w:pPr>
        <w:spacing w:after="120" w:line="276" w:lineRule="auto"/>
        <w:jc w:val="both"/>
        <w:rPr>
          <w:lang w:val="en-IN" w:eastAsia="en-GB"/>
        </w:rPr>
      </w:pPr>
    </w:p>
    <w:p w:rsidR="00291BA3" w:rsidRDefault="00291BA3" w:rsidP="00291BA3">
      <w:pPr>
        <w:spacing w:after="120" w:line="276" w:lineRule="auto"/>
        <w:jc w:val="both"/>
        <w:rPr>
          <w:lang w:val="en-IN" w:eastAsia="en-GB"/>
        </w:rPr>
      </w:pPr>
    </w:p>
    <w:p w:rsidR="00291BA3" w:rsidRPr="002966D8" w:rsidRDefault="00291BA3" w:rsidP="00291BA3">
      <w:pPr>
        <w:jc w:val="center"/>
        <w:rPr>
          <w:b/>
          <w:bCs/>
          <w:lang w:val="en-IN" w:eastAsia="en-GB"/>
        </w:rPr>
      </w:pPr>
      <w:r>
        <w:rPr>
          <w:b/>
          <w:bCs/>
          <w:lang w:val="en-IN" w:eastAsia="en-GB"/>
        </w:rPr>
        <w:t xml:space="preserve">Figure 5: Land Utilisation Plan </w:t>
      </w:r>
      <w:r w:rsidRPr="002966D8">
        <w:rPr>
          <w:b/>
          <w:bCs/>
          <w:lang w:val="en-IN" w:eastAsia="en-GB"/>
        </w:rPr>
        <w:t>of BMR</w:t>
      </w:r>
    </w:p>
    <w:p w:rsidR="00291BA3" w:rsidRPr="002966D8" w:rsidRDefault="00291BA3" w:rsidP="00291BA3">
      <w:pPr>
        <w:jc w:val="center"/>
        <w:rPr>
          <w:bCs/>
          <w:lang w:val="en-IN" w:eastAsia="en-GB"/>
        </w:rPr>
      </w:pPr>
      <w:r w:rsidRPr="002966D8">
        <w:rPr>
          <w:bCs/>
          <w:lang w:val="en-IN" w:eastAsia="en-GB"/>
        </w:rPr>
        <w:t>(Source: BMR Revised Structure Plan, 2016)</w:t>
      </w:r>
    </w:p>
    <w:p w:rsidR="00291BA3" w:rsidRPr="00493A77" w:rsidRDefault="00291BA3" w:rsidP="00291BA3">
      <w:pPr>
        <w:spacing w:after="120" w:line="276" w:lineRule="auto"/>
        <w:jc w:val="both"/>
        <w:rPr>
          <w:lang w:val="en-IN" w:eastAsia="en-GB"/>
        </w:rPr>
      </w:pPr>
    </w:p>
    <w:p w:rsidR="00493A77" w:rsidRPr="00493A77" w:rsidRDefault="00493A77" w:rsidP="00493A77">
      <w:pPr>
        <w:numPr>
          <w:ilvl w:val="0"/>
          <w:numId w:val="45"/>
        </w:numPr>
        <w:spacing w:after="120" w:line="276" w:lineRule="auto"/>
        <w:ind w:left="357" w:hanging="357"/>
        <w:jc w:val="both"/>
        <w:rPr>
          <w:lang w:val="en-IN" w:eastAsia="en-GB"/>
        </w:rPr>
      </w:pPr>
      <w:r w:rsidRPr="00493A77">
        <w:rPr>
          <w:b/>
          <w:bCs/>
          <w:lang w:val="en-IN" w:eastAsia="en-GB"/>
        </w:rPr>
        <w:t>Legal Reforms for Simplified Approvals</w:t>
      </w:r>
      <w:r w:rsidRPr="00493A77">
        <w:rPr>
          <w:lang w:val="en-IN" w:eastAsia="en-GB"/>
        </w:rPr>
        <w:t xml:space="preserve"> – Reducing legal complexities by revising the Karnataka Town and Country Planning Act, 1961, is crucial for efficient TPS execution. Amendments should clarify land pooling mechanisms, dispute resolution frameworks, and approval processes. </w:t>
      </w:r>
      <w:r w:rsidRPr="00493A77">
        <w:rPr>
          <w:bCs/>
          <w:lang w:val="en-IN" w:eastAsia="en-GB"/>
        </w:rPr>
        <w:t>A fast-track approval mechanism</w:t>
      </w:r>
      <w:r w:rsidRPr="00493A77">
        <w:rPr>
          <w:lang w:val="en-IN" w:eastAsia="en-GB"/>
        </w:rPr>
        <w:t xml:space="preserve"> for TPS-related projects will prevent prolonged delays.</w:t>
      </w:r>
    </w:p>
    <w:p w:rsidR="00493A77" w:rsidRPr="00493A77" w:rsidRDefault="00493A77" w:rsidP="00493A77">
      <w:pPr>
        <w:numPr>
          <w:ilvl w:val="0"/>
          <w:numId w:val="45"/>
        </w:numPr>
        <w:spacing w:after="120" w:line="276" w:lineRule="auto"/>
        <w:ind w:left="357" w:hanging="357"/>
        <w:jc w:val="both"/>
        <w:rPr>
          <w:lang w:val="en-IN" w:eastAsia="en-GB"/>
        </w:rPr>
      </w:pPr>
      <w:r w:rsidRPr="00493A77">
        <w:rPr>
          <w:b/>
          <w:bCs/>
          <w:lang w:val="en-IN" w:eastAsia="en-GB"/>
        </w:rPr>
        <w:t>Flexible Financial Mechanisms</w:t>
      </w:r>
      <w:r w:rsidRPr="00493A77">
        <w:rPr>
          <w:lang w:val="en-IN" w:eastAsia="en-GB"/>
        </w:rPr>
        <w:t xml:space="preserve"> – Exploring alternative financing models such as </w:t>
      </w:r>
      <w:r w:rsidRPr="00493A77">
        <w:rPr>
          <w:bCs/>
          <w:lang w:val="en-IN" w:eastAsia="en-GB"/>
        </w:rPr>
        <w:t>land value capture, municipal bonds, and public-private partnerships (PPP)</w:t>
      </w:r>
      <w:r w:rsidRPr="00493A77">
        <w:rPr>
          <w:lang w:val="en-IN" w:eastAsia="en-GB"/>
        </w:rPr>
        <w:t xml:space="preserve"> can help local authorities fund TPS development. Encouraging financial autonomy for local bodies through revenue-sharing models will ensure sustained funding for infrastructure.</w:t>
      </w:r>
    </w:p>
    <w:p w:rsidR="00493A77" w:rsidRPr="00493A77" w:rsidRDefault="00493A77" w:rsidP="00493A77">
      <w:pPr>
        <w:numPr>
          <w:ilvl w:val="0"/>
          <w:numId w:val="45"/>
        </w:numPr>
        <w:spacing w:after="120" w:line="276" w:lineRule="auto"/>
        <w:ind w:left="357" w:hanging="357"/>
        <w:jc w:val="both"/>
        <w:rPr>
          <w:lang w:val="en-IN" w:eastAsia="en-GB"/>
        </w:rPr>
      </w:pPr>
      <w:r w:rsidRPr="00493A77">
        <w:rPr>
          <w:b/>
          <w:bCs/>
          <w:lang w:val="en-IN" w:eastAsia="en-GB"/>
        </w:rPr>
        <w:t>Stakeholder Engagement through Participatory Planning</w:t>
      </w:r>
      <w:r w:rsidRPr="00493A77">
        <w:rPr>
          <w:lang w:val="en-IN" w:eastAsia="en-GB"/>
        </w:rPr>
        <w:t xml:space="preserve"> – Increasing landowner participation through structured consultations and incentive-driven approaches will improve public acceptance of TPS. </w:t>
      </w:r>
      <w:r w:rsidRPr="00493A77">
        <w:rPr>
          <w:bCs/>
          <w:lang w:val="en-IN" w:eastAsia="en-GB"/>
        </w:rPr>
        <w:t>Transparent land reallocation mechanisms</w:t>
      </w:r>
      <w:r w:rsidRPr="00493A77">
        <w:rPr>
          <w:lang w:val="en-IN" w:eastAsia="en-GB"/>
        </w:rPr>
        <w:t xml:space="preserve"> and clearly communicated benefits, such as increased land value post-development, can help mitigate resistance.</w:t>
      </w:r>
    </w:p>
    <w:p w:rsidR="00493A77" w:rsidRPr="00493A77" w:rsidRDefault="00493A77" w:rsidP="00493A77">
      <w:pPr>
        <w:numPr>
          <w:ilvl w:val="0"/>
          <w:numId w:val="45"/>
        </w:numPr>
        <w:spacing w:after="120" w:line="276" w:lineRule="auto"/>
        <w:ind w:left="357" w:hanging="357"/>
        <w:jc w:val="both"/>
        <w:rPr>
          <w:lang w:val="en-IN" w:eastAsia="en-GB"/>
        </w:rPr>
      </w:pPr>
      <w:r w:rsidRPr="00493A77">
        <w:rPr>
          <w:b/>
          <w:bCs/>
          <w:lang w:val="en-IN" w:eastAsia="en-GB"/>
        </w:rPr>
        <w:t>Infrastructure-Driven Land Use Planning</w:t>
      </w:r>
      <w:r w:rsidRPr="00493A77">
        <w:rPr>
          <w:lang w:val="en-IN" w:eastAsia="en-GB"/>
        </w:rPr>
        <w:t xml:space="preserve"> – TPS should align with existing city infrastructure plans to avoid land-use conflicts. </w:t>
      </w:r>
      <w:r w:rsidRPr="00493A77">
        <w:rPr>
          <w:bCs/>
          <w:lang w:val="en-IN" w:eastAsia="en-GB"/>
        </w:rPr>
        <w:t>Integrated spatial planning</w:t>
      </w:r>
      <w:r w:rsidRPr="00493A77">
        <w:rPr>
          <w:lang w:val="en-IN" w:eastAsia="en-GB"/>
        </w:rPr>
        <w:t xml:space="preserve"> that ensures connectivity to major transit hubs and public amenities is essential for seamless urban expansion.</w:t>
      </w:r>
      <w:r w:rsidR="00291BA3">
        <w:rPr>
          <w:lang w:val="en-IN" w:eastAsia="en-GB"/>
        </w:rPr>
        <w:t xml:space="preserve"> </w:t>
      </w:r>
    </w:p>
    <w:p w:rsidR="00E61DB9" w:rsidRPr="00291BA3" w:rsidRDefault="00493A77" w:rsidP="00493A77">
      <w:pPr>
        <w:numPr>
          <w:ilvl w:val="0"/>
          <w:numId w:val="45"/>
        </w:numPr>
        <w:spacing w:after="120" w:line="276" w:lineRule="auto"/>
        <w:ind w:left="357" w:hanging="357"/>
        <w:jc w:val="both"/>
        <w:rPr>
          <w:lang w:val="en-IN" w:eastAsia="en-GB"/>
        </w:rPr>
      </w:pPr>
      <w:r w:rsidRPr="00493A77">
        <w:rPr>
          <w:b/>
          <w:bCs/>
          <w:lang w:val="en-IN" w:eastAsia="en-GB"/>
        </w:rPr>
        <w:lastRenderedPageBreak/>
        <w:t>Capacity Building and Skill Development</w:t>
      </w:r>
      <w:r w:rsidRPr="00493A77">
        <w:rPr>
          <w:lang w:val="en-IN" w:eastAsia="en-GB"/>
        </w:rPr>
        <w:t xml:space="preserve"> – Training programs for urban planners, municipal officials, and land surveyors can improve TPS execution. Institutional strengthening through continuous learning programs and the recruitment of dedicated TPS experts within planning bodies will enhance decision-making and technical expertise.</w:t>
      </w:r>
    </w:p>
    <w:p w:rsidR="00493A77" w:rsidRPr="00493A77" w:rsidRDefault="00333162" w:rsidP="00493A77">
      <w:pPr>
        <w:spacing w:after="120" w:line="276" w:lineRule="auto"/>
        <w:jc w:val="both"/>
        <w:rPr>
          <w:b/>
          <w:bCs/>
          <w:lang w:val="en-IN" w:eastAsia="en-GB"/>
        </w:rPr>
      </w:pPr>
      <w:r>
        <w:rPr>
          <w:b/>
          <w:bCs/>
          <w:lang w:val="en-IN" w:eastAsia="en-GB"/>
        </w:rPr>
        <w:t>VII</w:t>
      </w:r>
      <w:r w:rsidR="00493A77" w:rsidRPr="00493A77">
        <w:rPr>
          <w:b/>
          <w:bCs/>
          <w:lang w:val="en-IN" w:eastAsia="en-GB"/>
        </w:rPr>
        <w:t>. POLICY IMPLICATIONS AND RECOMMENDATIONS</w:t>
      </w:r>
    </w:p>
    <w:p w:rsidR="00493A77" w:rsidRPr="00493A77" w:rsidRDefault="00493A77" w:rsidP="00493A77">
      <w:pPr>
        <w:spacing w:after="120" w:line="276" w:lineRule="auto"/>
        <w:ind w:firstLine="360"/>
        <w:jc w:val="both"/>
        <w:rPr>
          <w:lang w:val="en-IN" w:eastAsia="en-GB"/>
        </w:rPr>
      </w:pPr>
      <w:r w:rsidRPr="00493A77">
        <w:rPr>
          <w:lang w:val="en-IN" w:eastAsia="en-GB"/>
        </w:rPr>
        <w:t>Beyond operational strategies, long-term policy reforms are essential to institutionalizing TPS as a viable planning tool for sustainable urban development. The following policy recommendations address governance, regulatory, and institutional transformations required for effective TPS execution:</w:t>
      </w:r>
    </w:p>
    <w:p w:rsidR="00333162" w:rsidRDefault="00291BA3" w:rsidP="00493A77">
      <w:pPr>
        <w:numPr>
          <w:ilvl w:val="0"/>
          <w:numId w:val="46"/>
        </w:numPr>
        <w:spacing w:after="120" w:line="276" w:lineRule="auto"/>
        <w:ind w:left="357" w:hanging="357"/>
        <w:jc w:val="both"/>
        <w:rPr>
          <w:bCs/>
          <w:lang w:val="en-IN" w:eastAsia="en-GB"/>
        </w:rPr>
      </w:pPr>
      <w:r>
        <w:rPr>
          <w:noProof/>
          <w:lang w:val="en-IN" w:eastAsia="en-IN"/>
        </w:rPr>
        <w:drawing>
          <wp:anchor distT="0" distB="0" distL="114300" distR="114300" simplePos="0" relativeHeight="251669504" behindDoc="1" locked="0" layoutInCell="1" allowOverlap="1" wp14:anchorId="130236AA" wp14:editId="56F7E4C8">
            <wp:simplePos x="0" y="0"/>
            <wp:positionH relativeFrom="column">
              <wp:posOffset>998220</wp:posOffset>
            </wp:positionH>
            <wp:positionV relativeFrom="paragraph">
              <wp:posOffset>1882140</wp:posOffset>
            </wp:positionV>
            <wp:extent cx="3611880" cy="4319905"/>
            <wp:effectExtent l="0" t="0" r="7620" b="4445"/>
            <wp:wrapTight wrapText="bothSides">
              <wp:wrapPolygon edited="0">
                <wp:start x="0" y="0"/>
                <wp:lineTo x="0" y="21527"/>
                <wp:lineTo x="21532" y="21527"/>
                <wp:lineTo x="2153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_Clusters &amp; Nodes_001.png"/>
                    <pic:cNvPicPr/>
                  </pic:nvPicPr>
                  <pic:blipFill rotWithShape="1">
                    <a:blip r:embed="rId13" cstate="print">
                      <a:extLst>
                        <a:ext uri="{28A0092B-C50C-407E-A947-70E740481C1C}">
                          <a14:useLocalDpi xmlns:a14="http://schemas.microsoft.com/office/drawing/2010/main" val="0"/>
                        </a:ext>
                      </a:extLst>
                    </a:blip>
                    <a:srcRect l="3043" t="3458" r="2360" b="8692"/>
                    <a:stretch/>
                  </pic:blipFill>
                  <pic:spPr bwMode="auto">
                    <a:xfrm>
                      <a:off x="0" y="0"/>
                      <a:ext cx="3611880" cy="431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3162" w:rsidRPr="00333162">
        <w:rPr>
          <w:b/>
          <w:bCs/>
          <w:lang w:eastAsia="en-GB"/>
        </w:rPr>
        <w:t>Promoting Polycentric Development and Cluster-Based Urbanization</w:t>
      </w:r>
      <w:r w:rsidR="00333162" w:rsidRPr="00333162">
        <w:rPr>
          <w:lang w:eastAsia="en-GB"/>
        </w:rPr>
        <w:t xml:space="preserve"> – The Revised Structure Plan 2031 highlights the need for </w:t>
      </w:r>
      <w:r w:rsidR="00333162" w:rsidRPr="00333162">
        <w:rPr>
          <w:bCs/>
          <w:lang w:eastAsia="en-GB"/>
        </w:rPr>
        <w:t>decentralized growth by developing regional clusters and nodes</w:t>
      </w:r>
      <w:r w:rsidR="00333162" w:rsidRPr="00333162">
        <w:rPr>
          <w:lang w:eastAsia="en-GB"/>
        </w:rPr>
        <w:t xml:space="preserve"> outside Bengaluru’s core. Instead of uncontrolled peripheral sprawl, a structured </w:t>
      </w:r>
      <w:r w:rsidR="00333162" w:rsidRPr="00333162">
        <w:rPr>
          <w:bCs/>
          <w:lang w:eastAsia="en-GB"/>
        </w:rPr>
        <w:t>polycentric development model</w:t>
      </w:r>
      <w:r w:rsidR="00333162" w:rsidRPr="00333162">
        <w:rPr>
          <w:lang w:eastAsia="en-GB"/>
        </w:rPr>
        <w:t xml:space="preserve"> should be institutionalized within TPS. Growth nodes such as </w:t>
      </w:r>
      <w:proofErr w:type="spellStart"/>
      <w:r w:rsidR="00333162" w:rsidRPr="00333162">
        <w:rPr>
          <w:bCs/>
          <w:lang w:eastAsia="en-GB"/>
        </w:rPr>
        <w:t>Nelamangala</w:t>
      </w:r>
      <w:proofErr w:type="spellEnd"/>
      <w:r w:rsidR="00333162" w:rsidRPr="00333162">
        <w:rPr>
          <w:bCs/>
          <w:lang w:eastAsia="en-GB"/>
        </w:rPr>
        <w:t xml:space="preserve">, </w:t>
      </w:r>
      <w:proofErr w:type="spellStart"/>
      <w:r w:rsidR="00333162" w:rsidRPr="00333162">
        <w:rPr>
          <w:bCs/>
          <w:lang w:eastAsia="en-GB"/>
        </w:rPr>
        <w:t>Devanahalli</w:t>
      </w:r>
      <w:proofErr w:type="spellEnd"/>
      <w:r w:rsidR="00333162" w:rsidRPr="00333162">
        <w:rPr>
          <w:bCs/>
          <w:lang w:eastAsia="en-GB"/>
        </w:rPr>
        <w:t xml:space="preserve">, </w:t>
      </w:r>
      <w:proofErr w:type="spellStart"/>
      <w:r w:rsidR="00333162" w:rsidRPr="00333162">
        <w:rPr>
          <w:bCs/>
          <w:lang w:eastAsia="en-GB"/>
        </w:rPr>
        <w:t>Ramanagara</w:t>
      </w:r>
      <w:proofErr w:type="spellEnd"/>
      <w:r w:rsidR="00333162" w:rsidRPr="00333162">
        <w:rPr>
          <w:bCs/>
          <w:lang w:eastAsia="en-GB"/>
        </w:rPr>
        <w:t xml:space="preserve">, and </w:t>
      </w:r>
      <w:proofErr w:type="spellStart"/>
      <w:r w:rsidR="00333162" w:rsidRPr="00333162">
        <w:rPr>
          <w:bCs/>
          <w:lang w:eastAsia="en-GB"/>
        </w:rPr>
        <w:t>Hoskote</w:t>
      </w:r>
      <w:proofErr w:type="spellEnd"/>
      <w:r w:rsidR="00333162" w:rsidRPr="00333162">
        <w:rPr>
          <w:lang w:eastAsia="en-GB"/>
        </w:rPr>
        <w:t xml:space="preserve"> must be strengthened with adequate infrastructure, industrial zones, and transit linkages to reduce pressure on the urban core. A legally binding </w:t>
      </w:r>
      <w:r w:rsidR="00333162" w:rsidRPr="00333162">
        <w:rPr>
          <w:bCs/>
          <w:lang w:eastAsia="en-GB"/>
        </w:rPr>
        <w:t>cluster-based land use strategy</w:t>
      </w:r>
      <w:r w:rsidR="00333162" w:rsidRPr="00333162">
        <w:rPr>
          <w:lang w:eastAsia="en-GB"/>
        </w:rPr>
        <w:t xml:space="preserve"> should be adopted to direct TPS implementation within these identified nodes, ensuring balanced development across the BMR.(Figure</w:t>
      </w:r>
      <w:r w:rsidR="00333162" w:rsidRPr="00333162">
        <w:rPr>
          <w:bCs/>
          <w:lang w:val="en-IN" w:eastAsia="en-GB"/>
        </w:rPr>
        <w:t xml:space="preserve"> </w:t>
      </w:r>
      <w:r w:rsidR="00333162">
        <w:rPr>
          <w:bCs/>
          <w:lang w:val="en-IN" w:eastAsia="en-GB"/>
        </w:rPr>
        <w:t>6</w:t>
      </w:r>
      <w:r w:rsidR="00333162" w:rsidRPr="00333162">
        <w:rPr>
          <w:bCs/>
          <w:lang w:val="en-IN" w:eastAsia="en-GB"/>
        </w:rPr>
        <w:t>)</w:t>
      </w:r>
    </w:p>
    <w:p w:rsidR="00291BA3" w:rsidRDefault="00291BA3" w:rsidP="00291BA3">
      <w:pPr>
        <w:spacing w:after="120" w:line="276" w:lineRule="auto"/>
        <w:jc w:val="both"/>
        <w:rPr>
          <w:bCs/>
          <w:lang w:val="en-IN" w:eastAsia="en-GB"/>
        </w:rPr>
      </w:pPr>
    </w:p>
    <w:p w:rsidR="00291BA3" w:rsidRDefault="00291BA3" w:rsidP="00291BA3">
      <w:pPr>
        <w:spacing w:after="120" w:line="276" w:lineRule="auto"/>
        <w:jc w:val="both"/>
        <w:rPr>
          <w:bCs/>
          <w:lang w:val="en-IN" w:eastAsia="en-GB"/>
        </w:rPr>
      </w:pPr>
    </w:p>
    <w:p w:rsidR="00291BA3" w:rsidRDefault="00291BA3" w:rsidP="00291BA3">
      <w:pPr>
        <w:spacing w:after="120" w:line="276" w:lineRule="auto"/>
        <w:jc w:val="both"/>
        <w:rPr>
          <w:bCs/>
          <w:lang w:val="en-IN" w:eastAsia="en-GB"/>
        </w:rPr>
      </w:pPr>
    </w:p>
    <w:p w:rsidR="00291BA3" w:rsidRDefault="00291BA3" w:rsidP="00291BA3">
      <w:pPr>
        <w:spacing w:after="120" w:line="276" w:lineRule="auto"/>
        <w:jc w:val="both"/>
        <w:rPr>
          <w:bCs/>
          <w:lang w:val="en-IN" w:eastAsia="en-GB"/>
        </w:rPr>
      </w:pPr>
    </w:p>
    <w:p w:rsidR="00291BA3" w:rsidRDefault="00291BA3" w:rsidP="00291BA3">
      <w:pPr>
        <w:spacing w:after="120" w:line="276" w:lineRule="auto"/>
        <w:jc w:val="both"/>
        <w:rPr>
          <w:bCs/>
          <w:lang w:val="en-IN" w:eastAsia="en-GB"/>
        </w:rPr>
      </w:pPr>
    </w:p>
    <w:p w:rsidR="00291BA3" w:rsidRDefault="00291BA3" w:rsidP="00291BA3">
      <w:pPr>
        <w:spacing w:after="120" w:line="276" w:lineRule="auto"/>
        <w:jc w:val="both"/>
        <w:rPr>
          <w:bCs/>
          <w:lang w:val="en-IN" w:eastAsia="en-GB"/>
        </w:rPr>
      </w:pPr>
    </w:p>
    <w:p w:rsidR="00291BA3" w:rsidRDefault="00291BA3" w:rsidP="00291BA3">
      <w:pPr>
        <w:spacing w:after="120" w:line="276" w:lineRule="auto"/>
        <w:jc w:val="both"/>
        <w:rPr>
          <w:bCs/>
          <w:lang w:val="en-IN" w:eastAsia="en-GB"/>
        </w:rPr>
      </w:pPr>
    </w:p>
    <w:p w:rsidR="00291BA3" w:rsidRDefault="00291BA3" w:rsidP="00291BA3">
      <w:pPr>
        <w:spacing w:after="120" w:line="276" w:lineRule="auto"/>
        <w:jc w:val="both"/>
        <w:rPr>
          <w:bCs/>
          <w:lang w:val="en-IN" w:eastAsia="en-GB"/>
        </w:rPr>
      </w:pPr>
    </w:p>
    <w:p w:rsidR="00291BA3" w:rsidRDefault="00291BA3" w:rsidP="00291BA3">
      <w:pPr>
        <w:spacing w:after="120" w:line="276" w:lineRule="auto"/>
        <w:jc w:val="both"/>
        <w:rPr>
          <w:bCs/>
          <w:lang w:val="en-IN" w:eastAsia="en-GB"/>
        </w:rPr>
      </w:pPr>
    </w:p>
    <w:p w:rsidR="00291BA3" w:rsidRDefault="00291BA3" w:rsidP="00291BA3">
      <w:pPr>
        <w:spacing w:after="120" w:line="276" w:lineRule="auto"/>
        <w:jc w:val="both"/>
        <w:rPr>
          <w:bCs/>
          <w:lang w:val="en-IN" w:eastAsia="en-GB"/>
        </w:rPr>
      </w:pPr>
    </w:p>
    <w:p w:rsidR="00291BA3" w:rsidRDefault="00291BA3" w:rsidP="00291BA3">
      <w:pPr>
        <w:spacing w:after="120" w:line="276" w:lineRule="auto"/>
        <w:jc w:val="both"/>
        <w:rPr>
          <w:bCs/>
          <w:lang w:val="en-IN" w:eastAsia="en-GB"/>
        </w:rPr>
      </w:pPr>
    </w:p>
    <w:p w:rsidR="00291BA3" w:rsidRDefault="00291BA3" w:rsidP="00291BA3">
      <w:pPr>
        <w:spacing w:after="120" w:line="276" w:lineRule="auto"/>
        <w:jc w:val="both"/>
        <w:rPr>
          <w:bCs/>
          <w:lang w:val="en-IN" w:eastAsia="en-GB"/>
        </w:rPr>
      </w:pPr>
    </w:p>
    <w:p w:rsidR="00291BA3" w:rsidRDefault="00291BA3" w:rsidP="00291BA3">
      <w:pPr>
        <w:spacing w:after="120" w:line="276" w:lineRule="auto"/>
        <w:jc w:val="both"/>
        <w:rPr>
          <w:bCs/>
          <w:lang w:val="en-IN" w:eastAsia="en-GB"/>
        </w:rPr>
      </w:pPr>
    </w:p>
    <w:p w:rsidR="00291BA3" w:rsidRDefault="00291BA3" w:rsidP="00291BA3">
      <w:pPr>
        <w:spacing w:after="120" w:line="276" w:lineRule="auto"/>
        <w:jc w:val="both"/>
        <w:rPr>
          <w:bCs/>
          <w:lang w:val="en-IN" w:eastAsia="en-GB"/>
        </w:rPr>
      </w:pPr>
    </w:p>
    <w:p w:rsidR="00291BA3" w:rsidRDefault="00291BA3" w:rsidP="00291BA3">
      <w:pPr>
        <w:spacing w:after="120" w:line="276" w:lineRule="auto"/>
        <w:jc w:val="both"/>
        <w:rPr>
          <w:bCs/>
          <w:lang w:val="en-IN" w:eastAsia="en-GB"/>
        </w:rPr>
      </w:pPr>
    </w:p>
    <w:p w:rsidR="00291BA3" w:rsidRDefault="00291BA3" w:rsidP="00291BA3">
      <w:pPr>
        <w:spacing w:after="120" w:line="276" w:lineRule="auto"/>
        <w:jc w:val="both"/>
        <w:rPr>
          <w:bCs/>
          <w:lang w:val="en-IN" w:eastAsia="en-GB"/>
        </w:rPr>
      </w:pPr>
    </w:p>
    <w:p w:rsidR="00291BA3" w:rsidRPr="002966D8" w:rsidRDefault="00291BA3" w:rsidP="00291BA3">
      <w:pPr>
        <w:jc w:val="center"/>
        <w:rPr>
          <w:b/>
          <w:bCs/>
          <w:lang w:val="en-IN" w:eastAsia="en-GB"/>
        </w:rPr>
      </w:pPr>
      <w:r>
        <w:rPr>
          <w:b/>
          <w:bCs/>
          <w:lang w:val="en-IN" w:eastAsia="en-GB"/>
        </w:rPr>
        <w:t xml:space="preserve">Figure 6: Proposed Cluster and Nodes </w:t>
      </w:r>
      <w:r w:rsidRPr="002966D8">
        <w:rPr>
          <w:b/>
          <w:bCs/>
          <w:lang w:val="en-IN" w:eastAsia="en-GB"/>
        </w:rPr>
        <w:t>of BMR</w:t>
      </w:r>
    </w:p>
    <w:p w:rsidR="00291BA3" w:rsidRPr="002966D8" w:rsidRDefault="00291BA3" w:rsidP="00291BA3">
      <w:pPr>
        <w:jc w:val="center"/>
        <w:rPr>
          <w:bCs/>
          <w:lang w:val="en-IN" w:eastAsia="en-GB"/>
        </w:rPr>
      </w:pPr>
      <w:r w:rsidRPr="002966D8">
        <w:rPr>
          <w:bCs/>
          <w:lang w:val="en-IN" w:eastAsia="en-GB"/>
        </w:rPr>
        <w:t>(Source: BMR Revised Structure Plan, 2016)</w:t>
      </w:r>
    </w:p>
    <w:p w:rsidR="00291BA3" w:rsidRPr="00333162" w:rsidRDefault="00291BA3" w:rsidP="00291BA3">
      <w:pPr>
        <w:spacing w:after="120" w:line="276" w:lineRule="auto"/>
        <w:jc w:val="both"/>
        <w:rPr>
          <w:bCs/>
          <w:lang w:val="en-IN" w:eastAsia="en-GB"/>
        </w:rPr>
      </w:pPr>
    </w:p>
    <w:p w:rsidR="00493A77" w:rsidRPr="00493A77" w:rsidRDefault="00493A77" w:rsidP="00493A77">
      <w:pPr>
        <w:numPr>
          <w:ilvl w:val="0"/>
          <w:numId w:val="46"/>
        </w:numPr>
        <w:spacing w:after="120" w:line="276" w:lineRule="auto"/>
        <w:ind w:left="357" w:hanging="357"/>
        <w:jc w:val="both"/>
        <w:rPr>
          <w:lang w:val="en-IN" w:eastAsia="en-GB"/>
        </w:rPr>
      </w:pPr>
      <w:r w:rsidRPr="00493A77">
        <w:rPr>
          <w:b/>
          <w:bCs/>
          <w:lang w:val="en-IN" w:eastAsia="en-GB"/>
        </w:rPr>
        <w:lastRenderedPageBreak/>
        <w:t>Institutionalizing TPS within Metropolitan Planning Frameworks</w:t>
      </w:r>
      <w:r w:rsidRPr="00493A77">
        <w:rPr>
          <w:lang w:val="en-IN" w:eastAsia="en-GB"/>
        </w:rPr>
        <w:t xml:space="preserve"> – TPS must be </w:t>
      </w:r>
      <w:r w:rsidRPr="00493A77">
        <w:rPr>
          <w:bCs/>
          <w:lang w:val="en-IN" w:eastAsia="en-GB"/>
        </w:rPr>
        <w:t>legally mandated as a primary urban expansion tool</w:t>
      </w:r>
      <w:r w:rsidRPr="00493A77">
        <w:rPr>
          <w:lang w:val="en-IN" w:eastAsia="en-GB"/>
        </w:rPr>
        <w:t xml:space="preserve"> within BMR’s metropolitan planning framework. The Revised Structure Plan 2031 highlights the need for polycentric urban growth, and TPS should be integrated as a mechanism for achieving balanced development across satellite towns and </w:t>
      </w:r>
      <w:proofErr w:type="spellStart"/>
      <w:r w:rsidRPr="00493A77">
        <w:rPr>
          <w:lang w:val="en-IN" w:eastAsia="en-GB"/>
        </w:rPr>
        <w:t>peri</w:t>
      </w:r>
      <w:proofErr w:type="spellEnd"/>
      <w:r w:rsidRPr="00493A77">
        <w:rPr>
          <w:lang w:val="en-IN" w:eastAsia="en-GB"/>
        </w:rPr>
        <w:t>-urban areas.</w:t>
      </w:r>
    </w:p>
    <w:p w:rsidR="00493A77" w:rsidRPr="00493A77" w:rsidRDefault="00493A77" w:rsidP="00493A77">
      <w:pPr>
        <w:numPr>
          <w:ilvl w:val="0"/>
          <w:numId w:val="46"/>
        </w:numPr>
        <w:spacing w:after="120" w:line="276" w:lineRule="auto"/>
        <w:ind w:left="357" w:hanging="357"/>
        <w:jc w:val="both"/>
        <w:rPr>
          <w:lang w:val="en-IN" w:eastAsia="en-GB"/>
        </w:rPr>
      </w:pPr>
      <w:r w:rsidRPr="00493A77">
        <w:rPr>
          <w:b/>
          <w:bCs/>
          <w:lang w:val="en-IN" w:eastAsia="en-GB"/>
        </w:rPr>
        <w:t>Strengthening the Legal Framework for Land Pooling and Readjustment</w:t>
      </w:r>
      <w:r w:rsidRPr="00493A77">
        <w:rPr>
          <w:lang w:val="en-IN" w:eastAsia="en-GB"/>
        </w:rPr>
        <w:t xml:space="preserve"> – Amendments to the Karnataka Town and Country Planning Act should </w:t>
      </w:r>
      <w:r w:rsidRPr="00493A77">
        <w:rPr>
          <w:bCs/>
          <w:lang w:val="en-IN" w:eastAsia="en-GB"/>
        </w:rPr>
        <w:t>formalize TPS processes, establish clear compensation mechanisms, and ensure equitable distribution of land benefits.</w:t>
      </w:r>
      <w:r w:rsidRPr="00493A77">
        <w:rPr>
          <w:lang w:val="en-IN" w:eastAsia="en-GB"/>
        </w:rPr>
        <w:t xml:space="preserve"> Standardizing TPS regulations across Karnataka will bring uniformity and reduce uncertainty for stakeholders.</w:t>
      </w:r>
    </w:p>
    <w:p w:rsidR="00493A77" w:rsidRPr="00493A77" w:rsidRDefault="00493A77" w:rsidP="00493A77">
      <w:pPr>
        <w:numPr>
          <w:ilvl w:val="0"/>
          <w:numId w:val="46"/>
        </w:numPr>
        <w:spacing w:after="120" w:line="276" w:lineRule="auto"/>
        <w:ind w:left="357" w:hanging="357"/>
        <w:jc w:val="both"/>
        <w:rPr>
          <w:lang w:val="en-IN" w:eastAsia="en-GB"/>
        </w:rPr>
      </w:pPr>
      <w:r w:rsidRPr="00493A77">
        <w:rPr>
          <w:b/>
          <w:bCs/>
          <w:lang w:val="en-IN" w:eastAsia="en-GB"/>
        </w:rPr>
        <w:t>Financial Sustainability through Dedicated Urban Development Funds</w:t>
      </w:r>
      <w:r w:rsidRPr="00493A77">
        <w:rPr>
          <w:lang w:val="en-IN" w:eastAsia="en-GB"/>
        </w:rPr>
        <w:t xml:space="preserve"> – A dedicated </w:t>
      </w:r>
      <w:r w:rsidRPr="00493A77">
        <w:rPr>
          <w:bCs/>
          <w:lang w:val="en-IN" w:eastAsia="en-GB"/>
        </w:rPr>
        <w:t>TPS Development Fund</w:t>
      </w:r>
      <w:r w:rsidRPr="00493A77">
        <w:rPr>
          <w:lang w:val="en-IN" w:eastAsia="en-GB"/>
        </w:rPr>
        <w:t xml:space="preserve"> should be established to support infrastructure projects within TPS areas. This fund should be capitalized through a combination of </w:t>
      </w:r>
      <w:r w:rsidRPr="00493A77">
        <w:rPr>
          <w:bCs/>
          <w:lang w:val="en-IN" w:eastAsia="en-GB"/>
        </w:rPr>
        <w:t>government grants, private sector investments, and land monetization strategies</w:t>
      </w:r>
      <w:r w:rsidRPr="00493A77">
        <w:rPr>
          <w:lang w:val="en-IN" w:eastAsia="en-GB"/>
        </w:rPr>
        <w:t xml:space="preserve"> to ensure long-term financial sustainability.</w:t>
      </w:r>
    </w:p>
    <w:p w:rsidR="00493A77" w:rsidRPr="00493A77" w:rsidRDefault="00493A77" w:rsidP="00493A77">
      <w:pPr>
        <w:numPr>
          <w:ilvl w:val="0"/>
          <w:numId w:val="46"/>
        </w:numPr>
        <w:spacing w:after="120" w:line="276" w:lineRule="auto"/>
        <w:ind w:left="357" w:hanging="357"/>
        <w:jc w:val="both"/>
        <w:rPr>
          <w:lang w:val="en-IN" w:eastAsia="en-GB"/>
        </w:rPr>
      </w:pPr>
      <w:r w:rsidRPr="00493A77">
        <w:rPr>
          <w:b/>
          <w:bCs/>
          <w:lang w:val="en-IN" w:eastAsia="en-GB"/>
        </w:rPr>
        <w:t>Mandating Public Participation in TPS Planning</w:t>
      </w:r>
      <w:r w:rsidRPr="00493A77">
        <w:rPr>
          <w:lang w:val="en-IN" w:eastAsia="en-GB"/>
        </w:rPr>
        <w:t xml:space="preserve"> – To address landowner resistance, TPS execution should include </w:t>
      </w:r>
      <w:r w:rsidRPr="00493A77">
        <w:rPr>
          <w:bCs/>
          <w:lang w:val="en-IN" w:eastAsia="en-GB"/>
        </w:rPr>
        <w:t>legally mandated public hearings, participatory workshops, and structured negotiation platforms.</w:t>
      </w:r>
      <w:r w:rsidRPr="00493A77">
        <w:rPr>
          <w:lang w:val="en-IN" w:eastAsia="en-GB"/>
        </w:rPr>
        <w:t xml:space="preserve"> Gujarat’s TPS model demonstrates how community-led processes can enhance acceptance and reduce disputes.</w:t>
      </w:r>
    </w:p>
    <w:p w:rsidR="00493A77" w:rsidRPr="00493A77" w:rsidRDefault="00493A77" w:rsidP="00493A77">
      <w:pPr>
        <w:numPr>
          <w:ilvl w:val="0"/>
          <w:numId w:val="46"/>
        </w:numPr>
        <w:spacing w:after="120" w:line="276" w:lineRule="auto"/>
        <w:ind w:left="357" w:hanging="357"/>
        <w:jc w:val="both"/>
        <w:rPr>
          <w:lang w:val="en-IN" w:eastAsia="en-GB"/>
        </w:rPr>
      </w:pPr>
      <w:r w:rsidRPr="00493A77">
        <w:rPr>
          <w:b/>
          <w:bCs/>
          <w:lang w:val="en-IN" w:eastAsia="en-GB"/>
        </w:rPr>
        <w:t>Leveraging Digital Land Management Systems for Transparency</w:t>
      </w:r>
      <w:r w:rsidRPr="00493A77">
        <w:rPr>
          <w:lang w:val="en-IN" w:eastAsia="en-GB"/>
        </w:rPr>
        <w:t xml:space="preserve"> – Establishing </w:t>
      </w:r>
      <w:r w:rsidRPr="00493A77">
        <w:rPr>
          <w:bCs/>
          <w:lang w:val="en-IN" w:eastAsia="en-GB"/>
        </w:rPr>
        <w:t>a unified digital platform</w:t>
      </w:r>
      <w:r w:rsidRPr="00493A77">
        <w:rPr>
          <w:lang w:val="en-IN" w:eastAsia="en-GB"/>
        </w:rPr>
        <w:t xml:space="preserve"> that integrates land records, TPS boundaries, and real-time tracking of project approvals can improve governance efficiency. Singapore’s digital land registry model serves as an example of how </w:t>
      </w:r>
      <w:r w:rsidRPr="00493A77">
        <w:rPr>
          <w:bCs/>
          <w:lang w:val="en-IN" w:eastAsia="en-GB"/>
        </w:rPr>
        <w:t>technology-driven governance can reduce corruption and improve land use planning.</w:t>
      </w:r>
    </w:p>
    <w:p w:rsidR="002966D8" w:rsidRPr="000C3AA1" w:rsidRDefault="00493A77" w:rsidP="002966D8">
      <w:pPr>
        <w:numPr>
          <w:ilvl w:val="0"/>
          <w:numId w:val="46"/>
        </w:numPr>
        <w:spacing w:after="120" w:line="276" w:lineRule="auto"/>
        <w:ind w:left="357" w:hanging="357"/>
        <w:jc w:val="both"/>
        <w:rPr>
          <w:lang w:val="en-IN" w:eastAsia="en-GB"/>
        </w:rPr>
      </w:pPr>
      <w:r w:rsidRPr="00493A77">
        <w:rPr>
          <w:b/>
          <w:bCs/>
          <w:lang w:val="en-IN" w:eastAsia="en-GB"/>
        </w:rPr>
        <w:t>Developing a National Policy Framework for TPS</w:t>
      </w:r>
      <w:r w:rsidRPr="00493A77">
        <w:rPr>
          <w:lang w:val="en-IN" w:eastAsia="en-GB"/>
        </w:rPr>
        <w:t xml:space="preserve"> – The success of TPS in Gujarat, Maharashtra, and other states highlights the need for a </w:t>
      </w:r>
      <w:r w:rsidRPr="00493A77">
        <w:rPr>
          <w:bCs/>
          <w:lang w:val="en-IN" w:eastAsia="en-GB"/>
        </w:rPr>
        <w:t>national-level regulatory framework</w:t>
      </w:r>
      <w:r w:rsidRPr="00493A77">
        <w:rPr>
          <w:lang w:val="en-IN" w:eastAsia="en-GB"/>
        </w:rPr>
        <w:t xml:space="preserve"> for TPS execution. The Ministry of Housing and Urban Affairs (</w:t>
      </w:r>
      <w:proofErr w:type="spellStart"/>
      <w:r w:rsidRPr="00493A77">
        <w:rPr>
          <w:lang w:val="en-IN" w:eastAsia="en-GB"/>
        </w:rPr>
        <w:t>MoHUA</w:t>
      </w:r>
      <w:proofErr w:type="spellEnd"/>
      <w:r w:rsidRPr="00493A77">
        <w:rPr>
          <w:lang w:val="en-IN" w:eastAsia="en-GB"/>
        </w:rPr>
        <w:t>) should issue standardized TPS guidelines, ensuring that metropolitan regions across India can adopt best practices in land pooling and urban expansion.</w:t>
      </w:r>
    </w:p>
    <w:p w:rsidR="00BB558C" w:rsidRDefault="004B7B15" w:rsidP="00BB558C">
      <w:pPr>
        <w:spacing w:after="120" w:line="276" w:lineRule="auto"/>
        <w:jc w:val="both"/>
        <w:rPr>
          <w:b/>
          <w:bCs/>
          <w:lang w:val="en-IN" w:eastAsia="en-GB"/>
        </w:rPr>
      </w:pPr>
      <w:r>
        <w:rPr>
          <w:b/>
          <w:bCs/>
          <w:lang w:val="en-IN" w:eastAsia="en-GB"/>
        </w:rPr>
        <w:t>VIII</w:t>
      </w:r>
      <w:r w:rsidR="00BB558C" w:rsidRPr="00BB558C">
        <w:rPr>
          <w:b/>
          <w:bCs/>
          <w:lang w:val="en-IN" w:eastAsia="en-GB"/>
        </w:rPr>
        <w:t xml:space="preserve">. </w:t>
      </w:r>
      <w:r w:rsidRPr="00BB558C">
        <w:rPr>
          <w:b/>
          <w:bCs/>
          <w:lang w:val="en-IN" w:eastAsia="en-GB"/>
        </w:rPr>
        <w:t>CONCLUSION</w:t>
      </w:r>
    </w:p>
    <w:p w:rsidR="002966D8" w:rsidRPr="002966D8" w:rsidRDefault="002966D8" w:rsidP="002966D8">
      <w:pPr>
        <w:spacing w:after="120" w:line="276" w:lineRule="auto"/>
        <w:ind w:firstLine="720"/>
        <w:jc w:val="both"/>
        <w:rPr>
          <w:bCs/>
          <w:lang w:val="en-IN" w:eastAsia="en-GB"/>
        </w:rPr>
      </w:pPr>
      <w:r w:rsidRPr="002966D8">
        <w:rPr>
          <w:bCs/>
          <w:lang w:val="en-IN" w:eastAsia="en-GB"/>
        </w:rPr>
        <w:t xml:space="preserve">The effective implementation of Town Planning Schemes (TPS) in Bangalore Metropolitan Region is essential for addressing challenges posed by rapid urbanization. As highlighted in this study, unregulated expansion has resulted in inefficient land use, infrastructure deficits, and governance fragmentation. Strategically implemented TPS can offer a participatory, equitable, and financially sustainable approach to urban growth management. The primary barriers to its success include fragmented governance, legal ambiguities, financial constraints, landowner resistance, and limited public awareness. The Revised Structure Plan 2031, URDPFI guidelines, and insights from national and international case studies provide a structured roadmap for improving TPS execution. Strengthening institutional coordination, reforming legal frameworks, enhancing financial sustainability, promoting stakeholder </w:t>
      </w:r>
      <w:r w:rsidRPr="002966D8">
        <w:rPr>
          <w:bCs/>
          <w:lang w:val="en-IN" w:eastAsia="en-GB"/>
        </w:rPr>
        <w:lastRenderedPageBreak/>
        <w:t>participation, integrating sustainable infrastructure, leveraging technology, and building institutional capacity are key policy interventions that can support TPS implementation.</w:t>
      </w:r>
    </w:p>
    <w:p w:rsidR="002966D8" w:rsidRDefault="002966D8" w:rsidP="00A453CF">
      <w:pPr>
        <w:spacing w:after="120" w:line="276" w:lineRule="auto"/>
        <w:ind w:firstLine="720"/>
        <w:jc w:val="both"/>
        <w:rPr>
          <w:bCs/>
          <w:lang w:val="en-IN" w:eastAsia="en-GB"/>
        </w:rPr>
      </w:pPr>
      <w:r w:rsidRPr="002966D8">
        <w:rPr>
          <w:bCs/>
          <w:lang w:val="en-IN" w:eastAsia="en-GB"/>
        </w:rPr>
        <w:t>Moving forward, integrating TPS with broader regional planning objectives will be crucial to accommodating Bangalore’s urban expansion in a sustainable manner. If effectively implemented, TPS can play a transformative role in shaping BMR’s growth by ensuring planned urbanization while protecting stakeholder interests. Urban planners, policymakers, and governance bodies must work collaboratively to address existing barriers and create an enabling environment for TPS execution. This study’s findings provide a foundation for future research on innovative TPS models, monitoring mechanisms, and long-term urban development strategies for metropolitan regions.</w:t>
      </w:r>
    </w:p>
    <w:p w:rsidR="00A453CF" w:rsidRDefault="00A453CF" w:rsidP="00A453CF">
      <w:pPr>
        <w:spacing w:after="120" w:line="276" w:lineRule="auto"/>
        <w:jc w:val="both"/>
        <w:rPr>
          <w:b/>
          <w:bCs/>
          <w:lang w:val="en-IN" w:eastAsia="en-GB"/>
        </w:rPr>
      </w:pPr>
    </w:p>
    <w:p w:rsidR="001E1E80" w:rsidRPr="00A453CF" w:rsidRDefault="00A453CF" w:rsidP="00A453CF">
      <w:pPr>
        <w:spacing w:after="120" w:line="276" w:lineRule="auto"/>
        <w:jc w:val="both"/>
        <w:rPr>
          <w:b/>
          <w:bCs/>
          <w:lang w:val="en-IN" w:eastAsia="en-GB"/>
        </w:rPr>
      </w:pPr>
      <w:r w:rsidRPr="00A453CF">
        <w:rPr>
          <w:b/>
          <w:bCs/>
          <w:lang w:val="en-IN" w:eastAsia="en-GB"/>
        </w:rPr>
        <w:t>REFERENCES</w:t>
      </w:r>
    </w:p>
    <w:p w:rsidR="0083628F" w:rsidRPr="000C3AA1" w:rsidRDefault="0083628F" w:rsidP="000C3AA1">
      <w:pPr>
        <w:pStyle w:val="ListParagraph"/>
        <w:numPr>
          <w:ilvl w:val="0"/>
          <w:numId w:val="44"/>
        </w:numPr>
        <w:spacing w:line="276" w:lineRule="auto"/>
        <w:ind w:left="357" w:hanging="357"/>
        <w:rPr>
          <w:sz w:val="24"/>
          <w:lang w:val="en-IN" w:eastAsia="en-IN"/>
        </w:rPr>
      </w:pPr>
      <w:r w:rsidRPr="000C3AA1">
        <w:rPr>
          <w:sz w:val="24"/>
          <w:lang w:val="en-IN" w:eastAsia="en-IN"/>
        </w:rPr>
        <w:t xml:space="preserve">Bangalore Metropolitan Region Development Authority (BMRDA). (2017). </w:t>
      </w:r>
      <w:r w:rsidRPr="000C3AA1">
        <w:rPr>
          <w:i/>
          <w:iCs/>
          <w:sz w:val="24"/>
          <w:lang w:val="en-IN" w:eastAsia="en-IN"/>
        </w:rPr>
        <w:t>Revised Structure Plan – 2031: Bangalore Metropolitan Region (Final Report).</w:t>
      </w:r>
      <w:r w:rsidRPr="000C3AA1">
        <w:rPr>
          <w:sz w:val="24"/>
          <w:lang w:val="en-IN" w:eastAsia="en-IN"/>
        </w:rPr>
        <w:t xml:space="preserve"> Bangalore: BMRDA.</w:t>
      </w:r>
    </w:p>
    <w:p w:rsidR="0083628F" w:rsidRPr="000C3AA1" w:rsidRDefault="0083628F" w:rsidP="000C3AA1">
      <w:pPr>
        <w:pStyle w:val="ListParagraph"/>
        <w:numPr>
          <w:ilvl w:val="0"/>
          <w:numId w:val="44"/>
        </w:numPr>
        <w:spacing w:line="276" w:lineRule="auto"/>
        <w:ind w:left="357" w:hanging="357"/>
        <w:rPr>
          <w:sz w:val="24"/>
          <w:lang w:val="en-IN" w:eastAsia="en-IN"/>
        </w:rPr>
      </w:pPr>
      <w:r w:rsidRPr="000C3AA1">
        <w:rPr>
          <w:sz w:val="24"/>
          <w:lang w:val="en-IN" w:eastAsia="en-IN"/>
        </w:rPr>
        <w:t xml:space="preserve">Census of India. (2011). </w:t>
      </w:r>
      <w:r w:rsidRPr="000C3AA1">
        <w:rPr>
          <w:i/>
          <w:iCs/>
          <w:sz w:val="24"/>
          <w:lang w:val="en-IN" w:eastAsia="en-IN"/>
        </w:rPr>
        <w:t>Provisional Population Totals, Census 2011 – Karnataka (Series 30).</w:t>
      </w:r>
      <w:r w:rsidRPr="000C3AA1">
        <w:rPr>
          <w:sz w:val="24"/>
          <w:lang w:val="en-IN" w:eastAsia="en-IN"/>
        </w:rPr>
        <w:t xml:space="preserve"> Office of the Registrar General &amp; Census Commissioner, India.</w:t>
      </w:r>
    </w:p>
    <w:p w:rsidR="0083628F" w:rsidRPr="000C3AA1" w:rsidRDefault="0083628F" w:rsidP="000C3AA1">
      <w:pPr>
        <w:pStyle w:val="ListParagraph"/>
        <w:numPr>
          <w:ilvl w:val="0"/>
          <w:numId w:val="44"/>
        </w:numPr>
        <w:spacing w:line="276" w:lineRule="auto"/>
        <w:ind w:left="357" w:hanging="357"/>
        <w:rPr>
          <w:sz w:val="24"/>
          <w:lang w:val="en-IN" w:eastAsia="en-IN"/>
        </w:rPr>
      </w:pPr>
      <w:proofErr w:type="spellStart"/>
      <w:r w:rsidRPr="000C3AA1">
        <w:rPr>
          <w:sz w:val="24"/>
          <w:lang w:val="en-IN" w:eastAsia="en-IN"/>
        </w:rPr>
        <w:t>Dehingia</w:t>
      </w:r>
      <w:proofErr w:type="spellEnd"/>
      <w:r w:rsidRPr="000C3AA1">
        <w:rPr>
          <w:sz w:val="24"/>
          <w:lang w:val="en-IN" w:eastAsia="en-IN"/>
        </w:rPr>
        <w:t xml:space="preserve">, H., Das, R. R., </w:t>
      </w:r>
      <w:proofErr w:type="spellStart"/>
      <w:r w:rsidRPr="000C3AA1">
        <w:rPr>
          <w:sz w:val="24"/>
          <w:lang w:val="en-IN" w:eastAsia="en-IN"/>
        </w:rPr>
        <w:t>Rahaman</w:t>
      </w:r>
      <w:proofErr w:type="spellEnd"/>
      <w:r w:rsidRPr="000C3AA1">
        <w:rPr>
          <w:sz w:val="24"/>
          <w:lang w:val="en-IN" w:eastAsia="en-IN"/>
        </w:rPr>
        <w:t xml:space="preserve">, S. A., </w:t>
      </w:r>
      <w:proofErr w:type="spellStart"/>
      <w:r w:rsidRPr="000C3AA1">
        <w:rPr>
          <w:sz w:val="24"/>
          <w:lang w:val="en-IN" w:eastAsia="en-IN"/>
        </w:rPr>
        <w:t>Surendra</w:t>
      </w:r>
      <w:proofErr w:type="spellEnd"/>
      <w:r w:rsidRPr="000C3AA1">
        <w:rPr>
          <w:sz w:val="24"/>
          <w:lang w:val="en-IN" w:eastAsia="en-IN"/>
        </w:rPr>
        <w:t xml:space="preserve">, P., &amp; </w:t>
      </w:r>
      <w:proofErr w:type="spellStart"/>
      <w:r w:rsidRPr="000C3AA1">
        <w:rPr>
          <w:sz w:val="24"/>
          <w:lang w:val="en-IN" w:eastAsia="en-IN"/>
        </w:rPr>
        <w:t>Hanjagi</w:t>
      </w:r>
      <w:proofErr w:type="spellEnd"/>
      <w:r w:rsidRPr="000C3AA1">
        <w:rPr>
          <w:sz w:val="24"/>
          <w:lang w:val="en-IN" w:eastAsia="en-IN"/>
        </w:rPr>
        <w:t xml:space="preserve">, A. D. (2022). Decadal transformation of land use-land cover and future spatial expansion in Bangalore Metropolitan Region, India: Open-source geospatial machine learning approach. </w:t>
      </w:r>
      <w:r w:rsidRPr="000C3AA1">
        <w:rPr>
          <w:i/>
          <w:iCs/>
          <w:sz w:val="24"/>
          <w:lang w:val="en-IN" w:eastAsia="en-IN"/>
        </w:rPr>
        <w:t>International Archives of the Photogrammetry, Remote Sensing and Spatial Information Sciences, XLIII-B3-2022</w:t>
      </w:r>
      <w:r w:rsidRPr="000C3AA1">
        <w:rPr>
          <w:sz w:val="24"/>
          <w:lang w:val="en-IN" w:eastAsia="en-IN"/>
        </w:rPr>
        <w:t>, 589–596.</w:t>
      </w:r>
    </w:p>
    <w:p w:rsidR="0083628F" w:rsidRPr="000C3AA1" w:rsidRDefault="0083628F" w:rsidP="000C3AA1">
      <w:pPr>
        <w:pStyle w:val="ListParagraph"/>
        <w:numPr>
          <w:ilvl w:val="0"/>
          <w:numId w:val="44"/>
        </w:numPr>
        <w:spacing w:line="276" w:lineRule="auto"/>
        <w:ind w:left="357" w:hanging="357"/>
        <w:rPr>
          <w:sz w:val="24"/>
          <w:lang w:val="en-IN" w:eastAsia="en-IN"/>
        </w:rPr>
      </w:pPr>
      <w:r w:rsidRPr="000C3AA1">
        <w:rPr>
          <w:sz w:val="24"/>
          <w:lang w:val="en-IN" w:eastAsia="en-IN"/>
        </w:rPr>
        <w:t xml:space="preserve">Government of India. (2015). </w:t>
      </w:r>
      <w:r w:rsidRPr="000C3AA1">
        <w:rPr>
          <w:i/>
          <w:iCs/>
          <w:sz w:val="24"/>
          <w:lang w:val="en-IN" w:eastAsia="en-IN"/>
        </w:rPr>
        <w:t>Smart Cities Mission: A step towards Smart India.</w:t>
      </w:r>
      <w:r w:rsidRPr="000C3AA1">
        <w:rPr>
          <w:sz w:val="24"/>
          <w:lang w:val="en-IN" w:eastAsia="en-IN"/>
        </w:rPr>
        <w:t xml:space="preserve"> Ministry of Housing and Urban Affairs, New Delhi. Retrieved from </w:t>
      </w:r>
      <w:hyperlink r:id="rId14" w:tgtFrame="_new" w:history="1">
        <w:r w:rsidRPr="000C3AA1">
          <w:rPr>
            <w:color w:val="0000FF"/>
            <w:sz w:val="24"/>
            <w:u w:val="single"/>
            <w:lang w:val="en-IN" w:eastAsia="en-IN"/>
          </w:rPr>
          <w:t>https://www.india.gov.in/spotlight/smart-cities-mission-step-towards-smart-india</w:t>
        </w:r>
      </w:hyperlink>
      <w:r w:rsidRPr="000C3AA1">
        <w:rPr>
          <w:sz w:val="24"/>
          <w:lang w:val="en-IN" w:eastAsia="en-IN"/>
        </w:rPr>
        <w:t>.</w:t>
      </w:r>
    </w:p>
    <w:p w:rsidR="0083628F" w:rsidRPr="000C3AA1" w:rsidRDefault="0083628F" w:rsidP="000C3AA1">
      <w:pPr>
        <w:pStyle w:val="ListParagraph"/>
        <w:numPr>
          <w:ilvl w:val="0"/>
          <w:numId w:val="44"/>
        </w:numPr>
        <w:spacing w:line="276" w:lineRule="auto"/>
        <w:ind w:left="357" w:hanging="357"/>
        <w:rPr>
          <w:sz w:val="24"/>
          <w:lang w:val="en-IN" w:eastAsia="en-IN"/>
        </w:rPr>
      </w:pPr>
      <w:proofErr w:type="spellStart"/>
      <w:r w:rsidRPr="000C3AA1">
        <w:rPr>
          <w:sz w:val="24"/>
          <w:lang w:val="en-IN" w:eastAsia="en-IN"/>
        </w:rPr>
        <w:t>Janaagraha</w:t>
      </w:r>
      <w:proofErr w:type="spellEnd"/>
      <w:r w:rsidRPr="000C3AA1">
        <w:rPr>
          <w:sz w:val="24"/>
          <w:lang w:val="en-IN" w:eastAsia="en-IN"/>
        </w:rPr>
        <w:t xml:space="preserve"> Centre for Citizenship and Democracy. (2021). </w:t>
      </w:r>
      <w:r w:rsidRPr="000C3AA1">
        <w:rPr>
          <w:i/>
          <w:iCs/>
          <w:sz w:val="24"/>
          <w:lang w:val="en-IN" w:eastAsia="en-IN"/>
        </w:rPr>
        <w:t>Annual Survey of India’s City-Systems 2020.</w:t>
      </w:r>
      <w:r w:rsidRPr="000C3AA1">
        <w:rPr>
          <w:sz w:val="24"/>
          <w:lang w:val="en-IN" w:eastAsia="en-IN"/>
        </w:rPr>
        <w:t xml:space="preserve"> Bangalore: </w:t>
      </w:r>
      <w:proofErr w:type="spellStart"/>
      <w:r w:rsidRPr="000C3AA1">
        <w:rPr>
          <w:sz w:val="24"/>
          <w:lang w:val="en-IN" w:eastAsia="en-IN"/>
        </w:rPr>
        <w:t>Janaagraha</w:t>
      </w:r>
      <w:proofErr w:type="spellEnd"/>
      <w:r w:rsidRPr="000C3AA1">
        <w:rPr>
          <w:sz w:val="24"/>
          <w:lang w:val="en-IN" w:eastAsia="en-IN"/>
        </w:rPr>
        <w:t>.</w:t>
      </w:r>
    </w:p>
    <w:p w:rsidR="0083628F" w:rsidRPr="000C3AA1" w:rsidRDefault="0083628F" w:rsidP="000C3AA1">
      <w:pPr>
        <w:pStyle w:val="ListParagraph"/>
        <w:numPr>
          <w:ilvl w:val="0"/>
          <w:numId w:val="44"/>
        </w:numPr>
        <w:spacing w:line="276" w:lineRule="auto"/>
        <w:ind w:left="357" w:hanging="357"/>
        <w:rPr>
          <w:sz w:val="24"/>
          <w:lang w:val="en-IN" w:eastAsia="en-IN"/>
        </w:rPr>
      </w:pPr>
      <w:r w:rsidRPr="000C3AA1">
        <w:rPr>
          <w:sz w:val="24"/>
          <w:lang w:val="en-IN" w:eastAsia="en-IN"/>
        </w:rPr>
        <w:t xml:space="preserve">McKinsey Global Institute. (2010). </w:t>
      </w:r>
      <w:r w:rsidRPr="000C3AA1">
        <w:rPr>
          <w:i/>
          <w:iCs/>
          <w:sz w:val="24"/>
          <w:lang w:val="en-IN" w:eastAsia="en-IN"/>
        </w:rPr>
        <w:t>India’s urban awakening: Building inclusive cities, sustaining economic growth.</w:t>
      </w:r>
      <w:r w:rsidRPr="000C3AA1">
        <w:rPr>
          <w:sz w:val="24"/>
          <w:lang w:val="en-IN" w:eastAsia="en-IN"/>
        </w:rPr>
        <w:t xml:space="preserve"> McKinsey &amp; Company.</w:t>
      </w:r>
    </w:p>
    <w:p w:rsidR="0083628F" w:rsidRPr="000C3AA1" w:rsidRDefault="0083628F" w:rsidP="000C3AA1">
      <w:pPr>
        <w:pStyle w:val="ListParagraph"/>
        <w:numPr>
          <w:ilvl w:val="0"/>
          <w:numId w:val="44"/>
        </w:numPr>
        <w:spacing w:line="276" w:lineRule="auto"/>
        <w:ind w:left="357" w:hanging="357"/>
        <w:rPr>
          <w:sz w:val="24"/>
          <w:lang w:val="en-IN" w:eastAsia="en-IN"/>
        </w:rPr>
      </w:pPr>
      <w:r w:rsidRPr="000C3AA1">
        <w:rPr>
          <w:sz w:val="24"/>
          <w:lang w:val="en-IN" w:eastAsia="en-IN"/>
        </w:rPr>
        <w:t xml:space="preserve">National Institute of Urban Affairs (NIUA). (2022). </w:t>
      </w:r>
      <w:r w:rsidRPr="000C3AA1">
        <w:rPr>
          <w:i/>
          <w:iCs/>
          <w:sz w:val="24"/>
          <w:lang w:val="en-IN" w:eastAsia="en-IN"/>
        </w:rPr>
        <w:t>About NIUA – Shaping India’s Urban Future.</w:t>
      </w:r>
      <w:r w:rsidRPr="000C3AA1">
        <w:rPr>
          <w:sz w:val="24"/>
          <w:lang w:val="en-IN" w:eastAsia="en-IN"/>
        </w:rPr>
        <w:t xml:space="preserve"> New Delhi: NIUA. Retrieved from </w:t>
      </w:r>
      <w:hyperlink r:id="rId15" w:tgtFrame="_new" w:history="1">
        <w:r w:rsidRPr="000C3AA1">
          <w:rPr>
            <w:color w:val="0000FF"/>
            <w:sz w:val="24"/>
            <w:u w:val="single"/>
            <w:lang w:val="en-IN" w:eastAsia="en-IN"/>
          </w:rPr>
          <w:t>https://niua.in</w:t>
        </w:r>
      </w:hyperlink>
      <w:r w:rsidRPr="000C3AA1">
        <w:rPr>
          <w:sz w:val="24"/>
          <w:lang w:val="en-IN" w:eastAsia="en-IN"/>
        </w:rPr>
        <w:t>.</w:t>
      </w:r>
    </w:p>
    <w:p w:rsidR="0083628F" w:rsidRPr="000C3AA1" w:rsidRDefault="0083628F" w:rsidP="000C3AA1">
      <w:pPr>
        <w:pStyle w:val="ListParagraph"/>
        <w:numPr>
          <w:ilvl w:val="0"/>
          <w:numId w:val="44"/>
        </w:numPr>
        <w:spacing w:line="276" w:lineRule="auto"/>
        <w:ind w:left="357" w:hanging="357"/>
        <w:rPr>
          <w:sz w:val="24"/>
          <w:lang w:val="en-IN" w:eastAsia="en-IN"/>
        </w:rPr>
      </w:pPr>
      <w:r w:rsidRPr="000C3AA1">
        <w:rPr>
          <w:sz w:val="24"/>
          <w:lang w:val="en-IN" w:eastAsia="en-IN"/>
        </w:rPr>
        <w:t xml:space="preserve">NITI </w:t>
      </w:r>
      <w:proofErr w:type="spellStart"/>
      <w:r w:rsidRPr="000C3AA1">
        <w:rPr>
          <w:sz w:val="24"/>
          <w:lang w:val="en-IN" w:eastAsia="en-IN"/>
        </w:rPr>
        <w:t>Aayog</w:t>
      </w:r>
      <w:proofErr w:type="spellEnd"/>
      <w:r w:rsidRPr="000C3AA1">
        <w:rPr>
          <w:sz w:val="24"/>
          <w:lang w:val="en-IN" w:eastAsia="en-IN"/>
        </w:rPr>
        <w:t xml:space="preserve">. (2021). </w:t>
      </w:r>
      <w:r w:rsidRPr="000C3AA1">
        <w:rPr>
          <w:i/>
          <w:iCs/>
          <w:sz w:val="24"/>
          <w:lang w:val="en-IN" w:eastAsia="en-IN"/>
        </w:rPr>
        <w:t>Reforms in Urban Planning Capacity in India (Report of the Advisory Committee).</w:t>
      </w:r>
      <w:r w:rsidRPr="000C3AA1">
        <w:rPr>
          <w:sz w:val="24"/>
          <w:lang w:val="en-IN" w:eastAsia="en-IN"/>
        </w:rPr>
        <w:t xml:space="preserve"> New Delhi: NITI </w:t>
      </w:r>
      <w:proofErr w:type="spellStart"/>
      <w:r w:rsidRPr="000C3AA1">
        <w:rPr>
          <w:sz w:val="24"/>
          <w:lang w:val="en-IN" w:eastAsia="en-IN"/>
        </w:rPr>
        <w:t>Aayog</w:t>
      </w:r>
      <w:proofErr w:type="spellEnd"/>
      <w:r w:rsidRPr="000C3AA1">
        <w:rPr>
          <w:sz w:val="24"/>
          <w:lang w:val="en-IN" w:eastAsia="en-IN"/>
        </w:rPr>
        <w:t>.</w:t>
      </w:r>
    </w:p>
    <w:p w:rsidR="0083628F" w:rsidRPr="000C3AA1" w:rsidRDefault="0083628F" w:rsidP="000C3AA1">
      <w:pPr>
        <w:pStyle w:val="ListParagraph"/>
        <w:numPr>
          <w:ilvl w:val="0"/>
          <w:numId w:val="44"/>
        </w:numPr>
        <w:spacing w:line="276" w:lineRule="auto"/>
        <w:ind w:left="357" w:hanging="357"/>
        <w:rPr>
          <w:sz w:val="24"/>
          <w:lang w:val="en-IN" w:eastAsia="en-IN"/>
        </w:rPr>
      </w:pPr>
      <w:proofErr w:type="spellStart"/>
      <w:r w:rsidRPr="000C3AA1">
        <w:rPr>
          <w:sz w:val="24"/>
          <w:lang w:val="en-IN" w:eastAsia="en-IN"/>
        </w:rPr>
        <w:t>Ramachandra</w:t>
      </w:r>
      <w:proofErr w:type="spellEnd"/>
      <w:r w:rsidRPr="000C3AA1">
        <w:rPr>
          <w:sz w:val="24"/>
          <w:lang w:val="en-IN" w:eastAsia="en-IN"/>
        </w:rPr>
        <w:t xml:space="preserve">, T. V., &amp; </w:t>
      </w:r>
      <w:proofErr w:type="spellStart"/>
      <w:r w:rsidRPr="000C3AA1">
        <w:rPr>
          <w:sz w:val="24"/>
          <w:lang w:val="en-IN" w:eastAsia="en-IN"/>
        </w:rPr>
        <w:t>Aithal</w:t>
      </w:r>
      <w:proofErr w:type="spellEnd"/>
      <w:r w:rsidRPr="000C3AA1">
        <w:rPr>
          <w:sz w:val="24"/>
          <w:lang w:val="en-IN" w:eastAsia="en-IN"/>
        </w:rPr>
        <w:t xml:space="preserve">, B. H. (2016). Bengaluru’s reality: Towards </w:t>
      </w:r>
      <w:proofErr w:type="spellStart"/>
      <w:r w:rsidRPr="000C3AA1">
        <w:rPr>
          <w:sz w:val="24"/>
          <w:lang w:val="en-IN" w:eastAsia="en-IN"/>
        </w:rPr>
        <w:t>unlivable</w:t>
      </w:r>
      <w:proofErr w:type="spellEnd"/>
      <w:r w:rsidRPr="000C3AA1">
        <w:rPr>
          <w:sz w:val="24"/>
          <w:lang w:val="en-IN" w:eastAsia="en-IN"/>
        </w:rPr>
        <w:t xml:space="preserve"> status with unplanned urban trajectory. </w:t>
      </w:r>
      <w:r w:rsidRPr="000C3AA1">
        <w:rPr>
          <w:i/>
          <w:iCs/>
          <w:sz w:val="24"/>
          <w:lang w:val="en-IN" w:eastAsia="en-IN"/>
        </w:rPr>
        <w:t>Current Science, 110</w:t>
      </w:r>
      <w:r w:rsidRPr="000C3AA1">
        <w:rPr>
          <w:sz w:val="24"/>
          <w:lang w:val="en-IN" w:eastAsia="en-IN"/>
        </w:rPr>
        <w:t>(12), 2207–2208.</w:t>
      </w:r>
    </w:p>
    <w:p w:rsidR="0083628F" w:rsidRPr="000C3AA1" w:rsidRDefault="0083628F" w:rsidP="000C3AA1">
      <w:pPr>
        <w:pStyle w:val="ListParagraph"/>
        <w:numPr>
          <w:ilvl w:val="0"/>
          <w:numId w:val="44"/>
        </w:numPr>
        <w:spacing w:line="276" w:lineRule="auto"/>
        <w:ind w:left="357" w:hanging="357"/>
        <w:rPr>
          <w:sz w:val="24"/>
          <w:lang w:val="en-IN" w:eastAsia="en-IN"/>
        </w:rPr>
      </w:pPr>
      <w:proofErr w:type="spellStart"/>
      <w:r w:rsidRPr="000C3AA1">
        <w:rPr>
          <w:sz w:val="24"/>
          <w:lang w:val="en-IN" w:eastAsia="en-IN"/>
        </w:rPr>
        <w:t>Ramachandra</w:t>
      </w:r>
      <w:proofErr w:type="spellEnd"/>
      <w:r w:rsidRPr="000C3AA1">
        <w:rPr>
          <w:sz w:val="24"/>
          <w:lang w:val="en-IN" w:eastAsia="en-IN"/>
        </w:rPr>
        <w:t xml:space="preserve">, T. V., </w:t>
      </w:r>
      <w:proofErr w:type="spellStart"/>
      <w:r w:rsidRPr="000C3AA1">
        <w:rPr>
          <w:sz w:val="24"/>
          <w:lang w:val="en-IN" w:eastAsia="en-IN"/>
        </w:rPr>
        <w:t>Mondal</w:t>
      </w:r>
      <w:proofErr w:type="spellEnd"/>
      <w:r w:rsidRPr="000C3AA1">
        <w:rPr>
          <w:sz w:val="24"/>
          <w:lang w:val="en-IN" w:eastAsia="en-IN"/>
        </w:rPr>
        <w:t xml:space="preserve">, T., </w:t>
      </w:r>
      <w:proofErr w:type="spellStart"/>
      <w:r w:rsidRPr="000C3AA1">
        <w:rPr>
          <w:sz w:val="24"/>
          <w:lang w:val="en-IN" w:eastAsia="en-IN"/>
        </w:rPr>
        <w:t>Setturu</w:t>
      </w:r>
      <w:proofErr w:type="spellEnd"/>
      <w:r w:rsidRPr="000C3AA1">
        <w:rPr>
          <w:sz w:val="24"/>
          <w:lang w:val="en-IN" w:eastAsia="en-IN"/>
        </w:rPr>
        <w:t xml:space="preserve">, B., &amp; </w:t>
      </w:r>
      <w:proofErr w:type="spellStart"/>
      <w:r w:rsidRPr="000C3AA1">
        <w:rPr>
          <w:sz w:val="24"/>
          <w:lang w:val="en-IN" w:eastAsia="en-IN"/>
        </w:rPr>
        <w:t>Aithal</w:t>
      </w:r>
      <w:proofErr w:type="spellEnd"/>
      <w:r w:rsidRPr="000C3AA1">
        <w:rPr>
          <w:sz w:val="24"/>
          <w:lang w:val="en-IN" w:eastAsia="en-IN"/>
        </w:rPr>
        <w:t xml:space="preserve">, B. H. (2023). Environmental consequences in the neighbourhood of rapid unplanned urbanisation in Bangalore City. </w:t>
      </w:r>
      <w:r w:rsidRPr="000C3AA1">
        <w:rPr>
          <w:i/>
          <w:iCs/>
          <w:sz w:val="24"/>
          <w:lang w:val="en-IN" w:eastAsia="en-IN"/>
        </w:rPr>
        <w:t>Advances in Environmental and Engineering Research, 4</w:t>
      </w:r>
      <w:r w:rsidRPr="000C3AA1">
        <w:rPr>
          <w:sz w:val="24"/>
          <w:lang w:val="en-IN" w:eastAsia="en-IN"/>
        </w:rPr>
        <w:t>(4), 052.</w:t>
      </w:r>
    </w:p>
    <w:p w:rsidR="0083628F" w:rsidRPr="000C3AA1" w:rsidRDefault="0083628F" w:rsidP="000C3AA1">
      <w:pPr>
        <w:pStyle w:val="ListParagraph"/>
        <w:numPr>
          <w:ilvl w:val="0"/>
          <w:numId w:val="44"/>
        </w:numPr>
        <w:spacing w:line="276" w:lineRule="auto"/>
        <w:ind w:left="357" w:hanging="357"/>
        <w:rPr>
          <w:sz w:val="24"/>
          <w:lang w:val="en-IN" w:eastAsia="en-IN"/>
        </w:rPr>
      </w:pPr>
      <w:proofErr w:type="spellStart"/>
      <w:r w:rsidRPr="000C3AA1">
        <w:rPr>
          <w:sz w:val="24"/>
          <w:lang w:val="en-IN" w:eastAsia="en-IN"/>
        </w:rPr>
        <w:t>Sudhira</w:t>
      </w:r>
      <w:proofErr w:type="spellEnd"/>
      <w:r w:rsidRPr="000C3AA1">
        <w:rPr>
          <w:sz w:val="24"/>
          <w:lang w:val="en-IN" w:eastAsia="en-IN"/>
        </w:rPr>
        <w:t xml:space="preserve">, H. S., </w:t>
      </w:r>
      <w:proofErr w:type="spellStart"/>
      <w:r w:rsidRPr="000C3AA1">
        <w:rPr>
          <w:sz w:val="24"/>
          <w:lang w:val="en-IN" w:eastAsia="en-IN"/>
        </w:rPr>
        <w:t>Ramachandra</w:t>
      </w:r>
      <w:proofErr w:type="spellEnd"/>
      <w:r w:rsidRPr="000C3AA1">
        <w:rPr>
          <w:sz w:val="24"/>
          <w:lang w:val="en-IN" w:eastAsia="en-IN"/>
        </w:rPr>
        <w:t xml:space="preserve">, T. V., &amp; </w:t>
      </w:r>
      <w:proofErr w:type="spellStart"/>
      <w:r w:rsidRPr="000C3AA1">
        <w:rPr>
          <w:sz w:val="24"/>
          <w:lang w:val="en-IN" w:eastAsia="en-IN"/>
        </w:rPr>
        <w:t>Jagadish</w:t>
      </w:r>
      <w:proofErr w:type="spellEnd"/>
      <w:r w:rsidRPr="000C3AA1">
        <w:rPr>
          <w:sz w:val="24"/>
          <w:lang w:val="en-IN" w:eastAsia="en-IN"/>
        </w:rPr>
        <w:t xml:space="preserve">, K. S. (2004). Urban sprawl: metrics, dynamics and </w:t>
      </w:r>
      <w:proofErr w:type="spellStart"/>
      <w:r w:rsidRPr="000C3AA1">
        <w:rPr>
          <w:sz w:val="24"/>
          <w:lang w:val="en-IN" w:eastAsia="en-IN"/>
        </w:rPr>
        <w:t>modeling</w:t>
      </w:r>
      <w:proofErr w:type="spellEnd"/>
      <w:r w:rsidRPr="000C3AA1">
        <w:rPr>
          <w:sz w:val="24"/>
          <w:lang w:val="en-IN" w:eastAsia="en-IN"/>
        </w:rPr>
        <w:t xml:space="preserve"> using GIS. </w:t>
      </w:r>
      <w:r w:rsidRPr="000C3AA1">
        <w:rPr>
          <w:i/>
          <w:iCs/>
          <w:sz w:val="24"/>
          <w:lang w:val="en-IN" w:eastAsia="en-IN"/>
        </w:rPr>
        <w:t xml:space="preserve">International Journal of Applied Earth Observation and </w:t>
      </w:r>
      <w:proofErr w:type="spellStart"/>
      <w:r w:rsidRPr="000C3AA1">
        <w:rPr>
          <w:i/>
          <w:iCs/>
          <w:sz w:val="24"/>
          <w:lang w:val="en-IN" w:eastAsia="en-IN"/>
        </w:rPr>
        <w:t>Geoinformation</w:t>
      </w:r>
      <w:proofErr w:type="spellEnd"/>
      <w:r w:rsidRPr="000C3AA1">
        <w:rPr>
          <w:i/>
          <w:iCs/>
          <w:sz w:val="24"/>
          <w:lang w:val="en-IN" w:eastAsia="en-IN"/>
        </w:rPr>
        <w:t>, 5</w:t>
      </w:r>
      <w:r w:rsidRPr="000C3AA1">
        <w:rPr>
          <w:sz w:val="24"/>
          <w:lang w:val="en-IN" w:eastAsia="en-IN"/>
        </w:rPr>
        <w:t xml:space="preserve">(1), </w:t>
      </w:r>
    </w:p>
    <w:p w:rsidR="0083628F" w:rsidRDefault="0083628F" w:rsidP="000C3AA1">
      <w:pPr>
        <w:pStyle w:val="ListParagraph"/>
        <w:numPr>
          <w:ilvl w:val="0"/>
          <w:numId w:val="44"/>
        </w:numPr>
        <w:spacing w:line="276" w:lineRule="auto"/>
        <w:ind w:left="357" w:hanging="357"/>
        <w:rPr>
          <w:sz w:val="24"/>
          <w:lang w:val="en-IN" w:eastAsia="en-IN"/>
        </w:rPr>
      </w:pPr>
      <w:proofErr w:type="spellStart"/>
      <w:r w:rsidRPr="000C3AA1">
        <w:rPr>
          <w:sz w:val="24"/>
          <w:lang w:val="en-IN" w:eastAsia="en-IN"/>
        </w:rPr>
        <w:t>Sundaresan</w:t>
      </w:r>
      <w:proofErr w:type="spellEnd"/>
      <w:r w:rsidRPr="000C3AA1">
        <w:rPr>
          <w:sz w:val="24"/>
          <w:lang w:val="en-IN" w:eastAsia="en-IN"/>
        </w:rPr>
        <w:t xml:space="preserve">, J. (2019). Urban planning in vernacular governance: Land use planning and violations in Bangalore, India. </w:t>
      </w:r>
      <w:r w:rsidRPr="000C3AA1">
        <w:rPr>
          <w:i/>
          <w:iCs/>
          <w:sz w:val="24"/>
          <w:lang w:val="en-IN" w:eastAsia="en-IN"/>
        </w:rPr>
        <w:t>Progress in Planning, 127</w:t>
      </w:r>
      <w:r w:rsidRPr="000C3AA1">
        <w:rPr>
          <w:sz w:val="24"/>
          <w:lang w:val="en-IN" w:eastAsia="en-IN"/>
        </w:rPr>
        <w:t>, 1–23.</w:t>
      </w:r>
    </w:p>
    <w:p w:rsidR="006B390C" w:rsidRPr="006B390C" w:rsidRDefault="006B390C" w:rsidP="006B390C">
      <w:pPr>
        <w:spacing w:line="276" w:lineRule="auto"/>
        <w:rPr>
          <w:lang w:val="en-IN" w:eastAsia="en-IN"/>
        </w:rPr>
      </w:pPr>
    </w:p>
    <w:p w:rsidR="0083628F" w:rsidRPr="000C3AA1" w:rsidRDefault="0083628F" w:rsidP="000C3AA1">
      <w:pPr>
        <w:pStyle w:val="ListParagraph"/>
        <w:numPr>
          <w:ilvl w:val="0"/>
          <w:numId w:val="44"/>
        </w:numPr>
        <w:spacing w:line="276" w:lineRule="auto"/>
        <w:ind w:left="357" w:hanging="357"/>
        <w:rPr>
          <w:sz w:val="24"/>
          <w:lang w:val="en-IN" w:eastAsia="en-IN"/>
        </w:rPr>
      </w:pPr>
      <w:r w:rsidRPr="000C3AA1">
        <w:rPr>
          <w:sz w:val="24"/>
          <w:lang w:val="en-IN" w:eastAsia="en-IN"/>
        </w:rPr>
        <w:t xml:space="preserve">United Nations, Department of Economic and Social Affairs (UN DESA). (2018). </w:t>
      </w:r>
      <w:r w:rsidRPr="000C3AA1">
        <w:rPr>
          <w:i/>
          <w:iCs/>
          <w:sz w:val="24"/>
          <w:lang w:val="en-IN" w:eastAsia="en-IN"/>
        </w:rPr>
        <w:t>World Urbanization Prospects: 2018 Revision – Press Release.</w:t>
      </w:r>
      <w:r w:rsidRPr="000C3AA1">
        <w:rPr>
          <w:sz w:val="24"/>
          <w:lang w:val="en-IN" w:eastAsia="en-IN"/>
        </w:rPr>
        <w:t xml:space="preserve"> New York: United Nations.</w:t>
      </w:r>
    </w:p>
    <w:p w:rsidR="0083628F" w:rsidRPr="000C3AA1" w:rsidRDefault="0083628F" w:rsidP="000C3AA1">
      <w:pPr>
        <w:pStyle w:val="ListParagraph"/>
        <w:numPr>
          <w:ilvl w:val="0"/>
          <w:numId w:val="44"/>
        </w:numPr>
        <w:spacing w:line="276" w:lineRule="auto"/>
        <w:ind w:left="357" w:hanging="357"/>
        <w:rPr>
          <w:sz w:val="24"/>
          <w:lang w:val="en-IN" w:eastAsia="en-IN"/>
        </w:rPr>
      </w:pPr>
      <w:r w:rsidRPr="000C3AA1">
        <w:rPr>
          <w:sz w:val="24"/>
          <w:lang w:val="en-IN" w:eastAsia="en-IN"/>
        </w:rPr>
        <w:t xml:space="preserve">United Nations, General Assembly. (2015). </w:t>
      </w:r>
      <w:proofErr w:type="gramStart"/>
      <w:r w:rsidRPr="000C3AA1">
        <w:rPr>
          <w:i/>
          <w:iCs/>
          <w:sz w:val="24"/>
          <w:lang w:val="en-IN" w:eastAsia="en-IN"/>
        </w:rPr>
        <w:t>Transforming</w:t>
      </w:r>
      <w:proofErr w:type="gramEnd"/>
      <w:r w:rsidRPr="000C3AA1">
        <w:rPr>
          <w:i/>
          <w:iCs/>
          <w:sz w:val="24"/>
          <w:lang w:val="en-IN" w:eastAsia="en-IN"/>
        </w:rPr>
        <w:t xml:space="preserve"> our world: the 2030 Agenda for Sustainable Development (A/RES/70/1).</w:t>
      </w:r>
      <w:r w:rsidRPr="000C3AA1">
        <w:rPr>
          <w:sz w:val="24"/>
          <w:lang w:val="en-IN" w:eastAsia="en-IN"/>
        </w:rPr>
        <w:t xml:space="preserve"> New York: United Nations.</w:t>
      </w:r>
    </w:p>
    <w:p w:rsidR="0083628F" w:rsidRPr="000C3AA1" w:rsidRDefault="0083628F" w:rsidP="000C3AA1">
      <w:pPr>
        <w:pStyle w:val="ListParagraph"/>
        <w:numPr>
          <w:ilvl w:val="0"/>
          <w:numId w:val="44"/>
        </w:numPr>
        <w:spacing w:line="276" w:lineRule="auto"/>
        <w:ind w:left="357" w:hanging="357"/>
        <w:rPr>
          <w:sz w:val="24"/>
          <w:lang w:val="en-IN" w:eastAsia="en-IN"/>
        </w:rPr>
      </w:pPr>
      <w:r w:rsidRPr="000C3AA1">
        <w:rPr>
          <w:sz w:val="24"/>
          <w:lang w:val="en-IN" w:eastAsia="en-IN"/>
        </w:rPr>
        <w:t xml:space="preserve">UN-Habitat. (2017). </w:t>
      </w:r>
      <w:r w:rsidRPr="000C3AA1">
        <w:rPr>
          <w:i/>
          <w:iCs/>
          <w:sz w:val="24"/>
          <w:lang w:val="en-IN" w:eastAsia="en-IN"/>
        </w:rPr>
        <w:t>New Urban Agenda.</w:t>
      </w:r>
      <w:r w:rsidRPr="000C3AA1">
        <w:rPr>
          <w:sz w:val="24"/>
          <w:lang w:val="en-IN" w:eastAsia="en-IN"/>
        </w:rPr>
        <w:t xml:space="preserve"> Quito: United Nations Conference on Housing and Sustainable Urban Development.</w:t>
      </w:r>
    </w:p>
    <w:p w:rsidR="0083628F" w:rsidRPr="000C3AA1" w:rsidRDefault="0083628F" w:rsidP="000C3AA1">
      <w:pPr>
        <w:pStyle w:val="ListParagraph"/>
        <w:numPr>
          <w:ilvl w:val="0"/>
          <w:numId w:val="44"/>
        </w:numPr>
        <w:spacing w:line="276" w:lineRule="auto"/>
        <w:ind w:left="357" w:hanging="357"/>
        <w:rPr>
          <w:sz w:val="24"/>
          <w:lang w:val="en-IN" w:eastAsia="en-IN"/>
        </w:rPr>
      </w:pPr>
      <w:r w:rsidRPr="000C3AA1">
        <w:rPr>
          <w:sz w:val="24"/>
          <w:lang w:val="en-IN" w:eastAsia="en-IN"/>
        </w:rPr>
        <w:t xml:space="preserve">UN-Habitat. (2022). </w:t>
      </w:r>
      <w:r w:rsidRPr="000C3AA1">
        <w:rPr>
          <w:i/>
          <w:iCs/>
          <w:sz w:val="24"/>
          <w:lang w:val="en-IN" w:eastAsia="en-IN"/>
        </w:rPr>
        <w:t>World Cities Report 2022: Envisaging the Future of Cities.</w:t>
      </w:r>
      <w:r w:rsidRPr="000C3AA1">
        <w:rPr>
          <w:sz w:val="24"/>
          <w:lang w:val="en-IN" w:eastAsia="en-IN"/>
        </w:rPr>
        <w:t xml:space="preserve"> Nairobi: United Nations Human Settlements Programme.</w:t>
      </w:r>
    </w:p>
    <w:p w:rsidR="0083628F" w:rsidRPr="000C3AA1" w:rsidRDefault="0083628F" w:rsidP="000C3AA1">
      <w:pPr>
        <w:pStyle w:val="ListParagraph"/>
        <w:numPr>
          <w:ilvl w:val="0"/>
          <w:numId w:val="44"/>
        </w:numPr>
        <w:spacing w:line="276" w:lineRule="auto"/>
        <w:ind w:left="357" w:hanging="357"/>
        <w:rPr>
          <w:sz w:val="24"/>
          <w:lang w:val="en-IN" w:eastAsia="en-IN"/>
        </w:rPr>
      </w:pPr>
      <w:r w:rsidRPr="000C3AA1">
        <w:rPr>
          <w:sz w:val="24"/>
          <w:lang w:val="en-IN" w:eastAsia="en-IN"/>
        </w:rPr>
        <w:t xml:space="preserve">World Bank. (2013). </w:t>
      </w:r>
      <w:r w:rsidRPr="000C3AA1">
        <w:rPr>
          <w:i/>
          <w:iCs/>
          <w:sz w:val="24"/>
          <w:lang w:val="en-IN" w:eastAsia="en-IN"/>
        </w:rPr>
        <w:t xml:space="preserve">Urbanization beyond municipal boundaries: Nurturing metropolitan economies and connecting </w:t>
      </w:r>
      <w:proofErr w:type="spellStart"/>
      <w:r w:rsidRPr="000C3AA1">
        <w:rPr>
          <w:i/>
          <w:iCs/>
          <w:sz w:val="24"/>
          <w:lang w:val="en-IN" w:eastAsia="en-IN"/>
        </w:rPr>
        <w:t>peri</w:t>
      </w:r>
      <w:proofErr w:type="spellEnd"/>
      <w:r w:rsidRPr="000C3AA1">
        <w:rPr>
          <w:i/>
          <w:iCs/>
          <w:sz w:val="24"/>
          <w:lang w:val="en-IN" w:eastAsia="en-IN"/>
        </w:rPr>
        <w:t>-urban areas in India.</w:t>
      </w:r>
      <w:r w:rsidRPr="000C3AA1">
        <w:rPr>
          <w:sz w:val="24"/>
          <w:lang w:val="en-IN" w:eastAsia="en-IN"/>
        </w:rPr>
        <w:t xml:space="preserve"> Washington, DC: World Bank.</w:t>
      </w:r>
    </w:p>
    <w:p w:rsidR="0083628F" w:rsidRPr="000C3AA1" w:rsidRDefault="0083628F" w:rsidP="000C3AA1">
      <w:pPr>
        <w:pStyle w:val="ListParagraph"/>
        <w:numPr>
          <w:ilvl w:val="0"/>
          <w:numId w:val="44"/>
        </w:numPr>
        <w:spacing w:line="276" w:lineRule="auto"/>
        <w:ind w:left="357" w:hanging="357"/>
        <w:rPr>
          <w:sz w:val="24"/>
          <w:lang w:val="en-IN" w:eastAsia="en-IN"/>
        </w:rPr>
      </w:pPr>
      <w:r w:rsidRPr="000C3AA1">
        <w:rPr>
          <w:sz w:val="24"/>
          <w:lang w:val="en-IN" w:eastAsia="en-IN"/>
        </w:rPr>
        <w:t xml:space="preserve">World Bank. (2016). </w:t>
      </w:r>
      <w:r w:rsidRPr="000C3AA1">
        <w:rPr>
          <w:i/>
          <w:iCs/>
          <w:sz w:val="24"/>
          <w:lang w:val="en-IN" w:eastAsia="en-IN"/>
        </w:rPr>
        <w:t xml:space="preserve">Leveraging Urbanization in South Asia: Managing Spatial Transformation for Prosperity and </w:t>
      </w:r>
      <w:proofErr w:type="spellStart"/>
      <w:r w:rsidRPr="000C3AA1">
        <w:rPr>
          <w:i/>
          <w:iCs/>
          <w:sz w:val="24"/>
          <w:lang w:val="en-IN" w:eastAsia="en-IN"/>
        </w:rPr>
        <w:t>Livability</w:t>
      </w:r>
      <w:proofErr w:type="spellEnd"/>
      <w:r w:rsidRPr="000C3AA1">
        <w:rPr>
          <w:i/>
          <w:iCs/>
          <w:sz w:val="24"/>
          <w:lang w:val="en-IN" w:eastAsia="en-IN"/>
        </w:rPr>
        <w:t>.</w:t>
      </w:r>
      <w:r w:rsidRPr="000C3AA1">
        <w:rPr>
          <w:sz w:val="24"/>
          <w:lang w:val="en-IN" w:eastAsia="en-IN"/>
        </w:rPr>
        <w:t xml:space="preserve"> Washington, DC: World Bank.</w:t>
      </w:r>
    </w:p>
    <w:p w:rsidR="0083628F" w:rsidRPr="000C3AA1" w:rsidRDefault="0083628F" w:rsidP="000C3AA1">
      <w:pPr>
        <w:pStyle w:val="ListParagraph"/>
        <w:numPr>
          <w:ilvl w:val="0"/>
          <w:numId w:val="44"/>
        </w:numPr>
        <w:spacing w:line="276" w:lineRule="auto"/>
        <w:ind w:left="357" w:hanging="357"/>
        <w:rPr>
          <w:sz w:val="24"/>
          <w:lang w:val="en-IN" w:eastAsia="en-IN"/>
        </w:rPr>
      </w:pPr>
      <w:r w:rsidRPr="000C3AA1">
        <w:rPr>
          <w:sz w:val="24"/>
          <w:lang w:val="en-IN" w:eastAsia="en-IN"/>
        </w:rPr>
        <w:t xml:space="preserve">World Bank. (2024). </w:t>
      </w:r>
      <w:proofErr w:type="spellStart"/>
      <w:r w:rsidRPr="000C3AA1">
        <w:rPr>
          <w:sz w:val="24"/>
          <w:lang w:val="en-IN" w:eastAsia="en-IN"/>
        </w:rPr>
        <w:t>Kouamé</w:t>
      </w:r>
      <w:proofErr w:type="spellEnd"/>
      <w:r w:rsidRPr="000C3AA1">
        <w:rPr>
          <w:sz w:val="24"/>
          <w:lang w:val="en-IN" w:eastAsia="en-IN"/>
        </w:rPr>
        <w:t xml:space="preserve">, A. T. </w:t>
      </w:r>
      <w:r w:rsidRPr="000C3AA1">
        <w:rPr>
          <w:i/>
          <w:iCs/>
          <w:sz w:val="24"/>
          <w:lang w:val="en-IN" w:eastAsia="en-IN"/>
        </w:rPr>
        <w:t>Gearing up for India’s rapid urban transformation.</w:t>
      </w:r>
      <w:r w:rsidRPr="000C3AA1">
        <w:rPr>
          <w:sz w:val="24"/>
          <w:lang w:val="en-IN" w:eastAsia="en-IN"/>
        </w:rPr>
        <w:t xml:space="preserve"> Retrieved January 30, 2024, from </w:t>
      </w:r>
      <w:hyperlink r:id="rId16" w:tgtFrame="_new" w:history="1">
        <w:r w:rsidRPr="000C3AA1">
          <w:rPr>
            <w:color w:val="0000FF"/>
            <w:sz w:val="24"/>
            <w:u w:val="single"/>
            <w:lang w:val="en-IN" w:eastAsia="en-IN"/>
          </w:rPr>
          <w:t>https://www.worldbank.org/en/news/opinion/2024/01/30/gearing-up-for-india-s-rapid-urban-transformation</w:t>
        </w:r>
      </w:hyperlink>
      <w:r w:rsidRPr="000C3AA1">
        <w:rPr>
          <w:sz w:val="24"/>
          <w:lang w:val="en-IN" w:eastAsia="en-IN"/>
        </w:rPr>
        <w:t>.</w:t>
      </w:r>
    </w:p>
    <w:p w:rsidR="0083628F" w:rsidRDefault="0083628F" w:rsidP="000C3AA1">
      <w:pPr>
        <w:pStyle w:val="ListParagraph"/>
        <w:numPr>
          <w:ilvl w:val="0"/>
          <w:numId w:val="44"/>
        </w:numPr>
        <w:spacing w:line="276" w:lineRule="auto"/>
        <w:ind w:left="357" w:hanging="357"/>
        <w:rPr>
          <w:sz w:val="24"/>
          <w:lang w:val="en-IN" w:eastAsia="en-IN"/>
        </w:rPr>
      </w:pPr>
      <w:r w:rsidRPr="000C3AA1">
        <w:rPr>
          <w:sz w:val="24"/>
          <w:lang w:val="en-IN" w:eastAsia="en-IN"/>
        </w:rPr>
        <w:t xml:space="preserve">Times of India. (2024, March 6). </w:t>
      </w:r>
      <w:r w:rsidRPr="000C3AA1">
        <w:rPr>
          <w:i/>
          <w:iCs/>
          <w:sz w:val="24"/>
          <w:lang w:val="en-IN" w:eastAsia="en-IN"/>
        </w:rPr>
        <w:t>Why Bengaluru is facing acute water shortage.</w:t>
      </w:r>
      <w:r w:rsidRPr="000C3AA1">
        <w:rPr>
          <w:sz w:val="24"/>
          <w:lang w:val="en-IN" w:eastAsia="en-IN"/>
        </w:rPr>
        <w:t xml:space="preserve"> Times News Network. Retrieved from </w:t>
      </w:r>
      <w:hyperlink r:id="rId17" w:tgtFrame="_new" w:history="1">
        <w:r w:rsidRPr="000C3AA1">
          <w:rPr>
            <w:color w:val="0000FF"/>
            <w:sz w:val="24"/>
            <w:u w:val="single"/>
            <w:lang w:val="en-IN" w:eastAsia="en-IN"/>
          </w:rPr>
          <w:t>https://timesofindia.indiatimes.com</w:t>
        </w:r>
      </w:hyperlink>
      <w:r w:rsidRPr="000C3AA1">
        <w:rPr>
          <w:sz w:val="24"/>
          <w:lang w:val="en-IN" w:eastAsia="en-IN"/>
        </w:rPr>
        <w:t>.</w:t>
      </w:r>
    </w:p>
    <w:p w:rsidR="000C3AA1" w:rsidRPr="000C3AA1" w:rsidRDefault="000C3AA1" w:rsidP="000C3AA1">
      <w:pPr>
        <w:spacing w:line="276" w:lineRule="auto"/>
        <w:rPr>
          <w:lang w:val="en-IN" w:eastAsia="en-IN"/>
        </w:rPr>
      </w:pPr>
    </w:p>
    <w:p w:rsidR="00D60B22" w:rsidRPr="005E3524" w:rsidRDefault="004E48CD" w:rsidP="004E48CD">
      <w:pPr>
        <w:pStyle w:val="IEEEParagraph"/>
        <w:jc w:val="center"/>
        <w:rPr>
          <w:lang w:val="en-US"/>
        </w:rPr>
      </w:pPr>
      <w:r w:rsidRPr="005E3524">
        <w:rPr>
          <w:lang w:val="en-US"/>
        </w:rPr>
        <w:t>**************</w:t>
      </w:r>
    </w:p>
    <w:sectPr w:rsidR="00D60B22" w:rsidRPr="005E3524" w:rsidSect="002966D8">
      <w:footerReference w:type="default" r:id="rId18"/>
      <w:type w:val="continuous"/>
      <w:pgSz w:w="11906" w:h="16838" w:code="9"/>
      <w:pgMar w:top="1361" w:right="1418" w:bottom="1361" w:left="1418" w:header="720" w:footer="720" w:gutter="0"/>
      <w:cols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B62" w:rsidRDefault="00361B62" w:rsidP="00B64C40">
      <w:r>
        <w:separator/>
      </w:r>
    </w:p>
  </w:endnote>
  <w:endnote w:type="continuationSeparator" w:id="0">
    <w:p w:rsidR="00361B62" w:rsidRDefault="00361B62" w:rsidP="00B64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3945390"/>
      <w:docPartObj>
        <w:docPartGallery w:val="Page Numbers (Bottom of Page)"/>
        <w:docPartUnique/>
      </w:docPartObj>
    </w:sdtPr>
    <w:sdtEndPr>
      <w:rPr>
        <w:noProof/>
      </w:rPr>
    </w:sdtEndPr>
    <w:sdtContent>
      <w:p w:rsidR="00B64C40" w:rsidRDefault="00B64C40">
        <w:pPr>
          <w:pStyle w:val="Footer"/>
          <w:jc w:val="center"/>
        </w:pPr>
        <w:r>
          <w:fldChar w:fldCharType="begin"/>
        </w:r>
        <w:r>
          <w:instrText xml:space="preserve"> PAGE   \* MERGEFORMAT </w:instrText>
        </w:r>
        <w:r>
          <w:fldChar w:fldCharType="separate"/>
        </w:r>
        <w:r w:rsidR="005B66E3">
          <w:rPr>
            <w:noProof/>
          </w:rPr>
          <w:t>1</w:t>
        </w:r>
        <w:r>
          <w:rPr>
            <w:noProof/>
          </w:rPr>
          <w:fldChar w:fldCharType="end"/>
        </w:r>
      </w:p>
    </w:sdtContent>
  </w:sdt>
  <w:p w:rsidR="00B64C40" w:rsidRDefault="00B64C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B62" w:rsidRDefault="00361B62" w:rsidP="00B64C40">
      <w:r>
        <w:separator/>
      </w:r>
    </w:p>
  </w:footnote>
  <w:footnote w:type="continuationSeparator" w:id="0">
    <w:p w:rsidR="00361B62" w:rsidRDefault="00361B62" w:rsidP="00B64C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2E4D"/>
    <w:multiLevelType w:val="multilevel"/>
    <w:tmpl w:val="F7E237E2"/>
    <w:lvl w:ilvl="0">
      <w:start w:val="1"/>
      <w:numFmt w:val="upperRoman"/>
      <w:pStyle w:val="IEEEHeading1"/>
      <w:lvlText w:val="%1."/>
      <w:lvlJc w:val="left"/>
      <w:pPr>
        <w:tabs>
          <w:tab w:val="num" w:pos="5817"/>
        </w:tabs>
        <w:ind w:left="5817" w:hanging="288"/>
      </w:pPr>
      <w:rPr>
        <w:rFonts w:ascii="Times New Roman" w:eastAsia="Arial Unicode MS" w:hAnsi="Times New Roman" w:cs="Times New Roman" w:hint="default"/>
        <w:b/>
        <w:bCs/>
        <w:i w:val="0"/>
        <w:iCs w:val="0"/>
        <w:caps/>
        <w:strike w:val="0"/>
        <w:d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bCs w:val="0"/>
        <w:i w:val="0"/>
        <w:iCs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B03335C"/>
    <w:multiLevelType w:val="multilevel"/>
    <w:tmpl w:val="19F8B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8F7831"/>
    <w:multiLevelType w:val="multilevel"/>
    <w:tmpl w:val="A70E3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27142A"/>
    <w:multiLevelType w:val="multilevel"/>
    <w:tmpl w:val="847049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D348EB"/>
    <w:multiLevelType w:val="multilevel"/>
    <w:tmpl w:val="298C2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026220"/>
    <w:multiLevelType w:val="hybridMultilevel"/>
    <w:tmpl w:val="42284EAA"/>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18287B63"/>
    <w:multiLevelType w:val="hybridMultilevel"/>
    <w:tmpl w:val="B4B4EAA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1AE503AA"/>
    <w:multiLevelType w:val="hybridMultilevel"/>
    <w:tmpl w:val="CFB4DB8A"/>
    <w:lvl w:ilvl="0" w:tplc="1A0C9940">
      <w:start w:val="1"/>
      <w:numFmt w:val="decimal"/>
      <w:lvlText w:val="%1)"/>
      <w:lvlJc w:val="left"/>
      <w:pPr>
        <w:ind w:left="720" w:hanging="360"/>
      </w:pPr>
    </w:lvl>
    <w:lvl w:ilvl="1" w:tplc="D892E4CA" w:tentative="1">
      <w:start w:val="1"/>
      <w:numFmt w:val="lowerLetter"/>
      <w:lvlText w:val="%2."/>
      <w:lvlJc w:val="left"/>
      <w:pPr>
        <w:ind w:left="1440" w:hanging="360"/>
      </w:pPr>
    </w:lvl>
    <w:lvl w:ilvl="2" w:tplc="9670F41E" w:tentative="1">
      <w:start w:val="1"/>
      <w:numFmt w:val="lowerRoman"/>
      <w:lvlText w:val="%3."/>
      <w:lvlJc w:val="right"/>
      <w:pPr>
        <w:ind w:left="2160" w:hanging="180"/>
      </w:pPr>
    </w:lvl>
    <w:lvl w:ilvl="3" w:tplc="EDC41AC4" w:tentative="1">
      <w:start w:val="1"/>
      <w:numFmt w:val="decimal"/>
      <w:lvlText w:val="%4."/>
      <w:lvlJc w:val="left"/>
      <w:pPr>
        <w:ind w:left="2880" w:hanging="360"/>
      </w:pPr>
    </w:lvl>
    <w:lvl w:ilvl="4" w:tplc="25AA4266" w:tentative="1">
      <w:start w:val="1"/>
      <w:numFmt w:val="lowerLetter"/>
      <w:lvlText w:val="%5."/>
      <w:lvlJc w:val="left"/>
      <w:pPr>
        <w:ind w:left="3600" w:hanging="360"/>
      </w:pPr>
    </w:lvl>
    <w:lvl w:ilvl="5" w:tplc="AA4A7D0A" w:tentative="1">
      <w:start w:val="1"/>
      <w:numFmt w:val="lowerRoman"/>
      <w:lvlText w:val="%6."/>
      <w:lvlJc w:val="right"/>
      <w:pPr>
        <w:ind w:left="4320" w:hanging="180"/>
      </w:pPr>
    </w:lvl>
    <w:lvl w:ilvl="6" w:tplc="7350460C" w:tentative="1">
      <w:start w:val="1"/>
      <w:numFmt w:val="decimal"/>
      <w:lvlText w:val="%7."/>
      <w:lvlJc w:val="left"/>
      <w:pPr>
        <w:ind w:left="5040" w:hanging="360"/>
      </w:pPr>
    </w:lvl>
    <w:lvl w:ilvl="7" w:tplc="AC56D296" w:tentative="1">
      <w:start w:val="1"/>
      <w:numFmt w:val="lowerLetter"/>
      <w:lvlText w:val="%8."/>
      <w:lvlJc w:val="left"/>
      <w:pPr>
        <w:ind w:left="5760" w:hanging="360"/>
      </w:pPr>
    </w:lvl>
    <w:lvl w:ilvl="8" w:tplc="6A5E1300" w:tentative="1">
      <w:start w:val="1"/>
      <w:numFmt w:val="lowerRoman"/>
      <w:lvlText w:val="%9."/>
      <w:lvlJc w:val="right"/>
      <w:pPr>
        <w:ind w:left="6480" w:hanging="180"/>
      </w:pPr>
    </w:lvl>
  </w:abstractNum>
  <w:abstractNum w:abstractNumId="8">
    <w:nsid w:val="1B8A41AA"/>
    <w:multiLevelType w:val="multilevel"/>
    <w:tmpl w:val="B0B8F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BF71552"/>
    <w:multiLevelType w:val="hybridMultilevel"/>
    <w:tmpl w:val="32FAE696"/>
    <w:lvl w:ilvl="0" w:tplc="985451FC">
      <w:start w:val="1"/>
      <w:numFmt w:val="decimal"/>
      <w:lvlText w:val="%1."/>
      <w:lvlJc w:val="left"/>
      <w:pPr>
        <w:ind w:left="1417" w:hanging="360"/>
      </w:pPr>
    </w:lvl>
    <w:lvl w:ilvl="1" w:tplc="8252E6AA" w:tentative="1">
      <w:start w:val="1"/>
      <w:numFmt w:val="lowerLetter"/>
      <w:lvlText w:val="%2."/>
      <w:lvlJc w:val="left"/>
      <w:pPr>
        <w:ind w:left="2137" w:hanging="360"/>
      </w:pPr>
    </w:lvl>
    <w:lvl w:ilvl="2" w:tplc="A7BC7ADC" w:tentative="1">
      <w:start w:val="1"/>
      <w:numFmt w:val="lowerRoman"/>
      <w:lvlText w:val="%3."/>
      <w:lvlJc w:val="right"/>
      <w:pPr>
        <w:ind w:left="2857" w:hanging="180"/>
      </w:pPr>
    </w:lvl>
    <w:lvl w:ilvl="3" w:tplc="F0301798" w:tentative="1">
      <w:start w:val="1"/>
      <w:numFmt w:val="decimal"/>
      <w:lvlText w:val="%4."/>
      <w:lvlJc w:val="left"/>
      <w:pPr>
        <w:ind w:left="3577" w:hanging="360"/>
      </w:pPr>
    </w:lvl>
    <w:lvl w:ilvl="4" w:tplc="91469D56" w:tentative="1">
      <w:start w:val="1"/>
      <w:numFmt w:val="lowerLetter"/>
      <w:lvlText w:val="%5."/>
      <w:lvlJc w:val="left"/>
      <w:pPr>
        <w:ind w:left="4297" w:hanging="360"/>
      </w:pPr>
    </w:lvl>
    <w:lvl w:ilvl="5" w:tplc="94947450" w:tentative="1">
      <w:start w:val="1"/>
      <w:numFmt w:val="lowerRoman"/>
      <w:lvlText w:val="%6."/>
      <w:lvlJc w:val="right"/>
      <w:pPr>
        <w:ind w:left="5017" w:hanging="180"/>
      </w:pPr>
    </w:lvl>
    <w:lvl w:ilvl="6" w:tplc="9B688190" w:tentative="1">
      <w:start w:val="1"/>
      <w:numFmt w:val="decimal"/>
      <w:lvlText w:val="%7."/>
      <w:lvlJc w:val="left"/>
      <w:pPr>
        <w:ind w:left="5737" w:hanging="360"/>
      </w:pPr>
    </w:lvl>
    <w:lvl w:ilvl="7" w:tplc="F2E49A36" w:tentative="1">
      <w:start w:val="1"/>
      <w:numFmt w:val="lowerLetter"/>
      <w:lvlText w:val="%8."/>
      <w:lvlJc w:val="left"/>
      <w:pPr>
        <w:ind w:left="6457" w:hanging="360"/>
      </w:pPr>
    </w:lvl>
    <w:lvl w:ilvl="8" w:tplc="8B8E5386" w:tentative="1">
      <w:start w:val="1"/>
      <w:numFmt w:val="lowerRoman"/>
      <w:lvlText w:val="%9."/>
      <w:lvlJc w:val="right"/>
      <w:pPr>
        <w:ind w:left="7177" w:hanging="180"/>
      </w:pPr>
    </w:lvl>
  </w:abstractNum>
  <w:abstractNum w:abstractNumId="10">
    <w:nsid w:val="20C304DA"/>
    <w:multiLevelType w:val="hybridMultilevel"/>
    <w:tmpl w:val="8684FD6C"/>
    <w:lvl w:ilvl="0" w:tplc="9F54F28A">
      <w:start w:val="1"/>
      <w:numFmt w:val="decimal"/>
      <w:lvlText w:val="%1)"/>
      <w:lvlJc w:val="left"/>
      <w:pPr>
        <w:ind w:left="1152" w:hanging="360"/>
      </w:pPr>
    </w:lvl>
    <w:lvl w:ilvl="1" w:tplc="2968E188" w:tentative="1">
      <w:start w:val="1"/>
      <w:numFmt w:val="lowerLetter"/>
      <w:lvlText w:val="%2."/>
      <w:lvlJc w:val="left"/>
      <w:pPr>
        <w:ind w:left="1872" w:hanging="360"/>
      </w:pPr>
    </w:lvl>
    <w:lvl w:ilvl="2" w:tplc="99CE1F66" w:tentative="1">
      <w:start w:val="1"/>
      <w:numFmt w:val="lowerRoman"/>
      <w:lvlText w:val="%3."/>
      <w:lvlJc w:val="right"/>
      <w:pPr>
        <w:ind w:left="2592" w:hanging="180"/>
      </w:pPr>
    </w:lvl>
    <w:lvl w:ilvl="3" w:tplc="D6A2C600" w:tentative="1">
      <w:start w:val="1"/>
      <w:numFmt w:val="decimal"/>
      <w:lvlText w:val="%4."/>
      <w:lvlJc w:val="left"/>
      <w:pPr>
        <w:ind w:left="3312" w:hanging="360"/>
      </w:pPr>
    </w:lvl>
    <w:lvl w:ilvl="4" w:tplc="860028DA" w:tentative="1">
      <w:start w:val="1"/>
      <w:numFmt w:val="lowerLetter"/>
      <w:lvlText w:val="%5."/>
      <w:lvlJc w:val="left"/>
      <w:pPr>
        <w:ind w:left="4032" w:hanging="360"/>
      </w:pPr>
    </w:lvl>
    <w:lvl w:ilvl="5" w:tplc="ABF44412" w:tentative="1">
      <w:start w:val="1"/>
      <w:numFmt w:val="lowerRoman"/>
      <w:lvlText w:val="%6."/>
      <w:lvlJc w:val="right"/>
      <w:pPr>
        <w:ind w:left="4752" w:hanging="180"/>
      </w:pPr>
    </w:lvl>
    <w:lvl w:ilvl="6" w:tplc="B3902254" w:tentative="1">
      <w:start w:val="1"/>
      <w:numFmt w:val="decimal"/>
      <w:lvlText w:val="%7."/>
      <w:lvlJc w:val="left"/>
      <w:pPr>
        <w:ind w:left="5472" w:hanging="360"/>
      </w:pPr>
    </w:lvl>
    <w:lvl w:ilvl="7" w:tplc="4ADA1306" w:tentative="1">
      <w:start w:val="1"/>
      <w:numFmt w:val="lowerLetter"/>
      <w:lvlText w:val="%8."/>
      <w:lvlJc w:val="left"/>
      <w:pPr>
        <w:ind w:left="6192" w:hanging="360"/>
      </w:pPr>
    </w:lvl>
    <w:lvl w:ilvl="8" w:tplc="0F06C452" w:tentative="1">
      <w:start w:val="1"/>
      <w:numFmt w:val="lowerRoman"/>
      <w:lvlText w:val="%9."/>
      <w:lvlJc w:val="right"/>
      <w:pPr>
        <w:ind w:left="6912" w:hanging="180"/>
      </w:pPr>
    </w:lvl>
  </w:abstractNum>
  <w:abstractNum w:abstractNumId="11">
    <w:nsid w:val="21DC3791"/>
    <w:multiLevelType w:val="hybridMultilevel"/>
    <w:tmpl w:val="E52435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1FC00C2"/>
    <w:multiLevelType w:val="multilevel"/>
    <w:tmpl w:val="74705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B855861"/>
    <w:multiLevelType w:val="multilevel"/>
    <w:tmpl w:val="802488F2"/>
    <w:lvl w:ilvl="0">
      <w:start w:val="1"/>
      <w:numFmt w:val="decimal"/>
      <w:pStyle w:val="IEEEReferenceItem"/>
      <w:lvlText w:val="[%1]"/>
      <w:lvlJc w:val="right"/>
      <w:pPr>
        <w:tabs>
          <w:tab w:val="num" w:pos="432"/>
        </w:tabs>
        <w:ind w:left="432" w:hanging="144"/>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4">
    <w:nsid w:val="328273D7"/>
    <w:multiLevelType w:val="multilevel"/>
    <w:tmpl w:val="9C8E938C"/>
    <w:numStyleLink w:val="IEEEBullet1"/>
  </w:abstractNum>
  <w:abstractNum w:abstractNumId="15">
    <w:nsid w:val="34637862"/>
    <w:multiLevelType w:val="multilevel"/>
    <w:tmpl w:val="A63268E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850F46"/>
    <w:multiLevelType w:val="hybridMultilevel"/>
    <w:tmpl w:val="3998FFC6"/>
    <w:lvl w:ilvl="0" w:tplc="6EE0162A">
      <w:start w:val="7"/>
      <w:numFmt w:val="decimal"/>
      <w:lvlText w:val="%1)"/>
      <w:lvlJc w:val="left"/>
      <w:pPr>
        <w:ind w:left="697" w:hanging="267"/>
      </w:pPr>
      <w:rPr>
        <w:rFonts w:hint="default"/>
        <w:b w:val="0"/>
      </w:rPr>
    </w:lvl>
    <w:lvl w:ilvl="1" w:tplc="9758B042" w:tentative="1">
      <w:start w:val="1"/>
      <w:numFmt w:val="lowerLetter"/>
      <w:lvlText w:val="%2."/>
      <w:lvlJc w:val="left"/>
      <w:pPr>
        <w:ind w:left="1218" w:hanging="360"/>
      </w:pPr>
    </w:lvl>
    <w:lvl w:ilvl="2" w:tplc="6E448C44" w:tentative="1">
      <w:start w:val="1"/>
      <w:numFmt w:val="lowerRoman"/>
      <w:lvlText w:val="%3."/>
      <w:lvlJc w:val="right"/>
      <w:pPr>
        <w:ind w:left="1938" w:hanging="180"/>
      </w:pPr>
    </w:lvl>
    <w:lvl w:ilvl="3" w:tplc="999674B4" w:tentative="1">
      <w:start w:val="1"/>
      <w:numFmt w:val="decimal"/>
      <w:lvlText w:val="%4."/>
      <w:lvlJc w:val="left"/>
      <w:pPr>
        <w:ind w:left="2658" w:hanging="360"/>
      </w:pPr>
    </w:lvl>
    <w:lvl w:ilvl="4" w:tplc="88F80446" w:tentative="1">
      <w:start w:val="1"/>
      <w:numFmt w:val="lowerLetter"/>
      <w:lvlText w:val="%5."/>
      <w:lvlJc w:val="left"/>
      <w:pPr>
        <w:ind w:left="3378" w:hanging="360"/>
      </w:pPr>
    </w:lvl>
    <w:lvl w:ilvl="5" w:tplc="2D2AFD6C" w:tentative="1">
      <w:start w:val="1"/>
      <w:numFmt w:val="lowerRoman"/>
      <w:lvlText w:val="%6."/>
      <w:lvlJc w:val="right"/>
      <w:pPr>
        <w:ind w:left="4098" w:hanging="180"/>
      </w:pPr>
    </w:lvl>
    <w:lvl w:ilvl="6" w:tplc="B84E3F14" w:tentative="1">
      <w:start w:val="1"/>
      <w:numFmt w:val="decimal"/>
      <w:lvlText w:val="%7."/>
      <w:lvlJc w:val="left"/>
      <w:pPr>
        <w:ind w:left="4818" w:hanging="360"/>
      </w:pPr>
    </w:lvl>
    <w:lvl w:ilvl="7" w:tplc="4D924416" w:tentative="1">
      <w:start w:val="1"/>
      <w:numFmt w:val="lowerLetter"/>
      <w:lvlText w:val="%8."/>
      <w:lvlJc w:val="left"/>
      <w:pPr>
        <w:ind w:left="5538" w:hanging="360"/>
      </w:pPr>
    </w:lvl>
    <w:lvl w:ilvl="8" w:tplc="5F9C5612" w:tentative="1">
      <w:start w:val="1"/>
      <w:numFmt w:val="lowerRoman"/>
      <w:lvlText w:val="%9."/>
      <w:lvlJc w:val="right"/>
      <w:pPr>
        <w:ind w:left="6258" w:hanging="180"/>
      </w:pPr>
    </w:lvl>
  </w:abstractNum>
  <w:abstractNum w:abstractNumId="17">
    <w:nsid w:val="404F5AA1"/>
    <w:multiLevelType w:val="hybridMultilevel"/>
    <w:tmpl w:val="179E74F6"/>
    <w:lvl w:ilvl="0" w:tplc="5C1C26A6">
      <w:start w:val="1"/>
      <w:numFmt w:val="decimal"/>
      <w:lvlText w:val="%1."/>
      <w:lvlJc w:val="left"/>
      <w:pPr>
        <w:ind w:left="936" w:hanging="360"/>
      </w:pPr>
    </w:lvl>
    <w:lvl w:ilvl="1" w:tplc="F08A5CC0" w:tentative="1">
      <w:start w:val="1"/>
      <w:numFmt w:val="lowerLetter"/>
      <w:lvlText w:val="%2."/>
      <w:lvlJc w:val="left"/>
      <w:pPr>
        <w:ind w:left="1656" w:hanging="360"/>
      </w:pPr>
    </w:lvl>
    <w:lvl w:ilvl="2" w:tplc="98A0BAE0" w:tentative="1">
      <w:start w:val="1"/>
      <w:numFmt w:val="lowerRoman"/>
      <w:lvlText w:val="%3."/>
      <w:lvlJc w:val="right"/>
      <w:pPr>
        <w:ind w:left="2376" w:hanging="180"/>
      </w:pPr>
    </w:lvl>
    <w:lvl w:ilvl="3" w:tplc="AF00035E" w:tentative="1">
      <w:start w:val="1"/>
      <w:numFmt w:val="decimal"/>
      <w:lvlText w:val="%4."/>
      <w:lvlJc w:val="left"/>
      <w:pPr>
        <w:ind w:left="3096" w:hanging="360"/>
      </w:pPr>
    </w:lvl>
    <w:lvl w:ilvl="4" w:tplc="7CAC3DBE" w:tentative="1">
      <w:start w:val="1"/>
      <w:numFmt w:val="lowerLetter"/>
      <w:lvlText w:val="%5."/>
      <w:lvlJc w:val="left"/>
      <w:pPr>
        <w:ind w:left="3816" w:hanging="360"/>
      </w:pPr>
    </w:lvl>
    <w:lvl w:ilvl="5" w:tplc="ED78B80A" w:tentative="1">
      <w:start w:val="1"/>
      <w:numFmt w:val="lowerRoman"/>
      <w:lvlText w:val="%6."/>
      <w:lvlJc w:val="right"/>
      <w:pPr>
        <w:ind w:left="4536" w:hanging="180"/>
      </w:pPr>
    </w:lvl>
    <w:lvl w:ilvl="6" w:tplc="F5FAF9B0" w:tentative="1">
      <w:start w:val="1"/>
      <w:numFmt w:val="decimal"/>
      <w:lvlText w:val="%7."/>
      <w:lvlJc w:val="left"/>
      <w:pPr>
        <w:ind w:left="5256" w:hanging="360"/>
      </w:pPr>
    </w:lvl>
    <w:lvl w:ilvl="7" w:tplc="6752214E" w:tentative="1">
      <w:start w:val="1"/>
      <w:numFmt w:val="lowerLetter"/>
      <w:lvlText w:val="%8."/>
      <w:lvlJc w:val="left"/>
      <w:pPr>
        <w:ind w:left="5976" w:hanging="360"/>
      </w:pPr>
    </w:lvl>
    <w:lvl w:ilvl="8" w:tplc="2AF69E12" w:tentative="1">
      <w:start w:val="1"/>
      <w:numFmt w:val="lowerRoman"/>
      <w:lvlText w:val="%9."/>
      <w:lvlJc w:val="right"/>
      <w:pPr>
        <w:ind w:left="6696" w:hanging="180"/>
      </w:pPr>
    </w:lvl>
  </w:abstractNum>
  <w:abstractNum w:abstractNumId="18">
    <w:nsid w:val="435A225D"/>
    <w:multiLevelType w:val="hybridMultilevel"/>
    <w:tmpl w:val="761A231E"/>
    <w:lvl w:ilvl="0" w:tplc="BE9031CE">
      <w:start w:val="1"/>
      <w:numFmt w:val="bullet"/>
      <w:lvlText w:val=""/>
      <w:lvlJc w:val="left"/>
      <w:pPr>
        <w:ind w:left="693" w:hanging="267"/>
      </w:pPr>
      <w:rPr>
        <w:rFonts w:ascii="Wingdings" w:hAnsi="Wingdings" w:hint="default"/>
        <w:b w:val="0"/>
        <w:bCs/>
        <w:i/>
        <w:spacing w:val="0"/>
        <w:w w:val="99"/>
      </w:rPr>
    </w:lvl>
    <w:lvl w:ilvl="1" w:tplc="246CA81A" w:tentative="1">
      <w:start w:val="1"/>
      <w:numFmt w:val="lowerLetter"/>
      <w:lvlText w:val="%2."/>
      <w:lvlJc w:val="left"/>
      <w:pPr>
        <w:ind w:left="1214" w:hanging="360"/>
      </w:pPr>
    </w:lvl>
    <w:lvl w:ilvl="2" w:tplc="5A724F98" w:tentative="1">
      <w:start w:val="1"/>
      <w:numFmt w:val="lowerRoman"/>
      <w:lvlText w:val="%3."/>
      <w:lvlJc w:val="right"/>
      <w:pPr>
        <w:ind w:left="1934" w:hanging="180"/>
      </w:pPr>
    </w:lvl>
    <w:lvl w:ilvl="3" w:tplc="C90C5428" w:tentative="1">
      <w:start w:val="1"/>
      <w:numFmt w:val="decimal"/>
      <w:lvlText w:val="%4."/>
      <w:lvlJc w:val="left"/>
      <w:pPr>
        <w:ind w:left="2654" w:hanging="360"/>
      </w:pPr>
    </w:lvl>
    <w:lvl w:ilvl="4" w:tplc="04604B58" w:tentative="1">
      <w:start w:val="1"/>
      <w:numFmt w:val="lowerLetter"/>
      <w:lvlText w:val="%5."/>
      <w:lvlJc w:val="left"/>
      <w:pPr>
        <w:ind w:left="3374" w:hanging="360"/>
      </w:pPr>
    </w:lvl>
    <w:lvl w:ilvl="5" w:tplc="BCDE2356" w:tentative="1">
      <w:start w:val="1"/>
      <w:numFmt w:val="lowerRoman"/>
      <w:lvlText w:val="%6."/>
      <w:lvlJc w:val="right"/>
      <w:pPr>
        <w:ind w:left="4094" w:hanging="180"/>
      </w:pPr>
    </w:lvl>
    <w:lvl w:ilvl="6" w:tplc="FF60CE72" w:tentative="1">
      <w:start w:val="1"/>
      <w:numFmt w:val="decimal"/>
      <w:lvlText w:val="%7."/>
      <w:lvlJc w:val="left"/>
      <w:pPr>
        <w:ind w:left="4814" w:hanging="360"/>
      </w:pPr>
    </w:lvl>
    <w:lvl w:ilvl="7" w:tplc="74124014" w:tentative="1">
      <w:start w:val="1"/>
      <w:numFmt w:val="lowerLetter"/>
      <w:lvlText w:val="%8."/>
      <w:lvlJc w:val="left"/>
      <w:pPr>
        <w:ind w:left="5534" w:hanging="360"/>
      </w:pPr>
    </w:lvl>
    <w:lvl w:ilvl="8" w:tplc="B7966896" w:tentative="1">
      <w:start w:val="1"/>
      <w:numFmt w:val="lowerRoman"/>
      <w:lvlText w:val="%9."/>
      <w:lvlJc w:val="right"/>
      <w:pPr>
        <w:ind w:left="6254" w:hanging="180"/>
      </w:pPr>
    </w:lvl>
  </w:abstractNum>
  <w:abstractNum w:abstractNumId="19">
    <w:nsid w:val="44FF1CE1"/>
    <w:multiLevelType w:val="multilevel"/>
    <w:tmpl w:val="44AE3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9982366"/>
    <w:multiLevelType w:val="hybridMultilevel"/>
    <w:tmpl w:val="6BBED50C"/>
    <w:lvl w:ilvl="0" w:tplc="CEC4DD54">
      <w:start w:val="1"/>
      <w:numFmt w:val="upperLetter"/>
      <w:lvlText w:val="%1."/>
      <w:lvlJc w:val="left"/>
      <w:pPr>
        <w:ind w:left="430" w:hanging="289"/>
      </w:pPr>
      <w:rPr>
        <w:rFonts w:ascii="Times New Roman" w:eastAsia="Times New Roman" w:hAnsi="Times New Roman" w:cs="Times New Roman" w:hint="default"/>
        <w:b w:val="0"/>
        <w:bCs/>
        <w:i/>
        <w:spacing w:val="-1"/>
        <w:w w:val="99"/>
        <w:sz w:val="20"/>
        <w:szCs w:val="20"/>
        <w:lang w:val="en-US" w:eastAsia="en-US" w:bidi="ar-SA"/>
      </w:rPr>
    </w:lvl>
    <w:lvl w:ilvl="1" w:tplc="8EEA1EE6">
      <w:start w:val="1"/>
      <w:numFmt w:val="decimal"/>
      <w:lvlText w:val="%2)"/>
      <w:lvlJc w:val="left"/>
      <w:pPr>
        <w:ind w:left="432" w:hanging="267"/>
      </w:pPr>
      <w:rPr>
        <w:rFonts w:hint="default"/>
        <w:i/>
        <w:spacing w:val="0"/>
        <w:w w:val="99"/>
        <w:lang w:val="en-US" w:eastAsia="en-US" w:bidi="ar-SA"/>
      </w:rPr>
    </w:lvl>
    <w:lvl w:ilvl="2" w:tplc="ACF6D758">
      <w:start w:val="1"/>
      <w:numFmt w:val="decimal"/>
      <w:lvlText w:val="%3)"/>
      <w:lvlJc w:val="left"/>
      <w:pPr>
        <w:ind w:left="693" w:hanging="267"/>
      </w:pPr>
      <w:rPr>
        <w:rFonts w:hint="default"/>
        <w:lang w:val="en-US" w:eastAsia="en-US" w:bidi="ar-SA"/>
      </w:rPr>
    </w:lvl>
    <w:lvl w:ilvl="3" w:tplc="FD80DFE0">
      <w:numFmt w:val="bullet"/>
      <w:lvlText w:val="•"/>
      <w:lvlJc w:val="left"/>
      <w:pPr>
        <w:ind w:left="1416" w:hanging="267"/>
      </w:pPr>
      <w:rPr>
        <w:rFonts w:hint="default"/>
        <w:lang w:val="en-US" w:eastAsia="en-US" w:bidi="ar-SA"/>
      </w:rPr>
    </w:lvl>
    <w:lvl w:ilvl="4" w:tplc="2BE67B8C">
      <w:numFmt w:val="bullet"/>
      <w:lvlText w:val="•"/>
      <w:lvlJc w:val="left"/>
      <w:pPr>
        <w:ind w:left="1912" w:hanging="267"/>
      </w:pPr>
      <w:rPr>
        <w:rFonts w:hint="default"/>
        <w:lang w:val="en-US" w:eastAsia="en-US" w:bidi="ar-SA"/>
      </w:rPr>
    </w:lvl>
    <w:lvl w:ilvl="5" w:tplc="24C04110">
      <w:numFmt w:val="bullet"/>
      <w:lvlText w:val="•"/>
      <w:lvlJc w:val="left"/>
      <w:pPr>
        <w:ind w:left="2409" w:hanging="267"/>
      </w:pPr>
      <w:rPr>
        <w:rFonts w:hint="default"/>
        <w:lang w:val="en-US" w:eastAsia="en-US" w:bidi="ar-SA"/>
      </w:rPr>
    </w:lvl>
    <w:lvl w:ilvl="6" w:tplc="71D6A474">
      <w:numFmt w:val="bullet"/>
      <w:lvlText w:val="•"/>
      <w:lvlJc w:val="left"/>
      <w:pPr>
        <w:ind w:left="2906" w:hanging="267"/>
      </w:pPr>
      <w:rPr>
        <w:rFonts w:hint="default"/>
        <w:lang w:val="en-US" w:eastAsia="en-US" w:bidi="ar-SA"/>
      </w:rPr>
    </w:lvl>
    <w:lvl w:ilvl="7" w:tplc="A69A08AA">
      <w:numFmt w:val="bullet"/>
      <w:lvlText w:val="•"/>
      <w:lvlJc w:val="left"/>
      <w:pPr>
        <w:ind w:left="3402" w:hanging="267"/>
      </w:pPr>
      <w:rPr>
        <w:rFonts w:hint="default"/>
        <w:lang w:val="en-US" w:eastAsia="en-US" w:bidi="ar-SA"/>
      </w:rPr>
    </w:lvl>
    <w:lvl w:ilvl="8" w:tplc="CAEEB4FA">
      <w:numFmt w:val="bullet"/>
      <w:lvlText w:val="•"/>
      <w:lvlJc w:val="left"/>
      <w:pPr>
        <w:ind w:left="3899" w:hanging="267"/>
      </w:pPr>
      <w:rPr>
        <w:rFonts w:hint="default"/>
        <w:lang w:val="en-US" w:eastAsia="en-US" w:bidi="ar-SA"/>
      </w:rPr>
    </w:lvl>
  </w:abstractNum>
  <w:abstractNum w:abstractNumId="21">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4EBD6B58"/>
    <w:multiLevelType w:val="hybridMultilevel"/>
    <w:tmpl w:val="CC08CF0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569A1C63"/>
    <w:multiLevelType w:val="multilevel"/>
    <w:tmpl w:val="6406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3E1D46"/>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6">
    <w:nsid w:val="5B353B57"/>
    <w:multiLevelType w:val="multilevel"/>
    <w:tmpl w:val="847049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B5D52F0"/>
    <w:multiLevelType w:val="multilevel"/>
    <w:tmpl w:val="33047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B6E4B11"/>
    <w:multiLevelType w:val="hybridMultilevel"/>
    <w:tmpl w:val="CFD0D748"/>
    <w:lvl w:ilvl="0" w:tplc="1C600532">
      <w:start w:val="1"/>
      <w:numFmt w:val="decimal"/>
      <w:lvlText w:val="[%1]"/>
      <w:lvlJc w:val="left"/>
      <w:pPr>
        <w:ind w:left="1670" w:hanging="432"/>
      </w:pPr>
      <w:rPr>
        <w:rFonts w:ascii="Times New Roman" w:eastAsia="Times New Roman" w:hAnsi="Times New Roman" w:cs="Times New Roman" w:hint="default"/>
        <w:spacing w:val="-2"/>
        <w:w w:val="100"/>
        <w:sz w:val="16"/>
        <w:szCs w:val="16"/>
        <w:lang w:val="en-US" w:eastAsia="en-US" w:bidi="ar-SA"/>
      </w:rPr>
    </w:lvl>
    <w:lvl w:ilvl="1" w:tplc="972C0B2A">
      <w:numFmt w:val="bullet"/>
      <w:lvlText w:val="•"/>
      <w:lvlJc w:val="left"/>
      <w:pPr>
        <w:ind w:left="1958" w:hanging="432"/>
      </w:pPr>
      <w:rPr>
        <w:rFonts w:hint="default"/>
        <w:lang w:val="en-US" w:eastAsia="en-US" w:bidi="ar-SA"/>
      </w:rPr>
    </w:lvl>
    <w:lvl w:ilvl="2" w:tplc="BDBED8BE">
      <w:numFmt w:val="bullet"/>
      <w:lvlText w:val="•"/>
      <w:lvlJc w:val="left"/>
      <w:pPr>
        <w:ind w:left="2402" w:hanging="432"/>
      </w:pPr>
      <w:rPr>
        <w:rFonts w:hint="default"/>
        <w:lang w:val="en-US" w:eastAsia="en-US" w:bidi="ar-SA"/>
      </w:rPr>
    </w:lvl>
    <w:lvl w:ilvl="3" w:tplc="8CB8D628">
      <w:numFmt w:val="bullet"/>
      <w:lvlText w:val="•"/>
      <w:lvlJc w:val="left"/>
      <w:pPr>
        <w:ind w:left="2846" w:hanging="432"/>
      </w:pPr>
      <w:rPr>
        <w:rFonts w:hint="default"/>
        <w:lang w:val="en-US" w:eastAsia="en-US" w:bidi="ar-SA"/>
      </w:rPr>
    </w:lvl>
    <w:lvl w:ilvl="4" w:tplc="4BDA4B5C">
      <w:numFmt w:val="bullet"/>
      <w:lvlText w:val="•"/>
      <w:lvlJc w:val="left"/>
      <w:pPr>
        <w:ind w:left="3291" w:hanging="432"/>
      </w:pPr>
      <w:rPr>
        <w:rFonts w:hint="default"/>
        <w:lang w:val="en-US" w:eastAsia="en-US" w:bidi="ar-SA"/>
      </w:rPr>
    </w:lvl>
    <w:lvl w:ilvl="5" w:tplc="5D74994E">
      <w:numFmt w:val="bullet"/>
      <w:lvlText w:val="•"/>
      <w:lvlJc w:val="left"/>
      <w:pPr>
        <w:ind w:left="3735" w:hanging="432"/>
      </w:pPr>
      <w:rPr>
        <w:rFonts w:hint="default"/>
        <w:lang w:val="en-US" w:eastAsia="en-US" w:bidi="ar-SA"/>
      </w:rPr>
    </w:lvl>
    <w:lvl w:ilvl="6" w:tplc="DC309BF4">
      <w:numFmt w:val="bullet"/>
      <w:lvlText w:val="•"/>
      <w:lvlJc w:val="left"/>
      <w:pPr>
        <w:ind w:left="4179" w:hanging="432"/>
      </w:pPr>
      <w:rPr>
        <w:rFonts w:hint="default"/>
        <w:lang w:val="en-US" w:eastAsia="en-US" w:bidi="ar-SA"/>
      </w:rPr>
    </w:lvl>
    <w:lvl w:ilvl="7" w:tplc="6CA471AA">
      <w:numFmt w:val="bullet"/>
      <w:lvlText w:val="•"/>
      <w:lvlJc w:val="left"/>
      <w:pPr>
        <w:ind w:left="4623" w:hanging="432"/>
      </w:pPr>
      <w:rPr>
        <w:rFonts w:hint="default"/>
        <w:lang w:val="en-US" w:eastAsia="en-US" w:bidi="ar-SA"/>
      </w:rPr>
    </w:lvl>
    <w:lvl w:ilvl="8" w:tplc="2B28FDC6">
      <w:numFmt w:val="bullet"/>
      <w:lvlText w:val="•"/>
      <w:lvlJc w:val="left"/>
      <w:pPr>
        <w:ind w:left="5068" w:hanging="432"/>
      </w:pPr>
      <w:rPr>
        <w:rFonts w:hint="default"/>
        <w:lang w:val="en-US" w:eastAsia="en-US" w:bidi="ar-SA"/>
      </w:rPr>
    </w:lvl>
  </w:abstractNum>
  <w:abstractNum w:abstractNumId="29">
    <w:nsid w:val="62872DE2"/>
    <w:multiLevelType w:val="multilevel"/>
    <w:tmpl w:val="F54E5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78E0524"/>
    <w:multiLevelType w:val="hybridMultilevel"/>
    <w:tmpl w:val="B1B01A86"/>
    <w:lvl w:ilvl="0" w:tplc="AD72729E">
      <w:start w:val="1"/>
      <w:numFmt w:val="decimal"/>
      <w:lvlText w:val="%1)"/>
      <w:lvlJc w:val="left"/>
      <w:pPr>
        <w:ind w:left="432" w:hanging="267"/>
      </w:pPr>
      <w:rPr>
        <w:rFonts w:hint="default"/>
        <w:i/>
        <w:spacing w:val="0"/>
        <w:w w:val="99"/>
        <w:lang w:val="en-US" w:eastAsia="en-US" w:bidi="ar-SA"/>
      </w:rPr>
    </w:lvl>
    <w:lvl w:ilvl="1" w:tplc="7A628A66" w:tentative="1">
      <w:start w:val="1"/>
      <w:numFmt w:val="lowerLetter"/>
      <w:lvlText w:val="%2."/>
      <w:lvlJc w:val="left"/>
      <w:pPr>
        <w:ind w:left="1440" w:hanging="360"/>
      </w:pPr>
    </w:lvl>
    <w:lvl w:ilvl="2" w:tplc="DD549044" w:tentative="1">
      <w:start w:val="1"/>
      <w:numFmt w:val="lowerRoman"/>
      <w:lvlText w:val="%3."/>
      <w:lvlJc w:val="right"/>
      <w:pPr>
        <w:ind w:left="2160" w:hanging="180"/>
      </w:pPr>
    </w:lvl>
    <w:lvl w:ilvl="3" w:tplc="F8FECF6C" w:tentative="1">
      <w:start w:val="1"/>
      <w:numFmt w:val="decimal"/>
      <w:lvlText w:val="%4."/>
      <w:lvlJc w:val="left"/>
      <w:pPr>
        <w:ind w:left="2880" w:hanging="360"/>
      </w:pPr>
    </w:lvl>
    <w:lvl w:ilvl="4" w:tplc="19CAB0F8" w:tentative="1">
      <w:start w:val="1"/>
      <w:numFmt w:val="lowerLetter"/>
      <w:lvlText w:val="%5."/>
      <w:lvlJc w:val="left"/>
      <w:pPr>
        <w:ind w:left="3600" w:hanging="360"/>
      </w:pPr>
    </w:lvl>
    <w:lvl w:ilvl="5" w:tplc="A79E07EA" w:tentative="1">
      <w:start w:val="1"/>
      <w:numFmt w:val="lowerRoman"/>
      <w:lvlText w:val="%6."/>
      <w:lvlJc w:val="right"/>
      <w:pPr>
        <w:ind w:left="4320" w:hanging="180"/>
      </w:pPr>
    </w:lvl>
    <w:lvl w:ilvl="6" w:tplc="0B2E675A" w:tentative="1">
      <w:start w:val="1"/>
      <w:numFmt w:val="decimal"/>
      <w:lvlText w:val="%7."/>
      <w:lvlJc w:val="left"/>
      <w:pPr>
        <w:ind w:left="5040" w:hanging="360"/>
      </w:pPr>
    </w:lvl>
    <w:lvl w:ilvl="7" w:tplc="686C57F4" w:tentative="1">
      <w:start w:val="1"/>
      <w:numFmt w:val="lowerLetter"/>
      <w:lvlText w:val="%8."/>
      <w:lvlJc w:val="left"/>
      <w:pPr>
        <w:ind w:left="5760" w:hanging="360"/>
      </w:pPr>
    </w:lvl>
    <w:lvl w:ilvl="8" w:tplc="BD8E7C74" w:tentative="1">
      <w:start w:val="1"/>
      <w:numFmt w:val="lowerRoman"/>
      <w:lvlText w:val="%9."/>
      <w:lvlJc w:val="right"/>
      <w:pPr>
        <w:ind w:left="6480" w:hanging="180"/>
      </w:pPr>
    </w:lvl>
  </w:abstractNum>
  <w:abstractNum w:abstractNumId="31">
    <w:nsid w:val="68390FF2"/>
    <w:multiLevelType w:val="hybridMultilevel"/>
    <w:tmpl w:val="6BBED50C"/>
    <w:lvl w:ilvl="0" w:tplc="DAE89A0A">
      <w:start w:val="1"/>
      <w:numFmt w:val="upperLetter"/>
      <w:lvlText w:val="%1."/>
      <w:lvlJc w:val="left"/>
      <w:pPr>
        <w:ind w:left="430" w:hanging="289"/>
      </w:pPr>
      <w:rPr>
        <w:rFonts w:ascii="Times New Roman" w:eastAsia="Times New Roman" w:hAnsi="Times New Roman" w:cs="Times New Roman" w:hint="default"/>
        <w:b w:val="0"/>
        <w:bCs/>
        <w:i/>
        <w:spacing w:val="-1"/>
        <w:w w:val="99"/>
        <w:sz w:val="20"/>
        <w:szCs w:val="20"/>
        <w:lang w:val="en-US" w:eastAsia="en-US" w:bidi="ar-SA"/>
      </w:rPr>
    </w:lvl>
    <w:lvl w:ilvl="1" w:tplc="16EC9EA4">
      <w:start w:val="1"/>
      <w:numFmt w:val="decimal"/>
      <w:lvlText w:val="%2)"/>
      <w:lvlJc w:val="left"/>
      <w:pPr>
        <w:ind w:left="432" w:hanging="267"/>
      </w:pPr>
      <w:rPr>
        <w:rFonts w:hint="default"/>
        <w:i/>
        <w:spacing w:val="0"/>
        <w:w w:val="99"/>
        <w:lang w:val="en-US" w:eastAsia="en-US" w:bidi="ar-SA"/>
      </w:rPr>
    </w:lvl>
    <w:lvl w:ilvl="2" w:tplc="7948291A">
      <w:start w:val="1"/>
      <w:numFmt w:val="decimal"/>
      <w:lvlText w:val="%3)"/>
      <w:lvlJc w:val="left"/>
      <w:pPr>
        <w:ind w:left="693" w:hanging="267"/>
      </w:pPr>
      <w:rPr>
        <w:rFonts w:hint="default"/>
        <w:lang w:val="en-US" w:eastAsia="en-US" w:bidi="ar-SA"/>
      </w:rPr>
    </w:lvl>
    <w:lvl w:ilvl="3" w:tplc="2E2C97C4">
      <w:numFmt w:val="bullet"/>
      <w:lvlText w:val="•"/>
      <w:lvlJc w:val="left"/>
      <w:pPr>
        <w:ind w:left="1416" w:hanging="267"/>
      </w:pPr>
      <w:rPr>
        <w:rFonts w:hint="default"/>
        <w:lang w:val="en-US" w:eastAsia="en-US" w:bidi="ar-SA"/>
      </w:rPr>
    </w:lvl>
    <w:lvl w:ilvl="4" w:tplc="B2145098">
      <w:numFmt w:val="bullet"/>
      <w:lvlText w:val="•"/>
      <w:lvlJc w:val="left"/>
      <w:pPr>
        <w:ind w:left="1912" w:hanging="267"/>
      </w:pPr>
      <w:rPr>
        <w:rFonts w:hint="default"/>
        <w:lang w:val="en-US" w:eastAsia="en-US" w:bidi="ar-SA"/>
      </w:rPr>
    </w:lvl>
    <w:lvl w:ilvl="5" w:tplc="6666BDC6">
      <w:numFmt w:val="bullet"/>
      <w:lvlText w:val="•"/>
      <w:lvlJc w:val="left"/>
      <w:pPr>
        <w:ind w:left="2409" w:hanging="267"/>
      </w:pPr>
      <w:rPr>
        <w:rFonts w:hint="default"/>
        <w:lang w:val="en-US" w:eastAsia="en-US" w:bidi="ar-SA"/>
      </w:rPr>
    </w:lvl>
    <w:lvl w:ilvl="6" w:tplc="0F06ADF2">
      <w:numFmt w:val="bullet"/>
      <w:lvlText w:val="•"/>
      <w:lvlJc w:val="left"/>
      <w:pPr>
        <w:ind w:left="2906" w:hanging="267"/>
      </w:pPr>
      <w:rPr>
        <w:rFonts w:hint="default"/>
        <w:lang w:val="en-US" w:eastAsia="en-US" w:bidi="ar-SA"/>
      </w:rPr>
    </w:lvl>
    <w:lvl w:ilvl="7" w:tplc="9E5C9FEC">
      <w:numFmt w:val="bullet"/>
      <w:lvlText w:val="•"/>
      <w:lvlJc w:val="left"/>
      <w:pPr>
        <w:ind w:left="3402" w:hanging="267"/>
      </w:pPr>
      <w:rPr>
        <w:rFonts w:hint="default"/>
        <w:lang w:val="en-US" w:eastAsia="en-US" w:bidi="ar-SA"/>
      </w:rPr>
    </w:lvl>
    <w:lvl w:ilvl="8" w:tplc="BA9476AC">
      <w:numFmt w:val="bullet"/>
      <w:lvlText w:val="•"/>
      <w:lvlJc w:val="left"/>
      <w:pPr>
        <w:ind w:left="3899" w:hanging="267"/>
      </w:pPr>
      <w:rPr>
        <w:rFonts w:hint="default"/>
        <w:lang w:val="en-US" w:eastAsia="en-US" w:bidi="ar-SA"/>
      </w:rPr>
    </w:lvl>
  </w:abstractNum>
  <w:abstractNum w:abstractNumId="32">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3">
    <w:nsid w:val="6BFF563B"/>
    <w:multiLevelType w:val="hybridMultilevel"/>
    <w:tmpl w:val="CFD0D748"/>
    <w:lvl w:ilvl="0" w:tplc="0C3CDDF2">
      <w:start w:val="1"/>
      <w:numFmt w:val="decimal"/>
      <w:lvlText w:val="[%1]"/>
      <w:lvlJc w:val="left"/>
      <w:pPr>
        <w:ind w:left="450" w:hanging="432"/>
      </w:pPr>
      <w:rPr>
        <w:rFonts w:ascii="Times New Roman" w:eastAsia="Times New Roman" w:hAnsi="Times New Roman" w:cs="Times New Roman" w:hint="default"/>
        <w:spacing w:val="-2"/>
        <w:w w:val="100"/>
        <w:sz w:val="16"/>
        <w:szCs w:val="16"/>
        <w:lang w:val="en-US" w:eastAsia="en-US" w:bidi="ar-SA"/>
      </w:rPr>
    </w:lvl>
    <w:lvl w:ilvl="1" w:tplc="1E367650">
      <w:numFmt w:val="bullet"/>
      <w:lvlText w:val="•"/>
      <w:lvlJc w:val="left"/>
      <w:pPr>
        <w:ind w:left="738" w:hanging="432"/>
      </w:pPr>
      <w:rPr>
        <w:rFonts w:hint="default"/>
        <w:lang w:val="en-US" w:eastAsia="en-US" w:bidi="ar-SA"/>
      </w:rPr>
    </w:lvl>
    <w:lvl w:ilvl="2" w:tplc="6CFEB53C">
      <w:numFmt w:val="bullet"/>
      <w:lvlText w:val="•"/>
      <w:lvlJc w:val="left"/>
      <w:pPr>
        <w:ind w:left="1182" w:hanging="432"/>
      </w:pPr>
      <w:rPr>
        <w:rFonts w:hint="default"/>
        <w:lang w:val="en-US" w:eastAsia="en-US" w:bidi="ar-SA"/>
      </w:rPr>
    </w:lvl>
    <w:lvl w:ilvl="3" w:tplc="5464DBA4">
      <w:numFmt w:val="bullet"/>
      <w:lvlText w:val="•"/>
      <w:lvlJc w:val="left"/>
      <w:pPr>
        <w:ind w:left="1626" w:hanging="432"/>
      </w:pPr>
      <w:rPr>
        <w:rFonts w:hint="default"/>
        <w:lang w:val="en-US" w:eastAsia="en-US" w:bidi="ar-SA"/>
      </w:rPr>
    </w:lvl>
    <w:lvl w:ilvl="4" w:tplc="E3863A82">
      <w:numFmt w:val="bullet"/>
      <w:lvlText w:val="•"/>
      <w:lvlJc w:val="left"/>
      <w:pPr>
        <w:ind w:left="2071" w:hanging="432"/>
      </w:pPr>
      <w:rPr>
        <w:rFonts w:hint="default"/>
        <w:lang w:val="en-US" w:eastAsia="en-US" w:bidi="ar-SA"/>
      </w:rPr>
    </w:lvl>
    <w:lvl w:ilvl="5" w:tplc="1A50C012">
      <w:numFmt w:val="bullet"/>
      <w:lvlText w:val="•"/>
      <w:lvlJc w:val="left"/>
      <w:pPr>
        <w:ind w:left="2515" w:hanging="432"/>
      </w:pPr>
      <w:rPr>
        <w:rFonts w:hint="default"/>
        <w:lang w:val="en-US" w:eastAsia="en-US" w:bidi="ar-SA"/>
      </w:rPr>
    </w:lvl>
    <w:lvl w:ilvl="6" w:tplc="E424E7BA">
      <w:numFmt w:val="bullet"/>
      <w:lvlText w:val="•"/>
      <w:lvlJc w:val="left"/>
      <w:pPr>
        <w:ind w:left="2959" w:hanging="432"/>
      </w:pPr>
      <w:rPr>
        <w:rFonts w:hint="default"/>
        <w:lang w:val="en-US" w:eastAsia="en-US" w:bidi="ar-SA"/>
      </w:rPr>
    </w:lvl>
    <w:lvl w:ilvl="7" w:tplc="717E8BD6">
      <w:numFmt w:val="bullet"/>
      <w:lvlText w:val="•"/>
      <w:lvlJc w:val="left"/>
      <w:pPr>
        <w:ind w:left="3403" w:hanging="432"/>
      </w:pPr>
      <w:rPr>
        <w:rFonts w:hint="default"/>
        <w:lang w:val="en-US" w:eastAsia="en-US" w:bidi="ar-SA"/>
      </w:rPr>
    </w:lvl>
    <w:lvl w:ilvl="8" w:tplc="FC6EB24A">
      <w:numFmt w:val="bullet"/>
      <w:lvlText w:val="•"/>
      <w:lvlJc w:val="left"/>
      <w:pPr>
        <w:ind w:left="3848" w:hanging="432"/>
      </w:pPr>
      <w:rPr>
        <w:rFonts w:hint="default"/>
        <w:lang w:val="en-US" w:eastAsia="en-US" w:bidi="ar-SA"/>
      </w:rPr>
    </w:lvl>
  </w:abstractNum>
  <w:abstractNum w:abstractNumId="34">
    <w:nsid w:val="6E395A06"/>
    <w:multiLevelType w:val="hybridMultilevel"/>
    <w:tmpl w:val="845EA4EC"/>
    <w:lvl w:ilvl="0" w:tplc="626884FA">
      <w:start w:val="6"/>
      <w:numFmt w:val="decimal"/>
      <w:lvlText w:val="%1)"/>
      <w:lvlJc w:val="left"/>
      <w:pPr>
        <w:ind w:left="693" w:hanging="267"/>
      </w:pPr>
      <w:rPr>
        <w:rFonts w:hint="default"/>
        <w:b w:val="0"/>
      </w:rPr>
    </w:lvl>
    <w:lvl w:ilvl="1" w:tplc="FF6A3A40" w:tentative="1">
      <w:start w:val="1"/>
      <w:numFmt w:val="lowerLetter"/>
      <w:lvlText w:val="%2."/>
      <w:lvlJc w:val="left"/>
      <w:pPr>
        <w:ind w:left="1214" w:hanging="360"/>
      </w:pPr>
    </w:lvl>
    <w:lvl w:ilvl="2" w:tplc="0D6E9692" w:tentative="1">
      <w:start w:val="1"/>
      <w:numFmt w:val="lowerRoman"/>
      <w:lvlText w:val="%3."/>
      <w:lvlJc w:val="right"/>
      <w:pPr>
        <w:ind w:left="1934" w:hanging="180"/>
      </w:pPr>
    </w:lvl>
    <w:lvl w:ilvl="3" w:tplc="F23EE37C" w:tentative="1">
      <w:start w:val="1"/>
      <w:numFmt w:val="decimal"/>
      <w:lvlText w:val="%4."/>
      <w:lvlJc w:val="left"/>
      <w:pPr>
        <w:ind w:left="2654" w:hanging="360"/>
      </w:pPr>
    </w:lvl>
    <w:lvl w:ilvl="4" w:tplc="B1FC85E6" w:tentative="1">
      <w:start w:val="1"/>
      <w:numFmt w:val="lowerLetter"/>
      <w:lvlText w:val="%5."/>
      <w:lvlJc w:val="left"/>
      <w:pPr>
        <w:ind w:left="3374" w:hanging="360"/>
      </w:pPr>
    </w:lvl>
    <w:lvl w:ilvl="5" w:tplc="2A2E814C" w:tentative="1">
      <w:start w:val="1"/>
      <w:numFmt w:val="lowerRoman"/>
      <w:lvlText w:val="%6."/>
      <w:lvlJc w:val="right"/>
      <w:pPr>
        <w:ind w:left="4094" w:hanging="180"/>
      </w:pPr>
    </w:lvl>
    <w:lvl w:ilvl="6" w:tplc="E1E46EC2" w:tentative="1">
      <w:start w:val="1"/>
      <w:numFmt w:val="decimal"/>
      <w:lvlText w:val="%7."/>
      <w:lvlJc w:val="left"/>
      <w:pPr>
        <w:ind w:left="4814" w:hanging="360"/>
      </w:pPr>
    </w:lvl>
    <w:lvl w:ilvl="7" w:tplc="775462D4" w:tentative="1">
      <w:start w:val="1"/>
      <w:numFmt w:val="lowerLetter"/>
      <w:lvlText w:val="%8."/>
      <w:lvlJc w:val="left"/>
      <w:pPr>
        <w:ind w:left="5534" w:hanging="360"/>
      </w:pPr>
    </w:lvl>
    <w:lvl w:ilvl="8" w:tplc="B62E856E" w:tentative="1">
      <w:start w:val="1"/>
      <w:numFmt w:val="lowerRoman"/>
      <w:lvlText w:val="%9."/>
      <w:lvlJc w:val="right"/>
      <w:pPr>
        <w:ind w:left="6254" w:hanging="180"/>
      </w:pPr>
    </w:lvl>
  </w:abstractNum>
  <w:abstractNum w:abstractNumId="35">
    <w:nsid w:val="714073D4"/>
    <w:multiLevelType w:val="multilevel"/>
    <w:tmpl w:val="C124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131460"/>
    <w:multiLevelType w:val="hybridMultilevel"/>
    <w:tmpl w:val="CFB4DB8A"/>
    <w:lvl w:ilvl="0" w:tplc="C5EA5EA8">
      <w:start w:val="1"/>
      <w:numFmt w:val="decimal"/>
      <w:lvlText w:val="%1)"/>
      <w:lvlJc w:val="left"/>
      <w:pPr>
        <w:ind w:left="720" w:hanging="360"/>
      </w:pPr>
    </w:lvl>
    <w:lvl w:ilvl="1" w:tplc="EAC66672" w:tentative="1">
      <w:start w:val="1"/>
      <w:numFmt w:val="lowerLetter"/>
      <w:lvlText w:val="%2."/>
      <w:lvlJc w:val="left"/>
      <w:pPr>
        <w:ind w:left="1440" w:hanging="360"/>
      </w:pPr>
    </w:lvl>
    <w:lvl w:ilvl="2" w:tplc="8E6A2258" w:tentative="1">
      <w:start w:val="1"/>
      <w:numFmt w:val="lowerRoman"/>
      <w:lvlText w:val="%3."/>
      <w:lvlJc w:val="right"/>
      <w:pPr>
        <w:ind w:left="2160" w:hanging="180"/>
      </w:pPr>
    </w:lvl>
    <w:lvl w:ilvl="3" w:tplc="D6B22D7A" w:tentative="1">
      <w:start w:val="1"/>
      <w:numFmt w:val="decimal"/>
      <w:lvlText w:val="%4."/>
      <w:lvlJc w:val="left"/>
      <w:pPr>
        <w:ind w:left="2880" w:hanging="360"/>
      </w:pPr>
    </w:lvl>
    <w:lvl w:ilvl="4" w:tplc="0E460AEA" w:tentative="1">
      <w:start w:val="1"/>
      <w:numFmt w:val="lowerLetter"/>
      <w:lvlText w:val="%5."/>
      <w:lvlJc w:val="left"/>
      <w:pPr>
        <w:ind w:left="3600" w:hanging="360"/>
      </w:pPr>
    </w:lvl>
    <w:lvl w:ilvl="5" w:tplc="0A047C82" w:tentative="1">
      <w:start w:val="1"/>
      <w:numFmt w:val="lowerRoman"/>
      <w:lvlText w:val="%6."/>
      <w:lvlJc w:val="right"/>
      <w:pPr>
        <w:ind w:left="4320" w:hanging="180"/>
      </w:pPr>
    </w:lvl>
    <w:lvl w:ilvl="6" w:tplc="F4E0D652" w:tentative="1">
      <w:start w:val="1"/>
      <w:numFmt w:val="decimal"/>
      <w:lvlText w:val="%7."/>
      <w:lvlJc w:val="left"/>
      <w:pPr>
        <w:ind w:left="5040" w:hanging="360"/>
      </w:pPr>
    </w:lvl>
    <w:lvl w:ilvl="7" w:tplc="A7F4C93C" w:tentative="1">
      <w:start w:val="1"/>
      <w:numFmt w:val="lowerLetter"/>
      <w:lvlText w:val="%8."/>
      <w:lvlJc w:val="left"/>
      <w:pPr>
        <w:ind w:left="5760" w:hanging="360"/>
      </w:pPr>
    </w:lvl>
    <w:lvl w:ilvl="8" w:tplc="881AEFAC" w:tentative="1">
      <w:start w:val="1"/>
      <w:numFmt w:val="lowerRoman"/>
      <w:lvlText w:val="%9."/>
      <w:lvlJc w:val="right"/>
      <w:pPr>
        <w:ind w:left="6480" w:hanging="180"/>
      </w:pPr>
    </w:lvl>
  </w:abstractNum>
  <w:abstractNum w:abstractNumId="37">
    <w:nsid w:val="73060252"/>
    <w:multiLevelType w:val="hybridMultilevel"/>
    <w:tmpl w:val="B5680922"/>
    <w:lvl w:ilvl="0" w:tplc="AF4A5076">
      <w:start w:val="5"/>
      <w:numFmt w:val="decimal"/>
      <w:lvlText w:val="%1)"/>
      <w:lvlJc w:val="left"/>
      <w:pPr>
        <w:ind w:left="693" w:hanging="267"/>
      </w:pPr>
      <w:rPr>
        <w:rFonts w:hint="default"/>
        <w:b w:val="0"/>
        <w:bCs/>
        <w:i/>
        <w:spacing w:val="0"/>
        <w:w w:val="99"/>
      </w:rPr>
    </w:lvl>
    <w:lvl w:ilvl="1" w:tplc="447E1266" w:tentative="1">
      <w:start w:val="1"/>
      <w:numFmt w:val="lowerLetter"/>
      <w:lvlText w:val="%2."/>
      <w:lvlJc w:val="left"/>
      <w:pPr>
        <w:ind w:left="1214" w:hanging="360"/>
      </w:pPr>
    </w:lvl>
    <w:lvl w:ilvl="2" w:tplc="557E12A4" w:tentative="1">
      <w:start w:val="1"/>
      <w:numFmt w:val="lowerRoman"/>
      <w:lvlText w:val="%3."/>
      <w:lvlJc w:val="right"/>
      <w:pPr>
        <w:ind w:left="1934" w:hanging="180"/>
      </w:pPr>
    </w:lvl>
    <w:lvl w:ilvl="3" w:tplc="9D2AF400" w:tentative="1">
      <w:start w:val="1"/>
      <w:numFmt w:val="decimal"/>
      <w:lvlText w:val="%4."/>
      <w:lvlJc w:val="left"/>
      <w:pPr>
        <w:ind w:left="2654" w:hanging="360"/>
      </w:pPr>
    </w:lvl>
    <w:lvl w:ilvl="4" w:tplc="6BD087BA" w:tentative="1">
      <w:start w:val="1"/>
      <w:numFmt w:val="lowerLetter"/>
      <w:lvlText w:val="%5."/>
      <w:lvlJc w:val="left"/>
      <w:pPr>
        <w:ind w:left="3374" w:hanging="360"/>
      </w:pPr>
    </w:lvl>
    <w:lvl w:ilvl="5" w:tplc="4ECA1838" w:tentative="1">
      <w:start w:val="1"/>
      <w:numFmt w:val="lowerRoman"/>
      <w:lvlText w:val="%6."/>
      <w:lvlJc w:val="right"/>
      <w:pPr>
        <w:ind w:left="4094" w:hanging="180"/>
      </w:pPr>
    </w:lvl>
    <w:lvl w:ilvl="6" w:tplc="59D49F86" w:tentative="1">
      <w:start w:val="1"/>
      <w:numFmt w:val="decimal"/>
      <w:lvlText w:val="%7."/>
      <w:lvlJc w:val="left"/>
      <w:pPr>
        <w:ind w:left="4814" w:hanging="360"/>
      </w:pPr>
    </w:lvl>
    <w:lvl w:ilvl="7" w:tplc="64EC3EFE" w:tentative="1">
      <w:start w:val="1"/>
      <w:numFmt w:val="lowerLetter"/>
      <w:lvlText w:val="%8."/>
      <w:lvlJc w:val="left"/>
      <w:pPr>
        <w:ind w:left="5534" w:hanging="360"/>
      </w:pPr>
    </w:lvl>
    <w:lvl w:ilvl="8" w:tplc="1B0AC8F8" w:tentative="1">
      <w:start w:val="1"/>
      <w:numFmt w:val="lowerRoman"/>
      <w:lvlText w:val="%9."/>
      <w:lvlJc w:val="right"/>
      <w:pPr>
        <w:ind w:left="6254" w:hanging="180"/>
      </w:pPr>
    </w:lvl>
  </w:abstractNum>
  <w:abstractNum w:abstractNumId="38">
    <w:nsid w:val="752B3BAE"/>
    <w:multiLevelType w:val="hybridMultilevel"/>
    <w:tmpl w:val="7D84CC48"/>
    <w:lvl w:ilvl="0" w:tplc="74461016">
      <w:start w:val="1"/>
      <w:numFmt w:val="decimal"/>
      <w:lvlText w:val="%1)"/>
      <w:lvlJc w:val="left"/>
      <w:pPr>
        <w:ind w:left="1118" w:hanging="267"/>
      </w:pPr>
      <w:rPr>
        <w:rFonts w:hint="default"/>
        <w:i/>
        <w:spacing w:val="0"/>
        <w:w w:val="99"/>
        <w:lang w:val="en-US" w:eastAsia="en-US" w:bidi="ar-SA"/>
      </w:rPr>
    </w:lvl>
    <w:lvl w:ilvl="1" w:tplc="95BE255A" w:tentative="1">
      <w:start w:val="1"/>
      <w:numFmt w:val="lowerLetter"/>
      <w:lvlText w:val="%2."/>
      <w:lvlJc w:val="left"/>
      <w:pPr>
        <w:ind w:left="2126" w:hanging="360"/>
      </w:pPr>
    </w:lvl>
    <w:lvl w:ilvl="2" w:tplc="4490DDC0" w:tentative="1">
      <w:start w:val="1"/>
      <w:numFmt w:val="lowerRoman"/>
      <w:lvlText w:val="%3."/>
      <w:lvlJc w:val="right"/>
      <w:pPr>
        <w:ind w:left="2846" w:hanging="180"/>
      </w:pPr>
    </w:lvl>
    <w:lvl w:ilvl="3" w:tplc="B95CB4B6" w:tentative="1">
      <w:start w:val="1"/>
      <w:numFmt w:val="decimal"/>
      <w:lvlText w:val="%4."/>
      <w:lvlJc w:val="left"/>
      <w:pPr>
        <w:ind w:left="3566" w:hanging="360"/>
      </w:pPr>
    </w:lvl>
    <w:lvl w:ilvl="4" w:tplc="59EE94F8" w:tentative="1">
      <w:start w:val="1"/>
      <w:numFmt w:val="lowerLetter"/>
      <w:lvlText w:val="%5."/>
      <w:lvlJc w:val="left"/>
      <w:pPr>
        <w:ind w:left="4286" w:hanging="360"/>
      </w:pPr>
    </w:lvl>
    <w:lvl w:ilvl="5" w:tplc="88BC03A8" w:tentative="1">
      <w:start w:val="1"/>
      <w:numFmt w:val="lowerRoman"/>
      <w:lvlText w:val="%6."/>
      <w:lvlJc w:val="right"/>
      <w:pPr>
        <w:ind w:left="5006" w:hanging="180"/>
      </w:pPr>
    </w:lvl>
    <w:lvl w:ilvl="6" w:tplc="963624D2" w:tentative="1">
      <w:start w:val="1"/>
      <w:numFmt w:val="decimal"/>
      <w:lvlText w:val="%7."/>
      <w:lvlJc w:val="left"/>
      <w:pPr>
        <w:ind w:left="5726" w:hanging="360"/>
      </w:pPr>
    </w:lvl>
    <w:lvl w:ilvl="7" w:tplc="0F965C54" w:tentative="1">
      <w:start w:val="1"/>
      <w:numFmt w:val="lowerLetter"/>
      <w:lvlText w:val="%8."/>
      <w:lvlJc w:val="left"/>
      <w:pPr>
        <w:ind w:left="6446" w:hanging="360"/>
      </w:pPr>
    </w:lvl>
    <w:lvl w:ilvl="8" w:tplc="7436A8E4" w:tentative="1">
      <w:start w:val="1"/>
      <w:numFmt w:val="lowerRoman"/>
      <w:lvlText w:val="%9."/>
      <w:lvlJc w:val="right"/>
      <w:pPr>
        <w:ind w:left="7166" w:hanging="180"/>
      </w:pPr>
    </w:lvl>
  </w:abstractNum>
  <w:abstractNum w:abstractNumId="39">
    <w:nsid w:val="76A7252D"/>
    <w:multiLevelType w:val="multilevel"/>
    <w:tmpl w:val="EF16A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82758E"/>
    <w:multiLevelType w:val="multilevel"/>
    <w:tmpl w:val="4B161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32"/>
  </w:num>
  <w:num w:numId="3">
    <w:abstractNumId w:val="23"/>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4"/>
  </w:num>
  <w:num w:numId="7">
    <w:abstractNumId w:val="0"/>
  </w:num>
  <w:num w:numId="8">
    <w:abstractNumId w:val="13"/>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30"/>
  </w:num>
  <w:num w:numId="14">
    <w:abstractNumId w:val="38"/>
  </w:num>
  <w:num w:numId="15">
    <w:abstractNumId w:val="10"/>
  </w:num>
  <w:num w:numId="16">
    <w:abstractNumId w:val="37"/>
  </w:num>
  <w:num w:numId="17">
    <w:abstractNumId w:val="34"/>
  </w:num>
  <w:num w:numId="18">
    <w:abstractNumId w:val="16"/>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33"/>
  </w:num>
  <w:num w:numId="22">
    <w:abstractNumId w:val="9"/>
  </w:num>
  <w:num w:numId="23">
    <w:abstractNumId w:val="17"/>
  </w:num>
  <w:num w:numId="24">
    <w:abstractNumId w:val="7"/>
  </w:num>
  <w:num w:numId="25">
    <w:abstractNumId w:val="36"/>
  </w:num>
  <w:num w:numId="26">
    <w:abstractNumId w:val="18"/>
  </w:num>
  <w:num w:numId="27">
    <w:abstractNumId w:val="31"/>
  </w:num>
  <w:num w:numId="28">
    <w:abstractNumId w:val="11"/>
  </w:num>
  <w:num w:numId="29">
    <w:abstractNumId w:val="35"/>
  </w:num>
  <w:num w:numId="30">
    <w:abstractNumId w:val="15"/>
  </w:num>
  <w:num w:numId="31">
    <w:abstractNumId w:val="22"/>
  </w:num>
  <w:num w:numId="32">
    <w:abstractNumId w:val="39"/>
  </w:num>
  <w:num w:numId="33">
    <w:abstractNumId w:val="24"/>
  </w:num>
  <w:num w:numId="34">
    <w:abstractNumId w:val="12"/>
  </w:num>
  <w:num w:numId="35">
    <w:abstractNumId w:val="1"/>
  </w:num>
  <w:num w:numId="36">
    <w:abstractNumId w:val="29"/>
  </w:num>
  <w:num w:numId="37">
    <w:abstractNumId w:val="40"/>
  </w:num>
  <w:num w:numId="38">
    <w:abstractNumId w:val="8"/>
  </w:num>
  <w:num w:numId="39">
    <w:abstractNumId w:val="19"/>
  </w:num>
  <w:num w:numId="40">
    <w:abstractNumId w:val="6"/>
  </w:num>
  <w:num w:numId="41">
    <w:abstractNumId w:val="5"/>
  </w:num>
  <w:num w:numId="42">
    <w:abstractNumId w:val="26"/>
  </w:num>
  <w:num w:numId="43">
    <w:abstractNumId w:val="3"/>
  </w:num>
  <w:num w:numId="44">
    <w:abstractNumId w:val="27"/>
  </w:num>
  <w:num w:numId="45">
    <w:abstractNumId w:val="2"/>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FBB"/>
    <w:rsid w:val="000002E1"/>
    <w:rsid w:val="000005FC"/>
    <w:rsid w:val="00001DFE"/>
    <w:rsid w:val="00017719"/>
    <w:rsid w:val="000279F8"/>
    <w:rsid w:val="00027F1D"/>
    <w:rsid w:val="0003296C"/>
    <w:rsid w:val="000357CA"/>
    <w:rsid w:val="0005324E"/>
    <w:rsid w:val="00054421"/>
    <w:rsid w:val="00062E46"/>
    <w:rsid w:val="000674ED"/>
    <w:rsid w:val="000745E1"/>
    <w:rsid w:val="00074AC8"/>
    <w:rsid w:val="00075DD7"/>
    <w:rsid w:val="00081408"/>
    <w:rsid w:val="00081EBE"/>
    <w:rsid w:val="00086EDC"/>
    <w:rsid w:val="000A2F8B"/>
    <w:rsid w:val="000B1598"/>
    <w:rsid w:val="000B36A3"/>
    <w:rsid w:val="000B5668"/>
    <w:rsid w:val="000B7E54"/>
    <w:rsid w:val="000C013C"/>
    <w:rsid w:val="000C22A6"/>
    <w:rsid w:val="000C3AA1"/>
    <w:rsid w:val="000C7AEE"/>
    <w:rsid w:val="000D6948"/>
    <w:rsid w:val="000E3548"/>
    <w:rsid w:val="000E3F84"/>
    <w:rsid w:val="001010A4"/>
    <w:rsid w:val="001016A1"/>
    <w:rsid w:val="0010262E"/>
    <w:rsid w:val="001056DF"/>
    <w:rsid w:val="00106428"/>
    <w:rsid w:val="00114025"/>
    <w:rsid w:val="001160D2"/>
    <w:rsid w:val="00120C25"/>
    <w:rsid w:val="001348A5"/>
    <w:rsid w:val="00151B8E"/>
    <w:rsid w:val="00156B17"/>
    <w:rsid w:val="001602D7"/>
    <w:rsid w:val="00161835"/>
    <w:rsid w:val="0017634B"/>
    <w:rsid w:val="0018203E"/>
    <w:rsid w:val="001928FB"/>
    <w:rsid w:val="00192A6D"/>
    <w:rsid w:val="00192BC7"/>
    <w:rsid w:val="001937B1"/>
    <w:rsid w:val="001A2508"/>
    <w:rsid w:val="001A50EA"/>
    <w:rsid w:val="001B039B"/>
    <w:rsid w:val="001B4E92"/>
    <w:rsid w:val="001C6E7C"/>
    <w:rsid w:val="001E1E80"/>
    <w:rsid w:val="001F16CD"/>
    <w:rsid w:val="001F47D2"/>
    <w:rsid w:val="001F7132"/>
    <w:rsid w:val="001F758F"/>
    <w:rsid w:val="00215FAB"/>
    <w:rsid w:val="00221B9A"/>
    <w:rsid w:val="0022285A"/>
    <w:rsid w:val="00224C61"/>
    <w:rsid w:val="00226C88"/>
    <w:rsid w:val="00234A75"/>
    <w:rsid w:val="002360A1"/>
    <w:rsid w:val="002528AC"/>
    <w:rsid w:val="0026565E"/>
    <w:rsid w:val="0027227B"/>
    <w:rsid w:val="00273AC7"/>
    <w:rsid w:val="00273BF8"/>
    <w:rsid w:val="00273D2C"/>
    <w:rsid w:val="00285ECD"/>
    <w:rsid w:val="00290C58"/>
    <w:rsid w:val="00290E1B"/>
    <w:rsid w:val="00291B17"/>
    <w:rsid w:val="00291BA3"/>
    <w:rsid w:val="00291DAB"/>
    <w:rsid w:val="002966D8"/>
    <w:rsid w:val="002A0168"/>
    <w:rsid w:val="002A6742"/>
    <w:rsid w:val="002C1A7F"/>
    <w:rsid w:val="002C4239"/>
    <w:rsid w:val="002C559D"/>
    <w:rsid w:val="002D2D42"/>
    <w:rsid w:val="002D38A3"/>
    <w:rsid w:val="002D6671"/>
    <w:rsid w:val="002F72D0"/>
    <w:rsid w:val="003003AB"/>
    <w:rsid w:val="003100F7"/>
    <w:rsid w:val="00311C49"/>
    <w:rsid w:val="0032119E"/>
    <w:rsid w:val="00321304"/>
    <w:rsid w:val="00323634"/>
    <w:rsid w:val="00331543"/>
    <w:rsid w:val="00331F84"/>
    <w:rsid w:val="00333162"/>
    <w:rsid w:val="00344A9E"/>
    <w:rsid w:val="00361B62"/>
    <w:rsid w:val="003820EE"/>
    <w:rsid w:val="00382BF5"/>
    <w:rsid w:val="003950A4"/>
    <w:rsid w:val="003D3863"/>
    <w:rsid w:val="003D38D1"/>
    <w:rsid w:val="003E3577"/>
    <w:rsid w:val="003F3A61"/>
    <w:rsid w:val="003F48BC"/>
    <w:rsid w:val="00410A5D"/>
    <w:rsid w:val="00414909"/>
    <w:rsid w:val="004217D4"/>
    <w:rsid w:val="00425A6A"/>
    <w:rsid w:val="004267D5"/>
    <w:rsid w:val="00426FBB"/>
    <w:rsid w:val="00427F8D"/>
    <w:rsid w:val="00450E21"/>
    <w:rsid w:val="004568B4"/>
    <w:rsid w:val="00466C8F"/>
    <w:rsid w:val="0047429A"/>
    <w:rsid w:val="0048374C"/>
    <w:rsid w:val="0048771D"/>
    <w:rsid w:val="00493A77"/>
    <w:rsid w:val="004A254E"/>
    <w:rsid w:val="004A6605"/>
    <w:rsid w:val="004B5ADD"/>
    <w:rsid w:val="004B7B15"/>
    <w:rsid w:val="004C45FA"/>
    <w:rsid w:val="004D21B3"/>
    <w:rsid w:val="004D3745"/>
    <w:rsid w:val="004E1BD8"/>
    <w:rsid w:val="004E452A"/>
    <w:rsid w:val="004E48CD"/>
    <w:rsid w:val="004E4DD5"/>
    <w:rsid w:val="004E78E3"/>
    <w:rsid w:val="005004BF"/>
    <w:rsid w:val="00502E89"/>
    <w:rsid w:val="00510E95"/>
    <w:rsid w:val="00511656"/>
    <w:rsid w:val="00520685"/>
    <w:rsid w:val="00525FD2"/>
    <w:rsid w:val="00527D56"/>
    <w:rsid w:val="0053221F"/>
    <w:rsid w:val="00536FAE"/>
    <w:rsid w:val="00542C85"/>
    <w:rsid w:val="00553510"/>
    <w:rsid w:val="00554186"/>
    <w:rsid w:val="00571DA6"/>
    <w:rsid w:val="00585769"/>
    <w:rsid w:val="00591130"/>
    <w:rsid w:val="005A3F28"/>
    <w:rsid w:val="005A40BE"/>
    <w:rsid w:val="005B13E2"/>
    <w:rsid w:val="005B47D7"/>
    <w:rsid w:val="005B66E3"/>
    <w:rsid w:val="005B7A07"/>
    <w:rsid w:val="005C5526"/>
    <w:rsid w:val="005C62C6"/>
    <w:rsid w:val="005D12DE"/>
    <w:rsid w:val="005D7B9E"/>
    <w:rsid w:val="005E1602"/>
    <w:rsid w:val="005E3524"/>
    <w:rsid w:val="005E4187"/>
    <w:rsid w:val="005E491D"/>
    <w:rsid w:val="005E68FF"/>
    <w:rsid w:val="005F0834"/>
    <w:rsid w:val="005F6DC3"/>
    <w:rsid w:val="00601A8E"/>
    <w:rsid w:val="0060485B"/>
    <w:rsid w:val="0061467B"/>
    <w:rsid w:val="00616CE4"/>
    <w:rsid w:val="00616D2D"/>
    <w:rsid w:val="0062033E"/>
    <w:rsid w:val="00624482"/>
    <w:rsid w:val="006254E2"/>
    <w:rsid w:val="00634CBC"/>
    <w:rsid w:val="00635C40"/>
    <w:rsid w:val="0064307E"/>
    <w:rsid w:val="0064799C"/>
    <w:rsid w:val="00654156"/>
    <w:rsid w:val="0067314D"/>
    <w:rsid w:val="00690558"/>
    <w:rsid w:val="006B1EBD"/>
    <w:rsid w:val="006B390C"/>
    <w:rsid w:val="006B47CA"/>
    <w:rsid w:val="006C7AAA"/>
    <w:rsid w:val="006D067B"/>
    <w:rsid w:val="006D1C2A"/>
    <w:rsid w:val="006D264F"/>
    <w:rsid w:val="006E2A8D"/>
    <w:rsid w:val="006E7574"/>
    <w:rsid w:val="006E7C5D"/>
    <w:rsid w:val="00703430"/>
    <w:rsid w:val="007069BE"/>
    <w:rsid w:val="00717D2A"/>
    <w:rsid w:val="007420B2"/>
    <w:rsid w:val="00745C86"/>
    <w:rsid w:val="00754FC5"/>
    <w:rsid w:val="0075698B"/>
    <w:rsid w:val="0076204C"/>
    <w:rsid w:val="00762D1B"/>
    <w:rsid w:val="00764603"/>
    <w:rsid w:val="0076604D"/>
    <w:rsid w:val="0077630E"/>
    <w:rsid w:val="007827AB"/>
    <w:rsid w:val="00790909"/>
    <w:rsid w:val="007B5A07"/>
    <w:rsid w:val="007D3E71"/>
    <w:rsid w:val="007E2A1B"/>
    <w:rsid w:val="007E5571"/>
    <w:rsid w:val="007E5D6A"/>
    <w:rsid w:val="007E645D"/>
    <w:rsid w:val="007F75CA"/>
    <w:rsid w:val="00807640"/>
    <w:rsid w:val="00814903"/>
    <w:rsid w:val="00821E08"/>
    <w:rsid w:val="00831261"/>
    <w:rsid w:val="00832C6C"/>
    <w:rsid w:val="00834EFD"/>
    <w:rsid w:val="0083628F"/>
    <w:rsid w:val="00843C58"/>
    <w:rsid w:val="00844B24"/>
    <w:rsid w:val="0084515F"/>
    <w:rsid w:val="00847FAC"/>
    <w:rsid w:val="0085092D"/>
    <w:rsid w:val="00877C7D"/>
    <w:rsid w:val="00877D4C"/>
    <w:rsid w:val="0089763B"/>
    <w:rsid w:val="008A70F6"/>
    <w:rsid w:val="008B5734"/>
    <w:rsid w:val="008B6AE3"/>
    <w:rsid w:val="008D01BF"/>
    <w:rsid w:val="008D0F6F"/>
    <w:rsid w:val="008D1045"/>
    <w:rsid w:val="008E4ED9"/>
    <w:rsid w:val="008E5996"/>
    <w:rsid w:val="008F2925"/>
    <w:rsid w:val="009008D4"/>
    <w:rsid w:val="00901AE1"/>
    <w:rsid w:val="00902ECF"/>
    <w:rsid w:val="00913959"/>
    <w:rsid w:val="00915492"/>
    <w:rsid w:val="009205B4"/>
    <w:rsid w:val="00921405"/>
    <w:rsid w:val="00933818"/>
    <w:rsid w:val="00942497"/>
    <w:rsid w:val="0094723E"/>
    <w:rsid w:val="00955B59"/>
    <w:rsid w:val="00964828"/>
    <w:rsid w:val="00966182"/>
    <w:rsid w:val="00972202"/>
    <w:rsid w:val="009770A3"/>
    <w:rsid w:val="00992262"/>
    <w:rsid w:val="009926BC"/>
    <w:rsid w:val="009A4319"/>
    <w:rsid w:val="009A6C3F"/>
    <w:rsid w:val="009B27C3"/>
    <w:rsid w:val="009B73F2"/>
    <w:rsid w:val="009C12BD"/>
    <w:rsid w:val="009C50FE"/>
    <w:rsid w:val="009D3F64"/>
    <w:rsid w:val="009D5BE5"/>
    <w:rsid w:val="009E405F"/>
    <w:rsid w:val="009E4111"/>
    <w:rsid w:val="009F07D9"/>
    <w:rsid w:val="009F62B8"/>
    <w:rsid w:val="00A01A13"/>
    <w:rsid w:val="00A027AA"/>
    <w:rsid w:val="00A03E75"/>
    <w:rsid w:val="00A32FAF"/>
    <w:rsid w:val="00A44864"/>
    <w:rsid w:val="00A453CF"/>
    <w:rsid w:val="00A45FCE"/>
    <w:rsid w:val="00A625A9"/>
    <w:rsid w:val="00A73DFC"/>
    <w:rsid w:val="00A75671"/>
    <w:rsid w:val="00A765D4"/>
    <w:rsid w:val="00A773CC"/>
    <w:rsid w:val="00A9318B"/>
    <w:rsid w:val="00A94AC1"/>
    <w:rsid w:val="00AA1878"/>
    <w:rsid w:val="00AA5ABC"/>
    <w:rsid w:val="00AB18B7"/>
    <w:rsid w:val="00AB783A"/>
    <w:rsid w:val="00AD335D"/>
    <w:rsid w:val="00AD494A"/>
    <w:rsid w:val="00AD6688"/>
    <w:rsid w:val="00AD7692"/>
    <w:rsid w:val="00AE417A"/>
    <w:rsid w:val="00AF792B"/>
    <w:rsid w:val="00B011F0"/>
    <w:rsid w:val="00B07B3D"/>
    <w:rsid w:val="00B11A3C"/>
    <w:rsid w:val="00B15359"/>
    <w:rsid w:val="00B16780"/>
    <w:rsid w:val="00B21ED4"/>
    <w:rsid w:val="00B227AF"/>
    <w:rsid w:val="00B22ECB"/>
    <w:rsid w:val="00B23B93"/>
    <w:rsid w:val="00B271C0"/>
    <w:rsid w:val="00B30DFB"/>
    <w:rsid w:val="00B35B2C"/>
    <w:rsid w:val="00B35B78"/>
    <w:rsid w:val="00B55D5E"/>
    <w:rsid w:val="00B607A4"/>
    <w:rsid w:val="00B64255"/>
    <w:rsid w:val="00B64C40"/>
    <w:rsid w:val="00B7323D"/>
    <w:rsid w:val="00B9204D"/>
    <w:rsid w:val="00B94516"/>
    <w:rsid w:val="00BA54E0"/>
    <w:rsid w:val="00BB2855"/>
    <w:rsid w:val="00BB4D47"/>
    <w:rsid w:val="00BB558C"/>
    <w:rsid w:val="00BD19C1"/>
    <w:rsid w:val="00BD25B8"/>
    <w:rsid w:val="00BF6100"/>
    <w:rsid w:val="00C012E1"/>
    <w:rsid w:val="00C0641F"/>
    <w:rsid w:val="00C06BB4"/>
    <w:rsid w:val="00C10D20"/>
    <w:rsid w:val="00C12E0C"/>
    <w:rsid w:val="00C17A29"/>
    <w:rsid w:val="00C21916"/>
    <w:rsid w:val="00C22F9A"/>
    <w:rsid w:val="00C361C5"/>
    <w:rsid w:val="00C457CA"/>
    <w:rsid w:val="00C52125"/>
    <w:rsid w:val="00C52F98"/>
    <w:rsid w:val="00C57FB7"/>
    <w:rsid w:val="00C63360"/>
    <w:rsid w:val="00C65F3F"/>
    <w:rsid w:val="00C72414"/>
    <w:rsid w:val="00C8667B"/>
    <w:rsid w:val="00C90766"/>
    <w:rsid w:val="00C941E3"/>
    <w:rsid w:val="00CA388D"/>
    <w:rsid w:val="00CA4CE3"/>
    <w:rsid w:val="00CB6928"/>
    <w:rsid w:val="00CD4F3F"/>
    <w:rsid w:val="00CD6FCB"/>
    <w:rsid w:val="00CE0D88"/>
    <w:rsid w:val="00CE4A6A"/>
    <w:rsid w:val="00CF2D95"/>
    <w:rsid w:val="00CF7642"/>
    <w:rsid w:val="00D00654"/>
    <w:rsid w:val="00D01E44"/>
    <w:rsid w:val="00D05D7E"/>
    <w:rsid w:val="00D067A0"/>
    <w:rsid w:val="00D163AB"/>
    <w:rsid w:val="00D2572E"/>
    <w:rsid w:val="00D311F8"/>
    <w:rsid w:val="00D342A3"/>
    <w:rsid w:val="00D36B52"/>
    <w:rsid w:val="00D377C8"/>
    <w:rsid w:val="00D41274"/>
    <w:rsid w:val="00D43351"/>
    <w:rsid w:val="00D43BF3"/>
    <w:rsid w:val="00D536F4"/>
    <w:rsid w:val="00D60B22"/>
    <w:rsid w:val="00D6716E"/>
    <w:rsid w:val="00D767BB"/>
    <w:rsid w:val="00D8449C"/>
    <w:rsid w:val="00D939B0"/>
    <w:rsid w:val="00DB0CCA"/>
    <w:rsid w:val="00DB16E0"/>
    <w:rsid w:val="00DB2DF9"/>
    <w:rsid w:val="00DB3A62"/>
    <w:rsid w:val="00DB7E63"/>
    <w:rsid w:val="00DC2055"/>
    <w:rsid w:val="00DC2AE2"/>
    <w:rsid w:val="00DC6B27"/>
    <w:rsid w:val="00DC796C"/>
    <w:rsid w:val="00DD71E8"/>
    <w:rsid w:val="00DD7F83"/>
    <w:rsid w:val="00DE13BC"/>
    <w:rsid w:val="00DF4674"/>
    <w:rsid w:val="00DF58BA"/>
    <w:rsid w:val="00E00491"/>
    <w:rsid w:val="00E0641E"/>
    <w:rsid w:val="00E06664"/>
    <w:rsid w:val="00E06C27"/>
    <w:rsid w:val="00E074E2"/>
    <w:rsid w:val="00E22C0E"/>
    <w:rsid w:val="00E27016"/>
    <w:rsid w:val="00E27B83"/>
    <w:rsid w:val="00E304BC"/>
    <w:rsid w:val="00E32853"/>
    <w:rsid w:val="00E4017B"/>
    <w:rsid w:val="00E401F8"/>
    <w:rsid w:val="00E42AB0"/>
    <w:rsid w:val="00E43628"/>
    <w:rsid w:val="00E46425"/>
    <w:rsid w:val="00E47D0E"/>
    <w:rsid w:val="00E61DB9"/>
    <w:rsid w:val="00E65018"/>
    <w:rsid w:val="00E75019"/>
    <w:rsid w:val="00E8667E"/>
    <w:rsid w:val="00E94339"/>
    <w:rsid w:val="00E97563"/>
    <w:rsid w:val="00EB0B63"/>
    <w:rsid w:val="00EB130D"/>
    <w:rsid w:val="00EC265C"/>
    <w:rsid w:val="00EC72F8"/>
    <w:rsid w:val="00ED61CB"/>
    <w:rsid w:val="00F04AB3"/>
    <w:rsid w:val="00F06A72"/>
    <w:rsid w:val="00F114B5"/>
    <w:rsid w:val="00F12E79"/>
    <w:rsid w:val="00F136F0"/>
    <w:rsid w:val="00F140FB"/>
    <w:rsid w:val="00F20BBB"/>
    <w:rsid w:val="00F43BD8"/>
    <w:rsid w:val="00F562F3"/>
    <w:rsid w:val="00F74B89"/>
    <w:rsid w:val="00F75133"/>
    <w:rsid w:val="00F760CA"/>
    <w:rsid w:val="00F854B4"/>
    <w:rsid w:val="00F86D4D"/>
    <w:rsid w:val="00FA3899"/>
    <w:rsid w:val="00FA4909"/>
    <w:rsid w:val="00FA4A19"/>
    <w:rsid w:val="00FA6751"/>
    <w:rsid w:val="00FB1048"/>
    <w:rsid w:val="00FB5A8B"/>
    <w:rsid w:val="00FB62C4"/>
    <w:rsid w:val="00FB6394"/>
    <w:rsid w:val="00FB7701"/>
    <w:rsid w:val="00FC72D4"/>
    <w:rsid w:val="00FD1AC5"/>
    <w:rsid w:val="00FD1FF4"/>
    <w:rsid w:val="00FD2C6C"/>
    <w:rsid w:val="00FD30EE"/>
    <w:rsid w:val="00FD5CF0"/>
    <w:rsid w:val="00FF4C2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B6AD0F4-4052-4C4A-9DA6-A75960EFE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6D8"/>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7AEE"/>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AA1878"/>
    <w:pPr>
      <w:adjustRightInd w:val="0"/>
      <w:snapToGrid w:val="0"/>
      <w:ind w:firstLine="216"/>
      <w:jc w:val="both"/>
    </w:pPr>
    <w:rPr>
      <w:b/>
      <w:sz w:val="18"/>
      <w:lang w:val="en-GB" w:eastAsia="en-GB"/>
    </w:rPr>
  </w:style>
  <w:style w:type="character" w:customStyle="1" w:styleId="IEEEAbtractChar">
    <w:name w:val="IEEE Abtract Char"/>
    <w:link w:val="IEEEAbtract"/>
    <w:rsid w:val="00AA1878"/>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rFonts w:eastAsia="SimSun"/>
      <w:i/>
      <w:szCs w:val="24"/>
      <w:lang w:val="en-AU" w:eastAsia="zh-CN" w:bidi="ar-SA"/>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0C7AEE"/>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styleId="FollowedHyperlink">
    <w:name w:val="FollowedHyperlink"/>
    <w:rsid w:val="001B4E92"/>
    <w:rPr>
      <w:color w:val="800080"/>
      <w:u w:val="single"/>
    </w:rPr>
  </w:style>
  <w:style w:type="paragraph" w:styleId="BalloonText">
    <w:name w:val="Balloon Text"/>
    <w:basedOn w:val="Normal"/>
    <w:link w:val="BalloonTextChar"/>
    <w:rsid w:val="00717D2A"/>
    <w:rPr>
      <w:rFonts w:ascii="Tahoma" w:hAnsi="Tahoma" w:cs="Tahoma"/>
      <w:sz w:val="16"/>
      <w:szCs w:val="16"/>
    </w:rPr>
  </w:style>
  <w:style w:type="character" w:customStyle="1" w:styleId="BalloonTextChar">
    <w:name w:val="Balloon Text Char"/>
    <w:link w:val="BalloonText"/>
    <w:rsid w:val="00717D2A"/>
    <w:rPr>
      <w:rFonts w:ascii="Tahoma" w:hAnsi="Tahoma" w:cs="Tahoma"/>
      <w:sz w:val="16"/>
      <w:szCs w:val="16"/>
      <w:lang w:val="en-AU" w:eastAsia="zh-CN"/>
    </w:rPr>
  </w:style>
  <w:style w:type="table" w:customStyle="1" w:styleId="Calendar2">
    <w:name w:val="Calendar 2"/>
    <w:basedOn w:val="TableNormal"/>
    <w:uiPriority w:val="99"/>
    <w:qFormat/>
    <w:rsid w:val="00616D2D"/>
    <w:pPr>
      <w:jc w:val="center"/>
    </w:pPr>
    <w:rPr>
      <w:rFonts w:ascii="Calibri" w:eastAsia="Times New Roman" w:hAnsi="Calibri"/>
      <w:sz w:val="28"/>
      <w:szCs w:val="28"/>
      <w:lang w:val="en-US" w:eastAsia="en-US"/>
    </w:rPr>
    <w:tblPr>
      <w:tblInd w:w="0" w:type="dxa"/>
      <w:tblBorders>
        <w:insideV w:val="single" w:sz="4" w:space="0" w:color="9CC2E5"/>
      </w:tblBorders>
      <w:tblCellMar>
        <w:top w:w="0" w:type="dxa"/>
        <w:left w:w="108" w:type="dxa"/>
        <w:bottom w:w="0" w:type="dxa"/>
        <w:right w:w="108" w:type="dxa"/>
      </w:tblCellMar>
    </w:tblPr>
    <w:tblStylePr w:type="firstRow">
      <w:rPr>
        <w:rFonts w:ascii="Times New Roman" w:hAnsi="Times New Roman"/>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C90766"/>
    <w:pPr>
      <w:autoSpaceDE w:val="0"/>
      <w:autoSpaceDN w:val="0"/>
      <w:adjustRightInd w:val="0"/>
    </w:pPr>
    <w:rPr>
      <w:rFonts w:eastAsia="Calibri"/>
      <w:color w:val="000000"/>
      <w:sz w:val="24"/>
      <w:szCs w:val="24"/>
      <w:lang w:val="en-GB" w:eastAsia="en-US"/>
    </w:rPr>
  </w:style>
  <w:style w:type="paragraph" w:styleId="ListParagraph">
    <w:name w:val="List Paragraph"/>
    <w:basedOn w:val="Normal"/>
    <w:uiPriority w:val="1"/>
    <w:qFormat/>
    <w:rsid w:val="00E75019"/>
    <w:pPr>
      <w:widowControl w:val="0"/>
      <w:autoSpaceDE w:val="0"/>
      <w:autoSpaceDN w:val="0"/>
      <w:ind w:left="623" w:hanging="217"/>
      <w:jc w:val="both"/>
    </w:pPr>
    <w:rPr>
      <w:rFonts w:eastAsia="Times New Roman"/>
      <w:sz w:val="22"/>
      <w:szCs w:val="22"/>
      <w:lang w:val="en-US" w:eastAsia="en-US"/>
    </w:rPr>
  </w:style>
  <w:style w:type="character" w:styleId="Hyperlink">
    <w:name w:val="Hyperlink"/>
    <w:rsid w:val="008D0F6F"/>
    <w:rPr>
      <w:color w:val="0563C1"/>
      <w:u w:val="single"/>
    </w:rPr>
  </w:style>
  <w:style w:type="character" w:customStyle="1" w:styleId="UnresolvedMention">
    <w:name w:val="Unresolved Mention"/>
    <w:uiPriority w:val="99"/>
    <w:semiHidden/>
    <w:unhideWhenUsed/>
    <w:rsid w:val="008D0F6F"/>
    <w:rPr>
      <w:color w:val="605E5C"/>
      <w:shd w:val="clear" w:color="auto" w:fill="E1DFDD"/>
    </w:rPr>
  </w:style>
  <w:style w:type="paragraph" w:styleId="NormalWeb">
    <w:name w:val="Normal (Web)"/>
    <w:basedOn w:val="Normal"/>
    <w:uiPriority w:val="99"/>
    <w:unhideWhenUsed/>
    <w:rsid w:val="0026565E"/>
    <w:pPr>
      <w:spacing w:before="100" w:beforeAutospacing="1" w:after="100" w:afterAutospacing="1"/>
    </w:pPr>
    <w:rPr>
      <w:rFonts w:eastAsia="Times New Roman"/>
      <w:lang w:val="en-IN" w:eastAsia="en-IN"/>
    </w:rPr>
  </w:style>
  <w:style w:type="paragraph" w:styleId="Header">
    <w:name w:val="header"/>
    <w:basedOn w:val="Normal"/>
    <w:link w:val="HeaderChar"/>
    <w:rsid w:val="00B64C40"/>
    <w:pPr>
      <w:tabs>
        <w:tab w:val="center" w:pos="4513"/>
        <w:tab w:val="right" w:pos="9026"/>
      </w:tabs>
    </w:pPr>
  </w:style>
  <w:style w:type="character" w:customStyle="1" w:styleId="HeaderChar">
    <w:name w:val="Header Char"/>
    <w:basedOn w:val="DefaultParagraphFont"/>
    <w:link w:val="Header"/>
    <w:rsid w:val="00B64C40"/>
    <w:rPr>
      <w:sz w:val="24"/>
      <w:szCs w:val="24"/>
      <w:lang w:val="en-AU" w:eastAsia="zh-CN"/>
    </w:rPr>
  </w:style>
  <w:style w:type="paragraph" w:styleId="Footer">
    <w:name w:val="footer"/>
    <w:basedOn w:val="Normal"/>
    <w:link w:val="FooterChar"/>
    <w:uiPriority w:val="99"/>
    <w:rsid w:val="00B64C40"/>
    <w:pPr>
      <w:tabs>
        <w:tab w:val="center" w:pos="4513"/>
        <w:tab w:val="right" w:pos="9026"/>
      </w:tabs>
    </w:pPr>
  </w:style>
  <w:style w:type="character" w:customStyle="1" w:styleId="FooterChar">
    <w:name w:val="Footer Char"/>
    <w:basedOn w:val="DefaultParagraphFont"/>
    <w:link w:val="Footer"/>
    <w:uiPriority w:val="99"/>
    <w:rsid w:val="00B64C40"/>
    <w:rPr>
      <w:sz w:val="24"/>
      <w:szCs w:val="24"/>
      <w:lang w:val="en-AU" w:eastAsia="zh-CN"/>
    </w:rPr>
  </w:style>
  <w:style w:type="character" w:styleId="Strong">
    <w:name w:val="Strong"/>
    <w:basedOn w:val="DefaultParagraphFont"/>
    <w:uiPriority w:val="22"/>
    <w:qFormat/>
    <w:rsid w:val="009139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61433">
      <w:bodyDiv w:val="1"/>
      <w:marLeft w:val="0"/>
      <w:marRight w:val="0"/>
      <w:marTop w:val="0"/>
      <w:marBottom w:val="0"/>
      <w:divBdr>
        <w:top w:val="none" w:sz="0" w:space="0" w:color="auto"/>
        <w:left w:val="none" w:sz="0" w:space="0" w:color="auto"/>
        <w:bottom w:val="none" w:sz="0" w:space="0" w:color="auto"/>
        <w:right w:val="none" w:sz="0" w:space="0" w:color="auto"/>
      </w:divBdr>
    </w:div>
    <w:div w:id="240531332">
      <w:bodyDiv w:val="1"/>
      <w:marLeft w:val="0"/>
      <w:marRight w:val="0"/>
      <w:marTop w:val="0"/>
      <w:marBottom w:val="0"/>
      <w:divBdr>
        <w:top w:val="none" w:sz="0" w:space="0" w:color="auto"/>
        <w:left w:val="none" w:sz="0" w:space="0" w:color="auto"/>
        <w:bottom w:val="none" w:sz="0" w:space="0" w:color="auto"/>
        <w:right w:val="none" w:sz="0" w:space="0" w:color="auto"/>
      </w:divBdr>
    </w:div>
    <w:div w:id="310252510">
      <w:bodyDiv w:val="1"/>
      <w:marLeft w:val="0"/>
      <w:marRight w:val="0"/>
      <w:marTop w:val="0"/>
      <w:marBottom w:val="0"/>
      <w:divBdr>
        <w:top w:val="none" w:sz="0" w:space="0" w:color="auto"/>
        <w:left w:val="none" w:sz="0" w:space="0" w:color="auto"/>
        <w:bottom w:val="none" w:sz="0" w:space="0" w:color="auto"/>
        <w:right w:val="none" w:sz="0" w:space="0" w:color="auto"/>
      </w:divBdr>
      <w:divsChild>
        <w:div w:id="138039900">
          <w:marLeft w:val="0"/>
          <w:marRight w:val="0"/>
          <w:marTop w:val="0"/>
          <w:marBottom w:val="0"/>
          <w:divBdr>
            <w:top w:val="none" w:sz="0" w:space="0" w:color="auto"/>
            <w:left w:val="none" w:sz="0" w:space="0" w:color="auto"/>
            <w:bottom w:val="none" w:sz="0" w:space="0" w:color="auto"/>
            <w:right w:val="none" w:sz="0" w:space="0" w:color="auto"/>
          </w:divBdr>
          <w:divsChild>
            <w:div w:id="1722897951">
              <w:marLeft w:val="0"/>
              <w:marRight w:val="0"/>
              <w:marTop w:val="0"/>
              <w:marBottom w:val="0"/>
              <w:divBdr>
                <w:top w:val="none" w:sz="0" w:space="0" w:color="auto"/>
                <w:left w:val="none" w:sz="0" w:space="0" w:color="auto"/>
                <w:bottom w:val="none" w:sz="0" w:space="0" w:color="auto"/>
                <w:right w:val="none" w:sz="0" w:space="0" w:color="auto"/>
              </w:divBdr>
              <w:divsChild>
                <w:div w:id="1978219543">
                  <w:marLeft w:val="0"/>
                  <w:marRight w:val="0"/>
                  <w:marTop w:val="0"/>
                  <w:marBottom w:val="0"/>
                  <w:divBdr>
                    <w:top w:val="none" w:sz="0" w:space="0" w:color="auto"/>
                    <w:left w:val="none" w:sz="0" w:space="0" w:color="auto"/>
                    <w:bottom w:val="none" w:sz="0" w:space="0" w:color="auto"/>
                    <w:right w:val="none" w:sz="0" w:space="0" w:color="auto"/>
                  </w:divBdr>
                  <w:divsChild>
                    <w:div w:id="94254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58823">
          <w:marLeft w:val="0"/>
          <w:marRight w:val="0"/>
          <w:marTop w:val="0"/>
          <w:marBottom w:val="0"/>
          <w:divBdr>
            <w:top w:val="none" w:sz="0" w:space="0" w:color="auto"/>
            <w:left w:val="none" w:sz="0" w:space="0" w:color="auto"/>
            <w:bottom w:val="none" w:sz="0" w:space="0" w:color="auto"/>
            <w:right w:val="none" w:sz="0" w:space="0" w:color="auto"/>
          </w:divBdr>
          <w:divsChild>
            <w:div w:id="23556426">
              <w:marLeft w:val="0"/>
              <w:marRight w:val="0"/>
              <w:marTop w:val="0"/>
              <w:marBottom w:val="0"/>
              <w:divBdr>
                <w:top w:val="none" w:sz="0" w:space="0" w:color="auto"/>
                <w:left w:val="none" w:sz="0" w:space="0" w:color="auto"/>
                <w:bottom w:val="none" w:sz="0" w:space="0" w:color="auto"/>
                <w:right w:val="none" w:sz="0" w:space="0" w:color="auto"/>
              </w:divBdr>
              <w:divsChild>
                <w:div w:id="2099667958">
                  <w:marLeft w:val="0"/>
                  <w:marRight w:val="0"/>
                  <w:marTop w:val="0"/>
                  <w:marBottom w:val="0"/>
                  <w:divBdr>
                    <w:top w:val="none" w:sz="0" w:space="0" w:color="auto"/>
                    <w:left w:val="none" w:sz="0" w:space="0" w:color="auto"/>
                    <w:bottom w:val="none" w:sz="0" w:space="0" w:color="auto"/>
                    <w:right w:val="none" w:sz="0" w:space="0" w:color="auto"/>
                  </w:divBdr>
                  <w:divsChild>
                    <w:div w:id="73223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038931">
      <w:bodyDiv w:val="1"/>
      <w:marLeft w:val="0"/>
      <w:marRight w:val="0"/>
      <w:marTop w:val="0"/>
      <w:marBottom w:val="0"/>
      <w:divBdr>
        <w:top w:val="none" w:sz="0" w:space="0" w:color="auto"/>
        <w:left w:val="none" w:sz="0" w:space="0" w:color="auto"/>
        <w:bottom w:val="none" w:sz="0" w:space="0" w:color="auto"/>
        <w:right w:val="none" w:sz="0" w:space="0" w:color="auto"/>
      </w:divBdr>
    </w:div>
    <w:div w:id="453137285">
      <w:bodyDiv w:val="1"/>
      <w:marLeft w:val="0"/>
      <w:marRight w:val="0"/>
      <w:marTop w:val="0"/>
      <w:marBottom w:val="0"/>
      <w:divBdr>
        <w:top w:val="none" w:sz="0" w:space="0" w:color="auto"/>
        <w:left w:val="none" w:sz="0" w:space="0" w:color="auto"/>
        <w:bottom w:val="none" w:sz="0" w:space="0" w:color="auto"/>
        <w:right w:val="none" w:sz="0" w:space="0" w:color="auto"/>
      </w:divBdr>
    </w:div>
    <w:div w:id="508521208">
      <w:bodyDiv w:val="1"/>
      <w:marLeft w:val="0"/>
      <w:marRight w:val="0"/>
      <w:marTop w:val="0"/>
      <w:marBottom w:val="0"/>
      <w:divBdr>
        <w:top w:val="none" w:sz="0" w:space="0" w:color="auto"/>
        <w:left w:val="none" w:sz="0" w:space="0" w:color="auto"/>
        <w:bottom w:val="none" w:sz="0" w:space="0" w:color="auto"/>
        <w:right w:val="none" w:sz="0" w:space="0" w:color="auto"/>
      </w:divBdr>
    </w:div>
    <w:div w:id="527259963">
      <w:bodyDiv w:val="1"/>
      <w:marLeft w:val="0"/>
      <w:marRight w:val="0"/>
      <w:marTop w:val="0"/>
      <w:marBottom w:val="0"/>
      <w:divBdr>
        <w:top w:val="none" w:sz="0" w:space="0" w:color="auto"/>
        <w:left w:val="none" w:sz="0" w:space="0" w:color="auto"/>
        <w:bottom w:val="none" w:sz="0" w:space="0" w:color="auto"/>
        <w:right w:val="none" w:sz="0" w:space="0" w:color="auto"/>
      </w:divBdr>
      <w:divsChild>
        <w:div w:id="709568789">
          <w:marLeft w:val="0"/>
          <w:marRight w:val="0"/>
          <w:marTop w:val="0"/>
          <w:marBottom w:val="0"/>
          <w:divBdr>
            <w:top w:val="none" w:sz="0" w:space="0" w:color="auto"/>
            <w:left w:val="none" w:sz="0" w:space="0" w:color="auto"/>
            <w:bottom w:val="none" w:sz="0" w:space="0" w:color="auto"/>
            <w:right w:val="none" w:sz="0" w:space="0" w:color="auto"/>
          </w:divBdr>
          <w:divsChild>
            <w:div w:id="401870977">
              <w:marLeft w:val="0"/>
              <w:marRight w:val="0"/>
              <w:marTop w:val="0"/>
              <w:marBottom w:val="0"/>
              <w:divBdr>
                <w:top w:val="none" w:sz="0" w:space="0" w:color="auto"/>
                <w:left w:val="none" w:sz="0" w:space="0" w:color="auto"/>
                <w:bottom w:val="none" w:sz="0" w:space="0" w:color="auto"/>
                <w:right w:val="none" w:sz="0" w:space="0" w:color="auto"/>
              </w:divBdr>
              <w:divsChild>
                <w:div w:id="1361976419">
                  <w:marLeft w:val="0"/>
                  <w:marRight w:val="0"/>
                  <w:marTop w:val="0"/>
                  <w:marBottom w:val="0"/>
                  <w:divBdr>
                    <w:top w:val="none" w:sz="0" w:space="0" w:color="auto"/>
                    <w:left w:val="none" w:sz="0" w:space="0" w:color="auto"/>
                    <w:bottom w:val="none" w:sz="0" w:space="0" w:color="auto"/>
                    <w:right w:val="none" w:sz="0" w:space="0" w:color="auto"/>
                  </w:divBdr>
                  <w:divsChild>
                    <w:div w:id="7573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83489">
          <w:marLeft w:val="0"/>
          <w:marRight w:val="0"/>
          <w:marTop w:val="0"/>
          <w:marBottom w:val="0"/>
          <w:divBdr>
            <w:top w:val="none" w:sz="0" w:space="0" w:color="auto"/>
            <w:left w:val="none" w:sz="0" w:space="0" w:color="auto"/>
            <w:bottom w:val="none" w:sz="0" w:space="0" w:color="auto"/>
            <w:right w:val="none" w:sz="0" w:space="0" w:color="auto"/>
          </w:divBdr>
          <w:divsChild>
            <w:div w:id="1209301991">
              <w:marLeft w:val="0"/>
              <w:marRight w:val="0"/>
              <w:marTop w:val="0"/>
              <w:marBottom w:val="0"/>
              <w:divBdr>
                <w:top w:val="none" w:sz="0" w:space="0" w:color="auto"/>
                <w:left w:val="none" w:sz="0" w:space="0" w:color="auto"/>
                <w:bottom w:val="none" w:sz="0" w:space="0" w:color="auto"/>
                <w:right w:val="none" w:sz="0" w:space="0" w:color="auto"/>
              </w:divBdr>
              <w:divsChild>
                <w:div w:id="1079983640">
                  <w:marLeft w:val="0"/>
                  <w:marRight w:val="0"/>
                  <w:marTop w:val="0"/>
                  <w:marBottom w:val="0"/>
                  <w:divBdr>
                    <w:top w:val="none" w:sz="0" w:space="0" w:color="auto"/>
                    <w:left w:val="none" w:sz="0" w:space="0" w:color="auto"/>
                    <w:bottom w:val="none" w:sz="0" w:space="0" w:color="auto"/>
                    <w:right w:val="none" w:sz="0" w:space="0" w:color="auto"/>
                  </w:divBdr>
                  <w:divsChild>
                    <w:div w:id="28254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841088">
      <w:bodyDiv w:val="1"/>
      <w:marLeft w:val="0"/>
      <w:marRight w:val="0"/>
      <w:marTop w:val="0"/>
      <w:marBottom w:val="0"/>
      <w:divBdr>
        <w:top w:val="none" w:sz="0" w:space="0" w:color="auto"/>
        <w:left w:val="none" w:sz="0" w:space="0" w:color="auto"/>
        <w:bottom w:val="none" w:sz="0" w:space="0" w:color="auto"/>
        <w:right w:val="none" w:sz="0" w:space="0" w:color="auto"/>
      </w:divBdr>
    </w:div>
    <w:div w:id="562371469">
      <w:bodyDiv w:val="1"/>
      <w:marLeft w:val="0"/>
      <w:marRight w:val="0"/>
      <w:marTop w:val="0"/>
      <w:marBottom w:val="0"/>
      <w:divBdr>
        <w:top w:val="none" w:sz="0" w:space="0" w:color="auto"/>
        <w:left w:val="none" w:sz="0" w:space="0" w:color="auto"/>
        <w:bottom w:val="none" w:sz="0" w:space="0" w:color="auto"/>
        <w:right w:val="none" w:sz="0" w:space="0" w:color="auto"/>
      </w:divBdr>
    </w:div>
    <w:div w:id="575629296">
      <w:bodyDiv w:val="1"/>
      <w:marLeft w:val="0"/>
      <w:marRight w:val="0"/>
      <w:marTop w:val="0"/>
      <w:marBottom w:val="0"/>
      <w:divBdr>
        <w:top w:val="none" w:sz="0" w:space="0" w:color="auto"/>
        <w:left w:val="none" w:sz="0" w:space="0" w:color="auto"/>
        <w:bottom w:val="none" w:sz="0" w:space="0" w:color="auto"/>
        <w:right w:val="none" w:sz="0" w:space="0" w:color="auto"/>
      </w:divBdr>
    </w:div>
    <w:div w:id="657732291">
      <w:bodyDiv w:val="1"/>
      <w:marLeft w:val="0"/>
      <w:marRight w:val="0"/>
      <w:marTop w:val="0"/>
      <w:marBottom w:val="0"/>
      <w:divBdr>
        <w:top w:val="none" w:sz="0" w:space="0" w:color="auto"/>
        <w:left w:val="none" w:sz="0" w:space="0" w:color="auto"/>
        <w:bottom w:val="none" w:sz="0" w:space="0" w:color="auto"/>
        <w:right w:val="none" w:sz="0" w:space="0" w:color="auto"/>
      </w:divBdr>
    </w:div>
    <w:div w:id="816535453">
      <w:bodyDiv w:val="1"/>
      <w:marLeft w:val="0"/>
      <w:marRight w:val="0"/>
      <w:marTop w:val="0"/>
      <w:marBottom w:val="0"/>
      <w:divBdr>
        <w:top w:val="none" w:sz="0" w:space="0" w:color="auto"/>
        <w:left w:val="none" w:sz="0" w:space="0" w:color="auto"/>
        <w:bottom w:val="none" w:sz="0" w:space="0" w:color="auto"/>
        <w:right w:val="none" w:sz="0" w:space="0" w:color="auto"/>
      </w:divBdr>
    </w:div>
    <w:div w:id="854611934">
      <w:bodyDiv w:val="1"/>
      <w:marLeft w:val="0"/>
      <w:marRight w:val="0"/>
      <w:marTop w:val="0"/>
      <w:marBottom w:val="0"/>
      <w:divBdr>
        <w:top w:val="none" w:sz="0" w:space="0" w:color="auto"/>
        <w:left w:val="none" w:sz="0" w:space="0" w:color="auto"/>
        <w:bottom w:val="none" w:sz="0" w:space="0" w:color="auto"/>
        <w:right w:val="none" w:sz="0" w:space="0" w:color="auto"/>
      </w:divBdr>
    </w:div>
    <w:div w:id="873078330">
      <w:bodyDiv w:val="1"/>
      <w:marLeft w:val="0"/>
      <w:marRight w:val="0"/>
      <w:marTop w:val="0"/>
      <w:marBottom w:val="0"/>
      <w:divBdr>
        <w:top w:val="none" w:sz="0" w:space="0" w:color="auto"/>
        <w:left w:val="none" w:sz="0" w:space="0" w:color="auto"/>
        <w:bottom w:val="none" w:sz="0" w:space="0" w:color="auto"/>
        <w:right w:val="none" w:sz="0" w:space="0" w:color="auto"/>
      </w:divBdr>
    </w:div>
    <w:div w:id="902328536">
      <w:bodyDiv w:val="1"/>
      <w:marLeft w:val="0"/>
      <w:marRight w:val="0"/>
      <w:marTop w:val="0"/>
      <w:marBottom w:val="0"/>
      <w:divBdr>
        <w:top w:val="none" w:sz="0" w:space="0" w:color="auto"/>
        <w:left w:val="none" w:sz="0" w:space="0" w:color="auto"/>
        <w:bottom w:val="none" w:sz="0" w:space="0" w:color="auto"/>
        <w:right w:val="none" w:sz="0" w:space="0" w:color="auto"/>
      </w:divBdr>
    </w:div>
    <w:div w:id="929046360">
      <w:bodyDiv w:val="1"/>
      <w:marLeft w:val="0"/>
      <w:marRight w:val="0"/>
      <w:marTop w:val="0"/>
      <w:marBottom w:val="0"/>
      <w:divBdr>
        <w:top w:val="none" w:sz="0" w:space="0" w:color="auto"/>
        <w:left w:val="none" w:sz="0" w:space="0" w:color="auto"/>
        <w:bottom w:val="none" w:sz="0" w:space="0" w:color="auto"/>
        <w:right w:val="none" w:sz="0" w:space="0" w:color="auto"/>
      </w:divBdr>
    </w:div>
    <w:div w:id="1091857731">
      <w:bodyDiv w:val="1"/>
      <w:marLeft w:val="0"/>
      <w:marRight w:val="0"/>
      <w:marTop w:val="0"/>
      <w:marBottom w:val="0"/>
      <w:divBdr>
        <w:top w:val="none" w:sz="0" w:space="0" w:color="auto"/>
        <w:left w:val="none" w:sz="0" w:space="0" w:color="auto"/>
        <w:bottom w:val="none" w:sz="0" w:space="0" w:color="auto"/>
        <w:right w:val="none" w:sz="0" w:space="0" w:color="auto"/>
      </w:divBdr>
    </w:div>
    <w:div w:id="1212960258">
      <w:bodyDiv w:val="1"/>
      <w:marLeft w:val="0"/>
      <w:marRight w:val="0"/>
      <w:marTop w:val="0"/>
      <w:marBottom w:val="0"/>
      <w:divBdr>
        <w:top w:val="none" w:sz="0" w:space="0" w:color="auto"/>
        <w:left w:val="none" w:sz="0" w:space="0" w:color="auto"/>
        <w:bottom w:val="none" w:sz="0" w:space="0" w:color="auto"/>
        <w:right w:val="none" w:sz="0" w:space="0" w:color="auto"/>
      </w:divBdr>
    </w:div>
    <w:div w:id="1219395501">
      <w:bodyDiv w:val="1"/>
      <w:marLeft w:val="0"/>
      <w:marRight w:val="0"/>
      <w:marTop w:val="0"/>
      <w:marBottom w:val="0"/>
      <w:divBdr>
        <w:top w:val="none" w:sz="0" w:space="0" w:color="auto"/>
        <w:left w:val="none" w:sz="0" w:space="0" w:color="auto"/>
        <w:bottom w:val="none" w:sz="0" w:space="0" w:color="auto"/>
        <w:right w:val="none" w:sz="0" w:space="0" w:color="auto"/>
      </w:divBdr>
    </w:div>
    <w:div w:id="1566986130">
      <w:bodyDiv w:val="1"/>
      <w:marLeft w:val="0"/>
      <w:marRight w:val="0"/>
      <w:marTop w:val="0"/>
      <w:marBottom w:val="0"/>
      <w:divBdr>
        <w:top w:val="none" w:sz="0" w:space="0" w:color="auto"/>
        <w:left w:val="none" w:sz="0" w:space="0" w:color="auto"/>
        <w:bottom w:val="none" w:sz="0" w:space="0" w:color="auto"/>
        <w:right w:val="none" w:sz="0" w:space="0" w:color="auto"/>
      </w:divBdr>
    </w:div>
    <w:div w:id="1648583227">
      <w:bodyDiv w:val="1"/>
      <w:marLeft w:val="0"/>
      <w:marRight w:val="0"/>
      <w:marTop w:val="0"/>
      <w:marBottom w:val="0"/>
      <w:divBdr>
        <w:top w:val="none" w:sz="0" w:space="0" w:color="auto"/>
        <w:left w:val="none" w:sz="0" w:space="0" w:color="auto"/>
        <w:bottom w:val="none" w:sz="0" w:space="0" w:color="auto"/>
        <w:right w:val="none" w:sz="0" w:space="0" w:color="auto"/>
      </w:divBdr>
    </w:div>
    <w:div w:id="1660110062">
      <w:bodyDiv w:val="1"/>
      <w:marLeft w:val="0"/>
      <w:marRight w:val="0"/>
      <w:marTop w:val="0"/>
      <w:marBottom w:val="0"/>
      <w:divBdr>
        <w:top w:val="none" w:sz="0" w:space="0" w:color="auto"/>
        <w:left w:val="none" w:sz="0" w:space="0" w:color="auto"/>
        <w:bottom w:val="none" w:sz="0" w:space="0" w:color="auto"/>
        <w:right w:val="none" w:sz="0" w:space="0" w:color="auto"/>
      </w:divBdr>
    </w:div>
    <w:div w:id="1661155493">
      <w:bodyDiv w:val="1"/>
      <w:marLeft w:val="0"/>
      <w:marRight w:val="0"/>
      <w:marTop w:val="0"/>
      <w:marBottom w:val="0"/>
      <w:divBdr>
        <w:top w:val="none" w:sz="0" w:space="0" w:color="auto"/>
        <w:left w:val="none" w:sz="0" w:space="0" w:color="auto"/>
        <w:bottom w:val="none" w:sz="0" w:space="0" w:color="auto"/>
        <w:right w:val="none" w:sz="0" w:space="0" w:color="auto"/>
      </w:divBdr>
    </w:div>
    <w:div w:id="1793014657">
      <w:bodyDiv w:val="1"/>
      <w:marLeft w:val="0"/>
      <w:marRight w:val="0"/>
      <w:marTop w:val="0"/>
      <w:marBottom w:val="0"/>
      <w:divBdr>
        <w:top w:val="none" w:sz="0" w:space="0" w:color="auto"/>
        <w:left w:val="none" w:sz="0" w:space="0" w:color="auto"/>
        <w:bottom w:val="none" w:sz="0" w:space="0" w:color="auto"/>
        <w:right w:val="none" w:sz="0" w:space="0" w:color="auto"/>
      </w:divBdr>
    </w:div>
    <w:div w:id="1797983799">
      <w:bodyDiv w:val="1"/>
      <w:marLeft w:val="0"/>
      <w:marRight w:val="0"/>
      <w:marTop w:val="0"/>
      <w:marBottom w:val="0"/>
      <w:divBdr>
        <w:top w:val="none" w:sz="0" w:space="0" w:color="auto"/>
        <w:left w:val="none" w:sz="0" w:space="0" w:color="auto"/>
        <w:bottom w:val="none" w:sz="0" w:space="0" w:color="auto"/>
        <w:right w:val="none" w:sz="0" w:space="0" w:color="auto"/>
      </w:divBdr>
    </w:div>
    <w:div w:id="1900700197">
      <w:bodyDiv w:val="1"/>
      <w:marLeft w:val="0"/>
      <w:marRight w:val="0"/>
      <w:marTop w:val="0"/>
      <w:marBottom w:val="0"/>
      <w:divBdr>
        <w:top w:val="none" w:sz="0" w:space="0" w:color="auto"/>
        <w:left w:val="none" w:sz="0" w:space="0" w:color="auto"/>
        <w:bottom w:val="none" w:sz="0" w:space="0" w:color="auto"/>
        <w:right w:val="none" w:sz="0" w:space="0" w:color="auto"/>
      </w:divBdr>
    </w:div>
    <w:div w:id="2097357332">
      <w:bodyDiv w:val="1"/>
      <w:marLeft w:val="0"/>
      <w:marRight w:val="0"/>
      <w:marTop w:val="0"/>
      <w:marBottom w:val="0"/>
      <w:divBdr>
        <w:top w:val="none" w:sz="0" w:space="0" w:color="auto"/>
        <w:left w:val="none" w:sz="0" w:space="0" w:color="auto"/>
        <w:bottom w:val="none" w:sz="0" w:space="0" w:color="auto"/>
        <w:right w:val="none" w:sz="0" w:space="0" w:color="auto"/>
      </w:divBdr>
    </w:div>
    <w:div w:id="2145929923">
      <w:bodyDiv w:val="1"/>
      <w:marLeft w:val="0"/>
      <w:marRight w:val="0"/>
      <w:marTop w:val="0"/>
      <w:marBottom w:val="0"/>
      <w:divBdr>
        <w:top w:val="none" w:sz="0" w:space="0" w:color="auto"/>
        <w:left w:val="none" w:sz="0" w:space="0" w:color="auto"/>
        <w:bottom w:val="none" w:sz="0" w:space="0" w:color="auto"/>
        <w:right w:val="none" w:sz="0" w:space="0" w:color="auto"/>
      </w:divBdr>
      <w:divsChild>
        <w:div w:id="287973380">
          <w:marLeft w:val="0"/>
          <w:marRight w:val="0"/>
          <w:marTop w:val="0"/>
          <w:marBottom w:val="0"/>
          <w:divBdr>
            <w:top w:val="none" w:sz="0" w:space="0" w:color="auto"/>
            <w:left w:val="none" w:sz="0" w:space="0" w:color="auto"/>
            <w:bottom w:val="none" w:sz="0" w:space="0" w:color="auto"/>
            <w:right w:val="none" w:sz="0" w:space="0" w:color="auto"/>
          </w:divBdr>
          <w:divsChild>
            <w:div w:id="22177399">
              <w:marLeft w:val="0"/>
              <w:marRight w:val="0"/>
              <w:marTop w:val="0"/>
              <w:marBottom w:val="0"/>
              <w:divBdr>
                <w:top w:val="none" w:sz="0" w:space="0" w:color="auto"/>
                <w:left w:val="none" w:sz="0" w:space="0" w:color="auto"/>
                <w:bottom w:val="none" w:sz="0" w:space="0" w:color="auto"/>
                <w:right w:val="none" w:sz="0" w:space="0" w:color="auto"/>
              </w:divBdr>
              <w:divsChild>
                <w:div w:id="1585072120">
                  <w:marLeft w:val="0"/>
                  <w:marRight w:val="0"/>
                  <w:marTop w:val="0"/>
                  <w:marBottom w:val="0"/>
                  <w:divBdr>
                    <w:top w:val="none" w:sz="0" w:space="0" w:color="auto"/>
                    <w:left w:val="none" w:sz="0" w:space="0" w:color="auto"/>
                    <w:bottom w:val="none" w:sz="0" w:space="0" w:color="auto"/>
                    <w:right w:val="none" w:sz="0" w:space="0" w:color="auto"/>
                  </w:divBdr>
                  <w:divsChild>
                    <w:div w:id="1839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78">
          <w:marLeft w:val="0"/>
          <w:marRight w:val="0"/>
          <w:marTop w:val="0"/>
          <w:marBottom w:val="0"/>
          <w:divBdr>
            <w:top w:val="none" w:sz="0" w:space="0" w:color="auto"/>
            <w:left w:val="none" w:sz="0" w:space="0" w:color="auto"/>
            <w:bottom w:val="none" w:sz="0" w:space="0" w:color="auto"/>
            <w:right w:val="none" w:sz="0" w:space="0" w:color="auto"/>
          </w:divBdr>
          <w:divsChild>
            <w:div w:id="1733500283">
              <w:marLeft w:val="0"/>
              <w:marRight w:val="0"/>
              <w:marTop w:val="0"/>
              <w:marBottom w:val="0"/>
              <w:divBdr>
                <w:top w:val="none" w:sz="0" w:space="0" w:color="auto"/>
                <w:left w:val="none" w:sz="0" w:space="0" w:color="auto"/>
                <w:bottom w:val="none" w:sz="0" w:space="0" w:color="auto"/>
                <w:right w:val="none" w:sz="0" w:space="0" w:color="auto"/>
              </w:divBdr>
              <w:divsChild>
                <w:div w:id="1894383675">
                  <w:marLeft w:val="0"/>
                  <w:marRight w:val="0"/>
                  <w:marTop w:val="0"/>
                  <w:marBottom w:val="0"/>
                  <w:divBdr>
                    <w:top w:val="none" w:sz="0" w:space="0" w:color="auto"/>
                    <w:left w:val="none" w:sz="0" w:space="0" w:color="auto"/>
                    <w:bottom w:val="none" w:sz="0" w:space="0" w:color="auto"/>
                    <w:right w:val="none" w:sz="0" w:space="0" w:color="auto"/>
                  </w:divBdr>
                  <w:divsChild>
                    <w:div w:id="125652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gouthamsmkonikar@gmail.com" TargetMode="External"/><Relationship Id="rId12" Type="http://schemas.openxmlformats.org/officeDocument/2006/relationships/image" Target="media/image5.png"/><Relationship Id="rId17" Type="http://schemas.openxmlformats.org/officeDocument/2006/relationships/hyperlink" Target="https://timesofindia.indiatimes.com" TargetMode="External"/><Relationship Id="rId2" Type="http://schemas.openxmlformats.org/officeDocument/2006/relationships/styles" Target="styles.xml"/><Relationship Id="rId16" Type="http://schemas.openxmlformats.org/officeDocument/2006/relationships/hyperlink" Target="https://www.worldbank.org/en/news/opinion/2024/01/30/gearing-up-for-india-s-rapid-urban-transformation"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niua.in"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india.gov.in/spotlight/smart-cities-mission-step-towards-smart-ind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14</Pages>
  <Words>3824</Words>
  <Characters>25347</Characters>
  <Application>Microsoft Office Word</Application>
  <DocSecurity>0</DocSecurity>
  <Lines>523</Lines>
  <Paragraphs>116</Paragraphs>
  <ScaleCrop>false</ScaleCrop>
  <HeadingPairs>
    <vt:vector size="2" baseType="variant">
      <vt:variant>
        <vt:lpstr>Title</vt:lpstr>
      </vt:variant>
      <vt:variant>
        <vt:i4>1</vt:i4>
      </vt:variant>
    </vt:vector>
  </HeadingPairs>
  <TitlesOfParts>
    <vt:vector size="1" baseType="lpstr">
      <vt:lpstr>IEEE Paper Word Template in A4 Page Size (V3)</vt:lpstr>
    </vt:vector>
  </TitlesOfParts>
  <Company/>
  <LinksUpToDate>false</LinksUpToDate>
  <CharactersWithSpaces>29093</CharactersWithSpaces>
  <SharedDoc>false</SharedDoc>
  <HLinks>
    <vt:vector size="12" baseType="variant">
      <vt:variant>
        <vt:i4>6946889</vt:i4>
      </vt:variant>
      <vt:variant>
        <vt:i4>3</vt:i4>
      </vt:variant>
      <vt:variant>
        <vt:i4>0</vt:i4>
      </vt:variant>
      <vt:variant>
        <vt:i4>5</vt:i4>
      </vt:variant>
      <vt:variant>
        <vt:lpwstr>mailto:vivekchillalb@gmail.com</vt:lpwstr>
      </vt:variant>
      <vt:variant>
        <vt:lpwstr/>
      </vt:variant>
      <vt:variant>
        <vt:i4>7995478</vt:i4>
      </vt:variant>
      <vt:variant>
        <vt:i4>0</vt:i4>
      </vt:variant>
      <vt:variant>
        <vt:i4>0</vt:i4>
      </vt:variant>
      <vt:variant>
        <vt:i4>5</vt:i4>
      </vt:variant>
      <vt:variant>
        <vt:lpwstr>mailto:gouthamsmkonikar@gmail.com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Word Template in A4 Page Size (V3)</dc:title>
  <dc:subject/>
  <dc:creator>IJET</dc:creator>
  <cp:keywords/>
  <dc:description/>
  <cp:lastModifiedBy>Microsoft account</cp:lastModifiedBy>
  <cp:revision>125</cp:revision>
  <cp:lastPrinted>2025-03-05T16:51:00Z</cp:lastPrinted>
  <dcterms:created xsi:type="dcterms:W3CDTF">2025-03-03T14:56:00Z</dcterms:created>
  <dcterms:modified xsi:type="dcterms:W3CDTF">2025-03-07T16:37:00Z</dcterms:modified>
</cp:coreProperties>
</file>