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541" w:afterLines="15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b/>
          <w:bCs/>
          <w:strike w:val="0"/>
          <w:dstrike w:val="0"/>
          <w:sz w:val="24"/>
          <w:szCs w:val="24"/>
          <w:lang w:val="en-US"/>
        </w:rPr>
        <w:t>S</w:t>
      </w:r>
      <w:r>
        <w:rPr>
          <w:rFonts w:hint="default" w:ascii="Times New Roman" w:hAnsi="Times New Roman" w:cs="Times New Roman"/>
          <w:b/>
          <w:bCs/>
          <w:strike w:val="0"/>
          <w:dstrike w:val="0"/>
          <w:sz w:val="26"/>
          <w:szCs w:val="26"/>
          <w:lang w:val="en-US"/>
        </w:rPr>
        <w:t xml:space="preserve">ynthesis, characterization, physicochemical kinetics and assay studies of novel </w:t>
      </w:r>
      <w:r>
        <w:rPr>
          <w:rFonts w:hint="default" w:ascii="Times New Roman" w:hAnsi="Times New Roman" w:cs="Times New Roman"/>
          <w:b/>
          <w:bCs/>
          <w:i/>
          <w:iCs/>
          <w:strike w:val="0"/>
          <w:dstrike w:val="0"/>
          <w:sz w:val="26"/>
          <w:szCs w:val="26"/>
          <w:lang w:val="en-US"/>
        </w:rPr>
        <w:t>MOCEB</w:t>
      </w:r>
      <w:r>
        <w:rPr>
          <w:rFonts w:hint="default" w:ascii="Times New Roman" w:hAnsi="Times New Roman" w:cs="Times New Roman"/>
          <w:b/>
          <w:bCs/>
          <w:strike w:val="0"/>
          <w:dstrike w:val="0"/>
          <w:sz w:val="26"/>
          <w:szCs w:val="26"/>
          <w:lang w:val="en-US"/>
        </w:rPr>
        <w:t xml:space="preserve"> biofilm for bio-preservation of fresh tomato fruits</w:t>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ascii="Times New Roman" w:hAnsi="Times New Roman" w:cs="Times New Roman"/>
          <w:sz w:val="24"/>
          <w:szCs w:val="24"/>
        </w:rPr>
      </w:pPr>
      <w:r>
        <w:rPr>
          <w:rFonts w:hint="default" w:ascii="Times New Roman" w:hAnsi="Times New Roman" w:cs="Times New Roman"/>
          <w:sz w:val="24"/>
          <w:szCs w:val="24"/>
          <w:lang w:val="en-US"/>
        </w:rPr>
        <w:t>Nonye</w:t>
      </w:r>
      <w:r>
        <w:rPr>
          <w:rFonts w:ascii="Times New Roman" w:hAnsi="Times New Roman" w:cs="Times New Roman"/>
          <w:sz w:val="24"/>
          <w:szCs w:val="24"/>
        </w:rPr>
        <w:t xml:space="preserve"> </w:t>
      </w:r>
      <w:r>
        <w:rPr>
          <w:rFonts w:hint="default" w:ascii="Times New Roman" w:hAnsi="Times New Roman" w:cs="Times New Roman"/>
          <w:sz w:val="24"/>
          <w:szCs w:val="24"/>
          <w:lang w:val="en-US"/>
        </w:rPr>
        <w:t>Jennifer</w:t>
      </w:r>
      <w:r>
        <w:rPr>
          <w:rFonts w:ascii="Times New Roman" w:hAnsi="Times New Roman" w:cs="Times New Roman"/>
          <w:sz w:val="24"/>
          <w:szCs w:val="24"/>
        </w:rPr>
        <w:t xml:space="preserve"> </w:t>
      </w:r>
      <w:r>
        <w:rPr>
          <w:rFonts w:ascii="Times New Roman" w:hAnsi="Times New Roman" w:cs="Times New Roman"/>
          <w:b/>
          <w:bCs/>
          <w:sz w:val="24"/>
          <w:szCs w:val="24"/>
        </w:rPr>
        <w:t>Ohal</w:t>
      </w:r>
      <w:r>
        <w:rPr>
          <w:rFonts w:ascii="Times New Roman" w:hAnsi="Times New Roman" w:cs="Times New Roman"/>
          <w:b/>
          <w:bCs/>
          <w:color w:val="000000" w:themeColor="text1"/>
          <w:sz w:val="24"/>
          <w:szCs w:val="24"/>
          <w14:textFill>
            <w14:solidFill>
              <w14:schemeClr w14:val="tx1"/>
            </w14:solidFill>
          </w14:textFill>
        </w:rPr>
        <w:t>e</w:t>
      </w:r>
      <w:r>
        <w:rPr>
          <w:rFonts w:ascii="Times New Roman" w:hAnsi="Times New Roman" w:cs="Times New Roman"/>
          <w:b/>
          <w:bCs/>
          <w:color w:val="000000" w:themeColor="text1"/>
          <w:sz w:val="24"/>
          <w:szCs w:val="24"/>
          <w:vertAlign w:val="superscript"/>
          <w14:textFill>
            <w14:solidFill>
              <w14:schemeClr w14:val="tx1"/>
            </w14:solidFill>
          </w14:textFill>
        </w:rPr>
        <w:t>1</w:t>
      </w:r>
      <w:r>
        <w:rPr>
          <w:rFonts w:ascii="Times New Roman" w:hAnsi="Times New Roman" w:cs="Times New Roman"/>
          <w:bCs/>
          <w:color w:val="000000" w:themeColor="text1"/>
          <w:sz w:val="24"/>
          <w:szCs w:val="24"/>
          <w14:textFill>
            <w14:solidFill>
              <w14:schemeClr w14:val="tx1"/>
            </w14:solidFill>
          </w14:textFill>
        </w:rPr>
        <w:t xml:space="preserve">, </w:t>
      </w:r>
      <w:r>
        <w:rPr>
          <w:rFonts w:hint="default" w:ascii="Times New Roman" w:hAnsi="Times New Roman" w:cs="Times New Roman"/>
          <w:sz w:val="24"/>
          <w:szCs w:val="24"/>
          <w:lang w:val="en-US"/>
        </w:rPr>
        <w:t>Matthew</w:t>
      </w:r>
      <w:r>
        <w:rPr>
          <w:rFonts w:ascii="Times New Roman" w:hAnsi="Times New Roman" w:cs="Times New Roman"/>
          <w:sz w:val="24"/>
          <w:szCs w:val="24"/>
        </w:rPr>
        <w:t xml:space="preserve"> </w:t>
      </w:r>
      <w:r>
        <w:rPr>
          <w:rFonts w:hint="default" w:ascii="Times New Roman" w:hAnsi="Times New Roman" w:cs="Times New Roman"/>
          <w:sz w:val="24"/>
          <w:szCs w:val="24"/>
          <w:lang w:val="en-US"/>
        </w:rPr>
        <w:t>Chukwu</w:t>
      </w:r>
      <w:r>
        <w:rPr>
          <w:rFonts w:ascii="Times New Roman" w:hAnsi="Times New Roman" w:cs="Times New Roman"/>
          <w:sz w:val="24"/>
          <w:szCs w:val="24"/>
        </w:rPr>
        <w:t xml:space="preserve">di </w:t>
      </w:r>
      <w:r>
        <w:rPr>
          <w:rFonts w:hint="default" w:ascii="Times New Roman" w:hAnsi="Times New Roman" w:cs="Times New Roman"/>
          <w:b/>
          <w:bCs/>
          <w:sz w:val="24"/>
          <w:szCs w:val="24"/>
          <w:lang w:val="en-US"/>
        </w:rPr>
        <w:t>Menkiti</w:t>
      </w:r>
      <w:r>
        <w:rPr>
          <w:rFonts w:hint="default" w:ascii="Times New Roman" w:hAnsi="Times New Roman" w:cs="Times New Roman"/>
          <w:b/>
          <w:bCs/>
          <w:sz w:val="24"/>
          <w:szCs w:val="24"/>
          <w:vertAlign w:val="superscript"/>
          <w:lang w:val="en-US"/>
        </w:rPr>
        <w:t>1</w:t>
      </w:r>
      <w:r>
        <w:rPr>
          <w:rFonts w:hint="default" w:ascii="Times New Roman" w:hAnsi="Times New Roman" w:cs="Times New Roman"/>
          <w:b/>
          <w:bCs/>
          <w:sz w:val="32"/>
          <w:szCs w:val="32"/>
          <w:vertAlign w:val="superscript"/>
          <w:lang w:val="en-US"/>
        </w:rPr>
        <w:t>*</w:t>
      </w:r>
      <w:r>
        <w:rPr>
          <w:rFonts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sz w:val="24"/>
          <w:szCs w:val="24"/>
        </w:rPr>
        <w:t xml:space="preserve"> </w:t>
      </w:r>
      <w:r>
        <w:rPr>
          <w:rFonts w:hint="default" w:ascii="Times New Roman" w:hAnsi="Times New Roman"/>
          <w:bCs/>
          <w:sz w:val="24"/>
          <w:szCs w:val="21"/>
          <w:lang w:val="en-US"/>
        </w:rPr>
        <w:t>Chinenye</w:t>
      </w:r>
      <w:r>
        <w:rPr>
          <w:rFonts w:ascii="Times New Roman" w:hAnsi="Times New Roman"/>
          <w:bCs/>
          <w:sz w:val="24"/>
          <w:szCs w:val="21"/>
        </w:rPr>
        <w:t xml:space="preserve"> </w:t>
      </w:r>
      <w:r>
        <w:rPr>
          <w:rFonts w:hint="default" w:ascii="Times New Roman" w:hAnsi="Times New Roman"/>
          <w:bCs/>
          <w:sz w:val="24"/>
          <w:szCs w:val="21"/>
          <w:lang w:val="en-US"/>
        </w:rPr>
        <w:t>Faith</w:t>
      </w:r>
      <w:r>
        <w:rPr>
          <w:rFonts w:ascii="Times New Roman" w:hAnsi="Times New Roman"/>
          <w:bCs/>
          <w:sz w:val="24"/>
          <w:szCs w:val="21"/>
        </w:rPr>
        <w:t xml:space="preserve"> </w:t>
      </w:r>
      <w:r>
        <w:rPr>
          <w:rFonts w:hint="default" w:ascii="Times New Roman" w:hAnsi="Times New Roman"/>
          <w:b/>
          <w:bCs w:val="0"/>
          <w:sz w:val="24"/>
          <w:szCs w:val="21"/>
          <w:lang w:val="en-US"/>
        </w:rPr>
        <w:t>Okey-O</w:t>
      </w:r>
      <w:r>
        <w:rPr>
          <w:rFonts w:hint="default" w:ascii="Times New Roman" w:hAnsi="Times New Roman"/>
          <w:b/>
          <w:bCs/>
          <w:sz w:val="24"/>
          <w:szCs w:val="21"/>
          <w:lang w:val="en-US"/>
        </w:rPr>
        <w:t>nyesolu</w:t>
      </w:r>
      <w:r>
        <w:rPr>
          <w:rFonts w:ascii="Times New Roman" w:hAnsi="Times New Roman" w:cs="Times New Roman"/>
          <w:b/>
          <w:bCs/>
          <w:sz w:val="24"/>
          <w:szCs w:val="24"/>
          <w:vertAlign w:val="superscript"/>
        </w:rPr>
        <w:t>1</w:t>
      </w:r>
      <w:r>
        <w:rPr>
          <w:rFonts w:ascii="Times New Roman" w:hAnsi="Times New Roman" w:cs="Times New Roman"/>
          <w:sz w:val="36"/>
          <w:szCs w:val="36"/>
          <w:vertAlign w:val="superscript"/>
        </w:rPr>
        <w:t>*</w:t>
      </w:r>
      <w:r>
        <w:rPr>
          <w:rFonts w:hint="default" w:ascii="Times New Roman" w:hAnsi="Times New Roman" w:cs="Times New Roman"/>
          <w:sz w:val="24"/>
          <w:szCs w:val="24"/>
          <w:lang w:val="en-US"/>
        </w:rPr>
        <w:t>,</w:t>
      </w:r>
      <w:r>
        <w:rPr>
          <w:rFonts w:ascii="Times New Roman" w:hAnsi="Times New Roman" w:cs="Times New Roman"/>
          <w:sz w:val="24"/>
          <w:szCs w:val="24"/>
        </w:rPr>
        <w:t xml:space="preserve"> </w:t>
      </w:r>
      <w:r>
        <w:rPr>
          <w:rFonts w:hint="default" w:ascii="Times New Roman" w:hAnsi="Times New Roman" w:cs="Times New Roman"/>
          <w:sz w:val="24"/>
          <w:szCs w:val="24"/>
          <w:lang w:val="en-US"/>
        </w:rPr>
        <w:t>Paschal</w:t>
      </w:r>
      <w:r>
        <w:rPr>
          <w:rFonts w:ascii="Times New Roman" w:hAnsi="Times New Roman" w:cs="Times New Roman"/>
          <w:sz w:val="24"/>
          <w:szCs w:val="24"/>
        </w:rPr>
        <w:t xml:space="preserve"> E</w:t>
      </w:r>
      <w:r>
        <w:rPr>
          <w:rFonts w:hint="default" w:ascii="Times New Roman" w:hAnsi="Times New Roman" w:cs="Times New Roman"/>
          <w:sz w:val="24"/>
          <w:szCs w:val="24"/>
          <w:lang w:val="en-US"/>
        </w:rPr>
        <w:t>nyinnaya</w:t>
      </w:r>
      <w:r>
        <w:rPr>
          <w:rFonts w:ascii="Times New Roman" w:hAnsi="Times New Roman" w:cs="Times New Roman"/>
          <w:sz w:val="24"/>
          <w:szCs w:val="24"/>
        </w:rPr>
        <w:t xml:space="preserve"> </w:t>
      </w:r>
      <w:r>
        <w:rPr>
          <w:rFonts w:hint="default" w:ascii="Times New Roman" w:hAnsi="Times New Roman" w:cs="Times New Roman"/>
          <w:b/>
          <w:bCs/>
          <w:sz w:val="24"/>
          <w:szCs w:val="24"/>
          <w:lang w:val="en-US"/>
        </w:rPr>
        <w:t>Ohale</w:t>
      </w:r>
      <w:r>
        <w:rPr>
          <w:rFonts w:ascii="Times New Roman" w:hAnsi="Times New Roman" w:cs="Times New Roman"/>
          <w:b/>
          <w:bCs/>
          <w:color w:val="000000" w:themeColor="text1"/>
          <w:sz w:val="24"/>
          <w:szCs w:val="24"/>
          <w:vertAlign w:val="superscript"/>
          <w14:textFill>
            <w14:solidFill>
              <w14:schemeClr w14:val="tx1"/>
            </w14:solidFill>
          </w14:textFill>
        </w:rPr>
        <w:t>1</w:t>
      </w:r>
      <w:r>
        <w:rPr>
          <w:rFonts w:ascii="Times New Roman" w:hAnsi="Times New Roman" w:cs="Times New Roman"/>
          <w:sz w:val="36"/>
          <w:szCs w:val="36"/>
          <w:vertAlign w:val="superscript"/>
        </w:rPr>
        <w:t>*</w:t>
      </w:r>
    </w:p>
    <w:p>
      <w:pPr>
        <w:keepNext w:val="0"/>
        <w:keepLines w:val="0"/>
        <w:pageBreakBefore w:val="0"/>
        <w:widowControl/>
        <w:kinsoku/>
        <w:wordWrap/>
        <w:overflowPunct/>
        <w:topLinePunct w:val="0"/>
        <w:autoSpaceDE/>
        <w:autoSpaceDN/>
        <w:bidi w:val="0"/>
        <w:adjustRightInd/>
        <w:snapToGrid/>
        <w:spacing w:after="361" w:afterLines="100"/>
        <w:ind w:right="-245"/>
        <w:jc w:val="both"/>
        <w:textAlignment w:val="auto"/>
        <w:rPr>
          <w:rFonts w:ascii="Times New Roman" w:hAnsi="Times New Roman" w:cs="Times New Roman"/>
          <w:i/>
          <w:iCs/>
          <w:sz w:val="24"/>
          <w:szCs w:val="24"/>
        </w:rPr>
      </w:pPr>
      <w:r>
        <w:rPr>
          <w:rFonts w:ascii="Times New Roman" w:hAnsi="Times New Roman" w:cs="Times New Roman"/>
          <w:b/>
          <w:bCs/>
          <w:i/>
          <w:iCs/>
          <w:sz w:val="24"/>
          <w:szCs w:val="24"/>
          <w:vertAlign w:val="superscript"/>
          <w:lang w:val="en-GB"/>
        </w:rPr>
        <w:t>1</w:t>
      </w:r>
      <w:r>
        <w:rPr>
          <w:rFonts w:ascii="Times New Roman" w:hAnsi="Times New Roman" w:cs="Times New Roman"/>
          <w:i/>
          <w:iCs/>
          <w:sz w:val="24"/>
          <w:szCs w:val="24"/>
        </w:rPr>
        <w:t>Department of Chemical Engineering, Nnamdi Azikiwe University, P.M.B. 5025, Awka, Nigeria.</w:t>
      </w:r>
    </w:p>
    <w:p>
      <w:pPr>
        <w:spacing w:after="0" w:line="240" w:lineRule="auto"/>
        <w:jc w:val="both"/>
        <w:rPr>
          <w:rFonts w:ascii="Times New Roman" w:hAnsi="Times New Roman" w:cs="Times New Roman"/>
          <w:i/>
          <w:iCs/>
          <w:sz w:val="24"/>
          <w:szCs w:val="24"/>
        </w:rPr>
      </w:pPr>
      <w:r>
        <w:rPr>
          <w:rFonts w:ascii="Times New Roman" w:hAnsi="Times New Roman" w:cs="Times New Roman"/>
          <w:i/>
          <w:iCs/>
          <w:sz w:val="28"/>
          <w:szCs w:val="28"/>
        </w:rPr>
        <w:t>*</w:t>
      </w:r>
      <w:r>
        <w:rPr>
          <w:rFonts w:ascii="Times New Roman" w:hAnsi="Times New Roman" w:cs="Times New Roman"/>
          <w:i/>
          <w:iCs/>
          <w:sz w:val="24"/>
          <w:szCs w:val="24"/>
        </w:rPr>
        <w:t>Corresponding author’s contact</w:t>
      </w:r>
      <w:r>
        <w:rPr>
          <w:rFonts w:ascii="Times New Roman" w:hAnsi="Times New Roman" w:cs="Times New Roman"/>
          <w:i/>
          <w:iCs/>
          <w:sz w:val="24"/>
          <w:szCs w:val="24"/>
        </w:rPr>
        <w:tab/>
      </w:r>
      <w:r>
        <w:rPr>
          <w:rFonts w:ascii="Times New Roman" w:hAnsi="Times New Roman" w:cs="Times New Roman"/>
          <w:i/>
          <w:iCs/>
          <w:sz w:val="24"/>
          <w:szCs w:val="24"/>
        </w:rPr>
        <w:tab/>
      </w:r>
      <w:r>
        <w:rPr>
          <w:rFonts w:hint="default" w:ascii="Times New Roman" w:hAnsi="Times New Roman" w:cs="Times New Roman"/>
          <w:i/>
          <w:iCs/>
          <w:sz w:val="24"/>
          <w:szCs w:val="24"/>
          <w:lang w:val="en-US"/>
        </w:rPr>
        <w:tab/>
      </w:r>
      <w:r>
        <w:rPr>
          <w:rFonts w:ascii="Times New Roman" w:hAnsi="Times New Roman" w:cs="Times New Roman"/>
          <w:i/>
          <w:iCs/>
          <w:sz w:val="28"/>
          <w:szCs w:val="28"/>
        </w:rPr>
        <w:t>*</w:t>
      </w:r>
      <w:r>
        <w:rPr>
          <w:rFonts w:ascii="Times New Roman" w:hAnsi="Times New Roman" w:cs="Times New Roman"/>
          <w:i/>
          <w:iCs/>
          <w:sz w:val="24"/>
          <w:szCs w:val="24"/>
        </w:rPr>
        <w:t>Corresponding author’s contact</w:t>
      </w:r>
    </w:p>
    <w:p>
      <w:pPr>
        <w:spacing w:after="0" w:line="240" w:lineRule="auto"/>
        <w:jc w:val="both"/>
        <w:rPr>
          <w:rFonts w:hint="default" w:ascii="Times New Roman" w:hAnsi="Times New Roman" w:cs="Times New Roman"/>
          <w:sz w:val="24"/>
          <w:szCs w:val="24"/>
          <w:lang w:val="en-US"/>
        </w:rPr>
      </w:pPr>
      <w:r>
        <w:rPr>
          <w:rFonts w:ascii="Times New Roman" w:hAnsi="Times New Roman" w:cs="Times New Roman"/>
          <w:sz w:val="24"/>
          <w:szCs w:val="24"/>
        </w:rPr>
        <w:t xml:space="preserve">Phone </w:t>
      </w:r>
      <w:r>
        <w:rPr>
          <w:rFonts w:ascii="Times New Roman" w:hAnsi="Times New Roman"/>
          <w:sz w:val="24"/>
          <w:szCs w:val="24"/>
        </w:rPr>
        <w:t>+2348036431594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ascii="Times New Roman" w:hAnsi="Times New Roman" w:cs="Times New Roman"/>
          <w:sz w:val="24"/>
          <w:szCs w:val="24"/>
        </w:rPr>
        <w:t xml:space="preserve">Phone </w:t>
      </w:r>
      <w:r>
        <w:rPr>
          <w:rFonts w:ascii="Times New Roman" w:hAnsi="Times New Roman"/>
          <w:sz w:val="24"/>
          <w:szCs w:val="24"/>
        </w:rPr>
        <w:t>+234803</w:t>
      </w:r>
      <w:r>
        <w:rPr>
          <w:rFonts w:hint="default" w:ascii="Times New Roman" w:hAnsi="Times New Roman"/>
          <w:sz w:val="24"/>
          <w:szCs w:val="24"/>
          <w:lang w:val="en-US"/>
        </w:rPr>
        <w:t>7441882</w:t>
      </w:r>
    </w:p>
    <w:p>
      <w:pPr>
        <w:spacing w:after="0" w:line="240" w:lineRule="auto"/>
        <w:jc w:val="both"/>
        <w:rPr>
          <w:rFonts w:hint="default" w:ascii="Times New Roman" w:hAnsi="Times New Roman" w:cs="Times New Roman"/>
          <w:sz w:val="24"/>
          <w:szCs w:val="24"/>
        </w:rPr>
      </w:pPr>
      <w:r>
        <w:rPr>
          <w:rFonts w:ascii="Times New Roman" w:hAnsi="Times New Roman"/>
          <w:sz w:val="24"/>
          <w:szCs w:val="24"/>
          <w:lang w:val="en-GB"/>
        </w:rPr>
        <w:t>E-mail</w:t>
      </w:r>
      <w:r>
        <w:rPr>
          <w:rFonts w:hint="default" w:ascii="Times New Roman" w:hAnsi="Times New Roman"/>
          <w:sz w:val="24"/>
          <w:szCs w:val="24"/>
          <w:lang w:val="en-US"/>
        </w:rPr>
        <w:t>:</w:t>
      </w:r>
      <w:r>
        <w:rPr>
          <w:rFonts w:ascii="Times New Roman" w:hAnsi="Times New Roman"/>
          <w:sz w:val="24"/>
          <w:szCs w:val="24"/>
          <w:lang w:val="en-GB"/>
        </w:rPr>
        <w:t xml:space="preserve"> </w:t>
      </w:r>
      <w:r>
        <w:fldChar w:fldCharType="begin"/>
      </w:r>
      <w:r>
        <w:instrText xml:space="preserve"> HYPERLINK "mailto:pe.ohale@unizik.edu.ng" </w:instrText>
      </w:r>
      <w:r>
        <w:fldChar w:fldCharType="separate"/>
      </w:r>
      <w:r>
        <w:rPr>
          <w:rStyle w:val="5"/>
          <w:rFonts w:ascii="Times New Roman" w:hAnsi="Times New Roman"/>
          <w:sz w:val="24"/>
          <w:szCs w:val="24"/>
        </w:rPr>
        <w:t>pe.ohale@unizik.edu.ng</w:t>
      </w:r>
      <w:r>
        <w:rPr>
          <w:rStyle w:val="5"/>
          <w:rFonts w:ascii="Times New Roman" w:hAnsi="Times New Roman"/>
          <w:sz w:val="24"/>
          <w:szCs w:val="24"/>
        </w:rPr>
        <w:fldChar w:fldCharType="end"/>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GB"/>
        </w:rPr>
        <w:t>E-mail</w:t>
      </w:r>
      <w:r>
        <w:rPr>
          <w:rFonts w:hint="default" w:ascii="Times New Roman" w:hAnsi="Times New Roman" w:cs="Times New Roman"/>
          <w:sz w:val="24"/>
          <w:szCs w:val="24"/>
          <w:lang w:val="en-US"/>
        </w:rPr>
        <w:t>:</w:t>
      </w:r>
      <w:r>
        <w:rPr>
          <w:rFonts w:hint="default" w:ascii="Times New Roman" w:hAnsi="Times New Roman" w:cs="Times New Roman"/>
          <w:sz w:val="24"/>
          <w:szCs w:val="24"/>
          <w:lang w:val="en-GB"/>
        </w:rPr>
        <w:t xml:space="preserve"> </w:t>
      </w:r>
      <w:r>
        <w:fldChar w:fldCharType="begin"/>
      </w:r>
      <w:r>
        <w:instrText xml:space="preserve"> HYPERLINK "mailto:pe.ohale@unizik.edu.ng" </w:instrText>
      </w:r>
      <w:r>
        <w:fldChar w:fldCharType="separate"/>
      </w:r>
      <w:r>
        <w:rPr>
          <w:rStyle w:val="5"/>
          <w:rFonts w:hint="default" w:ascii="Times New Roman" w:hAnsi="Times New Roman"/>
          <w:sz w:val="24"/>
          <w:szCs w:val="24"/>
          <w:lang w:val="en-US"/>
        </w:rPr>
        <w:t>mc.menkiti@</w:t>
      </w:r>
      <w:r>
        <w:rPr>
          <w:rStyle w:val="5"/>
          <w:rFonts w:ascii="Times New Roman" w:hAnsi="Times New Roman"/>
          <w:sz w:val="24"/>
          <w:szCs w:val="24"/>
        </w:rPr>
        <w:t>unizik.edu.ng</w:t>
      </w:r>
      <w:r>
        <w:rPr>
          <w:rStyle w:val="5"/>
          <w:rFonts w:ascii="Times New Roman" w:hAnsi="Times New Roman"/>
          <w:sz w:val="24"/>
          <w:szCs w:val="24"/>
        </w:rPr>
        <w:fldChar w:fldCharType="end"/>
      </w:r>
    </w:p>
    <w:p>
      <w:pPr>
        <w:spacing w:after="0" w:line="240" w:lineRule="auto"/>
        <w:rPr>
          <w:rFonts w:hint="default" w:ascii="Times New Roman" w:hAnsi="Times New Roman" w:cs="Times New Roman"/>
          <w:b/>
          <w:bCs/>
          <w:sz w:val="24"/>
          <w:szCs w:val="24"/>
          <w:lang w:val="en-US"/>
        </w:rPr>
      </w:pPr>
      <w:r>
        <w:rPr>
          <w:rFonts w:ascii="Times New Roman" w:hAnsi="Times New Roman"/>
          <w:b/>
          <w:bCs/>
          <w:color w:val="000000" w:themeColor="text1"/>
          <w:sz w:val="24"/>
          <w:szCs w:val="24"/>
          <w:lang w:val="en-GB"/>
          <w14:textFill>
            <w14:solidFill>
              <w14:schemeClr w14:val="tx1"/>
            </w14:solidFill>
          </w14:textFill>
        </w:rPr>
        <w:t>ORCID</w:t>
      </w:r>
      <w:r>
        <w:rPr>
          <w:rFonts w:ascii="Times New Roman" w:hAnsi="Times New Roman"/>
          <w:color w:val="000000" w:themeColor="text1"/>
          <w:sz w:val="24"/>
          <w:szCs w:val="24"/>
          <w:lang w:val="en-GB"/>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olor w:val="000000" w:themeColor="text1"/>
          <w:sz w:val="24"/>
          <w:szCs w:val="24"/>
          <w:lang w:val="en-US"/>
          <w14:textFill>
            <w14:solidFill>
              <w14:schemeClr w14:val="tx1"/>
            </w14:solidFill>
          </w14:textFill>
        </w:rPr>
        <w:t>P. E Ohale</w:t>
      </w:r>
      <w:r>
        <w:rPr>
          <w:rFonts w:ascii="Times New Roman" w:hAnsi="Times New Roman" w:cs="Times New Roman"/>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r>
      <w:r>
        <w:rPr>
          <w:rFonts w:ascii="Times New Roman" w:hAnsi="Times New Roman"/>
          <w:b/>
          <w:bCs/>
          <w:color w:val="000000" w:themeColor="text1"/>
          <w:sz w:val="24"/>
          <w:szCs w:val="24"/>
          <w:lang w:val="en-GB"/>
          <w14:textFill>
            <w14:solidFill>
              <w14:schemeClr w14:val="tx1"/>
            </w14:solidFill>
          </w14:textFill>
        </w:rPr>
        <w:t>ORCID</w:t>
      </w:r>
      <w:r>
        <w:rPr>
          <w:rFonts w:ascii="Times New Roman" w:hAnsi="Times New Roman"/>
          <w:color w:val="000000" w:themeColor="text1"/>
          <w:sz w:val="24"/>
          <w:szCs w:val="24"/>
          <w:lang w:val="en-GB"/>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olor w:val="000000" w:themeColor="text1"/>
          <w:sz w:val="24"/>
          <w:szCs w:val="24"/>
          <w:lang w:val="en-US"/>
          <w14:textFill>
            <w14:solidFill>
              <w14:schemeClr w14:val="tx1"/>
            </w14:solidFill>
          </w14:textFill>
        </w:rPr>
        <w:t>M.C Menkiti</w:t>
      </w:r>
    </w:p>
    <w:p>
      <w:pPr>
        <w:autoSpaceDE w:val="0"/>
        <w:autoSpaceDN w:val="0"/>
        <w:adjustRightInd w:val="0"/>
        <w:spacing w:after="0" w:line="360" w:lineRule="auto"/>
        <w:jc w:val="both"/>
        <w:rPr>
          <w:rStyle w:val="5"/>
          <w:rFonts w:hint="default" w:ascii="Times New Roman" w:hAnsi="Times New Roman" w:eastAsia="SimSun" w:cs="Times New Roman"/>
          <w:sz w:val="24"/>
          <w:szCs w:val="24"/>
          <w:u w:val="none"/>
          <w:lang w:val="en-US"/>
        </w:rPr>
      </w:pPr>
      <w:r>
        <w:fldChar w:fldCharType="begin"/>
      </w:r>
      <w:r>
        <w:instrText xml:space="preserve"> HYPERLINK "https://orcid.org/0000-0001-5332-7742" </w:instrText>
      </w:r>
      <w:r>
        <w:fldChar w:fldCharType="separate"/>
      </w:r>
      <w:r>
        <w:rPr>
          <w:rStyle w:val="5"/>
          <w:rFonts w:ascii="Times New Roman" w:hAnsi="Times New Roman" w:eastAsia="SimSun" w:cs="Times New Roman"/>
          <w:sz w:val="24"/>
          <w:szCs w:val="24"/>
        </w:rPr>
        <w:t>https://orcid.org</w:t>
      </w:r>
      <w:r>
        <w:rPr>
          <w:rStyle w:val="5"/>
          <w:rFonts w:ascii="Times New Roman" w:hAnsi="Times New Roman" w:eastAsia="SimSun" w:cs="Times New Roman"/>
          <w:sz w:val="24"/>
          <w:szCs w:val="24"/>
        </w:rPr>
        <w:fldChar w:fldCharType="end"/>
      </w:r>
      <w:r>
        <w:rPr>
          <w:rStyle w:val="5"/>
          <w:rFonts w:ascii="Times New Roman" w:hAnsi="Times New Roman" w:eastAsia="SimSun" w:cs="Times New Roman"/>
          <w:sz w:val="24"/>
          <w:szCs w:val="24"/>
        </w:rPr>
        <w:t>/0000-0001-5332-7742</w:t>
      </w:r>
      <w:r>
        <w:rPr>
          <w:rStyle w:val="5"/>
          <w:rFonts w:ascii="Times New Roman" w:hAnsi="Times New Roman" w:eastAsia="SimSun"/>
          <w:sz w:val="24"/>
          <w:szCs w:val="24"/>
          <w:u w:val="none"/>
        </w:rPr>
        <w:tab/>
      </w:r>
      <w:r>
        <w:rPr>
          <w:rStyle w:val="5"/>
          <w:rFonts w:ascii="Times New Roman" w:hAnsi="Times New Roman" w:eastAsia="SimSun"/>
          <w:sz w:val="24"/>
          <w:szCs w:val="24"/>
          <w:u w:val="none"/>
        </w:rPr>
        <w:t xml:space="preserve">   </w:t>
      </w:r>
      <w:r>
        <w:rPr>
          <w:rStyle w:val="5"/>
          <w:rFonts w:hint="default" w:ascii="Times New Roman" w:hAnsi="Times New Roman" w:eastAsia="SimSun"/>
          <w:sz w:val="24"/>
          <w:szCs w:val="24"/>
          <w:u w:val="none"/>
          <w:lang w:val="en-US"/>
        </w:rPr>
        <w:tab/>
      </w:r>
      <w:r>
        <w:fldChar w:fldCharType="begin"/>
      </w:r>
      <w:r>
        <w:instrText xml:space="preserve"> HYPERLINK "https://orcid.org/0000-0001-5332-7742" </w:instrText>
      </w:r>
      <w:r>
        <w:fldChar w:fldCharType="separate"/>
      </w:r>
      <w:r>
        <w:rPr>
          <w:rStyle w:val="5"/>
          <w:rFonts w:ascii="Times New Roman" w:hAnsi="Times New Roman" w:eastAsia="SimSun" w:cs="Times New Roman"/>
          <w:sz w:val="24"/>
          <w:szCs w:val="24"/>
        </w:rPr>
        <w:t>https://orcid.org</w:t>
      </w:r>
      <w:r>
        <w:rPr>
          <w:rStyle w:val="5"/>
          <w:rFonts w:ascii="Times New Roman" w:hAnsi="Times New Roman" w:eastAsia="SimSun" w:cs="Times New Roman"/>
          <w:sz w:val="24"/>
          <w:szCs w:val="24"/>
        </w:rPr>
        <w:fldChar w:fldCharType="end"/>
      </w:r>
      <w:r>
        <w:rPr>
          <w:rStyle w:val="5"/>
          <w:rFonts w:ascii="Times New Roman" w:hAnsi="Times New Roman" w:eastAsia="SimSun" w:cs="Times New Roman"/>
          <w:sz w:val="24"/>
          <w:szCs w:val="24"/>
        </w:rPr>
        <w:t>/</w:t>
      </w:r>
      <w:r>
        <w:rPr>
          <w:rStyle w:val="5"/>
          <w:rFonts w:hint="default" w:ascii="Times New Roman" w:hAnsi="Times New Roman" w:eastAsia="SimSun"/>
          <w:sz w:val="24"/>
          <w:szCs w:val="24"/>
        </w:rPr>
        <w:t>0000-0002-2095-7294</w:t>
      </w:r>
    </w:p>
    <w:p>
      <w:pPr>
        <w:spacing w:after="0" w:line="240" w:lineRule="auto"/>
        <w:jc w:val="both"/>
        <w:rPr>
          <w:rFonts w:ascii="Times New Roman" w:hAnsi="Times New Roman" w:cs="Times New Roman"/>
          <w:i/>
          <w:iCs/>
          <w:sz w:val="24"/>
          <w:szCs w:val="24"/>
        </w:rPr>
      </w:pPr>
      <w:r>
        <w:rPr>
          <w:rFonts w:ascii="Times New Roman" w:hAnsi="Times New Roman" w:cs="Times New Roman"/>
          <w:i/>
          <w:iCs/>
          <w:sz w:val="28"/>
          <w:szCs w:val="28"/>
        </w:rPr>
        <w:t>*</w:t>
      </w:r>
      <w:r>
        <w:rPr>
          <w:rFonts w:ascii="Times New Roman" w:hAnsi="Times New Roman" w:cs="Times New Roman"/>
          <w:i/>
          <w:iCs/>
          <w:sz w:val="24"/>
          <w:szCs w:val="24"/>
        </w:rPr>
        <w:t>Corresponding author’s contact</w:t>
      </w:r>
    </w:p>
    <w:p>
      <w:pPr>
        <w:spacing w:after="0" w:line="240" w:lineRule="auto"/>
        <w:jc w:val="both"/>
        <w:rPr>
          <w:rFonts w:hint="default" w:ascii="Times New Roman" w:hAnsi="Times New Roman" w:cs="Times New Roman"/>
          <w:sz w:val="24"/>
          <w:szCs w:val="24"/>
          <w:lang w:val="en-US"/>
        </w:rPr>
      </w:pPr>
      <w:r>
        <w:rPr>
          <w:rFonts w:ascii="Times New Roman" w:hAnsi="Times New Roman" w:cs="Times New Roman"/>
          <w:sz w:val="24"/>
          <w:szCs w:val="24"/>
        </w:rPr>
        <w:t xml:space="preserve">Phone </w:t>
      </w:r>
      <w:r>
        <w:rPr>
          <w:rFonts w:ascii="Times New Roman" w:hAnsi="Times New Roman"/>
          <w:sz w:val="24"/>
          <w:szCs w:val="24"/>
        </w:rPr>
        <w:t>+234803</w:t>
      </w:r>
      <w:r>
        <w:rPr>
          <w:rFonts w:hint="default" w:ascii="Times New Roman" w:hAnsi="Times New Roman"/>
          <w:sz w:val="24"/>
          <w:szCs w:val="24"/>
          <w:lang w:val="en-US"/>
        </w:rPr>
        <w:t>7856752</w:t>
      </w:r>
    </w:p>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rPr>
        <w:t>E-mail</w:t>
      </w:r>
      <w:r>
        <w:rPr>
          <w:rFonts w:hint="default" w:ascii="Times New Roman" w:hAnsi="Times New Roman" w:cs="Times New Roman"/>
          <w:sz w:val="24"/>
          <w:szCs w:val="24"/>
          <w:lang w:val="en-US"/>
        </w:rPr>
        <w:t>:</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"mailto:cf.okey-onyesolu@unizik.edu.ng" </w:instrText>
      </w:r>
      <w:r>
        <w:rPr>
          <w:rFonts w:hint="default" w:ascii="Times New Roman" w:hAnsi="Times New Roman" w:cs="Times New Roman"/>
          <w:sz w:val="24"/>
          <w:szCs w:val="24"/>
        </w:rPr>
        <w:fldChar w:fldCharType="separate"/>
      </w:r>
      <w:r>
        <w:rPr>
          <w:rStyle w:val="5"/>
          <w:rFonts w:hint="default" w:ascii="Times New Roman" w:hAnsi="Times New Roman" w:cs="Times New Roman"/>
          <w:sz w:val="24"/>
          <w:szCs w:val="24"/>
        </w:rPr>
        <w:t>cf.okey-onyesolu@unizik.edu.ng</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w:t>
      </w:r>
    </w:p>
    <w:p>
      <w:pPr>
        <w:spacing w:after="0" w:line="240" w:lineRule="auto"/>
        <w:rPr>
          <w:rFonts w:hint="default" w:ascii="Times New Roman" w:hAnsi="Times New Roman" w:cs="Times New Roman"/>
          <w:b/>
          <w:bCs/>
          <w:sz w:val="24"/>
          <w:szCs w:val="24"/>
          <w:lang w:val="en-US"/>
        </w:rPr>
      </w:pPr>
      <w:r>
        <w:rPr>
          <w:rFonts w:ascii="Times New Roman" w:hAnsi="Times New Roman"/>
          <w:b/>
          <w:bCs/>
          <w:color w:val="000000" w:themeColor="text1"/>
          <w:sz w:val="24"/>
          <w:szCs w:val="24"/>
          <w:lang w:val="en-GB"/>
          <w14:textFill>
            <w14:solidFill>
              <w14:schemeClr w14:val="tx1"/>
            </w14:solidFill>
          </w14:textFill>
        </w:rPr>
        <w:t>ORCID</w:t>
      </w:r>
      <w:r>
        <w:rPr>
          <w:rFonts w:ascii="Times New Roman" w:hAnsi="Times New Roman"/>
          <w:color w:val="000000" w:themeColor="text1"/>
          <w:sz w:val="24"/>
          <w:szCs w:val="24"/>
          <w:lang w:val="en-GB"/>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olor w:val="000000" w:themeColor="text1"/>
          <w:sz w:val="24"/>
          <w:szCs w:val="24"/>
          <w:lang w:val="en-US"/>
          <w14:textFill>
            <w14:solidFill>
              <w14:schemeClr w14:val="tx1"/>
            </w14:solidFill>
          </w14:textFill>
        </w:rPr>
        <w:t>C. F. Okey-Onyesolu</w:t>
      </w:r>
    </w:p>
    <w:p>
      <w:pPr>
        <w:autoSpaceDE w:val="0"/>
        <w:autoSpaceDN w:val="0"/>
        <w:adjustRightInd w:val="0"/>
        <w:spacing w:after="0" w:line="360" w:lineRule="auto"/>
        <w:jc w:val="both"/>
        <w:rPr>
          <w:rStyle w:val="5"/>
          <w:rFonts w:hint="default" w:ascii="Times New Roman" w:hAnsi="Times New Roman" w:eastAsia="SimSun" w:cs="Times New Roman"/>
          <w:sz w:val="24"/>
          <w:szCs w:val="24"/>
          <w:u w:val="none"/>
          <w:lang w:val="en-US"/>
        </w:rPr>
      </w:pPr>
      <w:r>
        <w:fldChar w:fldCharType="begin"/>
      </w:r>
      <w:r>
        <w:instrText xml:space="preserve"> HYPERLINK "https://orcid.org/0000-0001-5332-7742" </w:instrText>
      </w:r>
      <w:r>
        <w:fldChar w:fldCharType="separate"/>
      </w:r>
      <w:r>
        <w:rPr>
          <w:rStyle w:val="5"/>
          <w:rFonts w:ascii="Times New Roman" w:hAnsi="Times New Roman" w:eastAsia="SimSun" w:cs="Times New Roman"/>
          <w:sz w:val="24"/>
          <w:szCs w:val="24"/>
        </w:rPr>
        <w:t>https://orcid.org</w:t>
      </w:r>
      <w:r>
        <w:rPr>
          <w:rStyle w:val="5"/>
          <w:rFonts w:ascii="Times New Roman" w:hAnsi="Times New Roman" w:eastAsia="SimSun" w:cs="Times New Roman"/>
          <w:sz w:val="24"/>
          <w:szCs w:val="24"/>
        </w:rPr>
        <w:fldChar w:fldCharType="end"/>
      </w:r>
      <w:r>
        <w:rPr>
          <w:rStyle w:val="5"/>
          <w:rFonts w:ascii="Times New Roman" w:hAnsi="Times New Roman" w:eastAsia="SimSun" w:cs="Times New Roman"/>
          <w:sz w:val="24"/>
          <w:szCs w:val="24"/>
        </w:rPr>
        <w:t>/0000-000</w:t>
      </w:r>
      <w:r>
        <w:rPr>
          <w:rStyle w:val="5"/>
          <w:rFonts w:hint="default" w:ascii="Times New Roman" w:hAnsi="Times New Roman" w:eastAsia="SimSun" w:cs="Times New Roman"/>
          <w:sz w:val="24"/>
          <w:szCs w:val="24"/>
          <w:lang w:val="en-US"/>
        </w:rPr>
        <w:t>2-4515-6960</w:t>
      </w:r>
    </w:p>
    <w:p>
      <w:pPr>
        <w:spacing w:line="360" w:lineRule="auto"/>
        <w:jc w:val="center"/>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Abstract</w:t>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The research was conducted to ascertain the efficacy of moringa leaf extracts (MOLE) and chitosan edible bio-preservative (MOCEB) in shelf-life extension of fresh tomato fruits. Functional group characterization revealed the presence of imines (C=N) at 1661.8 cm</w:t>
      </w:r>
      <w:r>
        <w:rPr>
          <w:rFonts w:hint="default" w:ascii="Times New Roman" w:hAnsi="Times New Roman" w:cs="Times New Roman"/>
          <w:i/>
          <w:iCs/>
          <w:sz w:val="24"/>
          <w:szCs w:val="24"/>
          <w:vertAlign w:val="superscript"/>
          <w:lang w:val="en-US"/>
        </w:rPr>
        <w:t>-1</w:t>
      </w:r>
      <w:r>
        <w:rPr>
          <w:rFonts w:hint="default" w:ascii="Times New Roman" w:hAnsi="Times New Roman" w:cs="Times New Roman"/>
          <w:i/>
          <w:iCs/>
          <w:sz w:val="24"/>
          <w:szCs w:val="24"/>
          <w:vertAlign w:val="baseline"/>
          <w:lang w:val="en-US"/>
        </w:rPr>
        <w:t xml:space="preserve"> which authenticated the cross-linking reaction between -NH</w:t>
      </w:r>
      <w:r>
        <w:rPr>
          <w:rFonts w:hint="default" w:ascii="Times New Roman" w:hAnsi="Times New Roman" w:cs="Times New Roman"/>
          <w:i/>
          <w:iCs/>
          <w:sz w:val="24"/>
          <w:szCs w:val="24"/>
          <w:vertAlign w:val="subscript"/>
          <w:lang w:val="en-US"/>
        </w:rPr>
        <w:t>2</w:t>
      </w:r>
      <w:r>
        <w:rPr>
          <w:rFonts w:hint="default" w:ascii="Times New Roman" w:hAnsi="Times New Roman" w:cs="Times New Roman"/>
          <w:i/>
          <w:iCs/>
          <w:sz w:val="24"/>
          <w:szCs w:val="24"/>
          <w:vertAlign w:val="baseline"/>
          <w:lang w:val="en-US"/>
        </w:rPr>
        <w:t xml:space="preserve"> of chitosan and carbonyl groups of MOLE. Hydrocarbon and phytochemical analysis with gas chromatography mass spectrometry (GC-MS) indicated that MOLE contained high amount of antimicrobial hydrocarbons (Pentadecane = 18.46%; Tridecane = 12.386%; Heptacosane = 12.013 %). Similarly, MOCEB was found to contain significant antioxidants including quercetin (10.265 %). After 20 days of non-refrigerated storage at 1% chitosan conc. and MOCEB ratio of 40:60, the tomato fruit maintained a titratable acidity (TA) of 2.1706 g/kg and reduction in weight loss of 20.01%. Zero-order (0.9797≤R</w:t>
      </w:r>
      <w:r>
        <w:rPr>
          <w:rFonts w:hint="default" w:ascii="Times New Roman" w:hAnsi="Times New Roman" w:cs="Times New Roman"/>
          <w:i/>
          <w:iCs/>
          <w:sz w:val="24"/>
          <w:szCs w:val="24"/>
          <w:vertAlign w:val="superscript"/>
          <w:lang w:val="en-US"/>
        </w:rPr>
        <w:t>2</w:t>
      </w:r>
      <w:r>
        <w:rPr>
          <w:rFonts w:hint="default" w:ascii="Times New Roman" w:hAnsi="Times New Roman" w:cs="Times New Roman"/>
          <w:i/>
          <w:iCs/>
          <w:sz w:val="24"/>
          <w:szCs w:val="24"/>
          <w:vertAlign w:val="baseline"/>
          <w:lang w:val="en-US"/>
        </w:rPr>
        <w:t>≤0.9815) and first order (0.8941≤R</w:t>
      </w:r>
      <w:r>
        <w:rPr>
          <w:rFonts w:hint="default" w:ascii="Times New Roman" w:hAnsi="Times New Roman" w:cs="Times New Roman"/>
          <w:i/>
          <w:iCs/>
          <w:sz w:val="24"/>
          <w:szCs w:val="24"/>
          <w:vertAlign w:val="superscript"/>
          <w:lang w:val="en-US"/>
        </w:rPr>
        <w:t>2</w:t>
      </w:r>
      <w:r>
        <w:rPr>
          <w:rFonts w:hint="default" w:ascii="Times New Roman" w:hAnsi="Times New Roman" w:cs="Times New Roman"/>
          <w:i/>
          <w:iCs/>
          <w:sz w:val="24"/>
          <w:szCs w:val="24"/>
          <w:vertAlign w:val="baseline"/>
          <w:lang w:val="en-US"/>
        </w:rPr>
        <w:t>≤0.9417) models were superior in describing the bio-preservation process at chitosan conc. and MOCEB mixing ratio, respectively. Assay studies showed the efficacy of MOCEB biofilm in antagonizing the growth of gram-positive (r</w:t>
      </w:r>
      <w:r>
        <w:rPr>
          <w:rFonts w:hint="default" w:ascii="Times New Roman" w:hAnsi="Times New Roman" w:cs="Times New Roman"/>
          <w:i/>
          <w:iCs/>
          <w:sz w:val="24"/>
          <w:szCs w:val="24"/>
          <w:vertAlign w:val="subscript"/>
          <w:lang w:val="en-US"/>
        </w:rPr>
        <w:t>A</w:t>
      </w:r>
      <w:r>
        <w:rPr>
          <w:rFonts w:hint="default" w:ascii="Times New Roman" w:hAnsi="Times New Roman" w:cs="Times New Roman"/>
          <w:i/>
          <w:iCs/>
          <w:sz w:val="24"/>
          <w:szCs w:val="24"/>
          <w:vertAlign w:val="baseline"/>
          <w:lang w:val="en-US"/>
        </w:rPr>
        <w:t xml:space="preserve"> = 7.93 mm) and gram-negative (r</w:t>
      </w:r>
      <w:r>
        <w:rPr>
          <w:rFonts w:hint="default" w:ascii="Times New Roman" w:hAnsi="Times New Roman" w:cs="Times New Roman"/>
          <w:i/>
          <w:iCs/>
          <w:sz w:val="24"/>
          <w:szCs w:val="24"/>
          <w:vertAlign w:val="subscript"/>
          <w:lang w:val="en-US"/>
        </w:rPr>
        <w:t>A</w:t>
      </w:r>
      <w:r>
        <w:rPr>
          <w:rFonts w:hint="default" w:ascii="Times New Roman" w:hAnsi="Times New Roman" w:cs="Times New Roman"/>
          <w:i/>
          <w:iCs/>
          <w:sz w:val="24"/>
          <w:szCs w:val="24"/>
          <w:vertAlign w:val="baseline"/>
          <w:lang w:val="en-US"/>
        </w:rPr>
        <w:t xml:space="preserve"> = 7.73 mm) bacteria, and authenticated the anti-oxidant activity (DPPH = 71% and FRAP = 0.62). The results from this study demonstrated that MOCEB biofilm can be employed to significantly reduce the post-harvest losses of tomato fruits through coating bio-preservation. </w:t>
      </w: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Key words</w:t>
      </w:r>
      <w:r>
        <w:rPr>
          <w:rFonts w:hint="default" w:ascii="Times New Roman" w:hAnsi="Times New Roman" w:cs="Times New Roman"/>
          <w:sz w:val="24"/>
          <w:szCs w:val="24"/>
          <w:lang w:val="en-US"/>
        </w:rPr>
        <w:t xml:space="preserve">: Bio-preservation; Biofilm; Coating; Tomato fruit; </w:t>
      </w:r>
      <w:r>
        <w:rPr>
          <w:rFonts w:hint="default" w:ascii="Times New Roman" w:hAnsi="Times New Roman" w:cs="Times New Roman"/>
          <w:i/>
          <w:iCs/>
          <w:sz w:val="24"/>
          <w:szCs w:val="24"/>
          <w:lang w:val="en-US"/>
        </w:rPr>
        <w:t>Moringa</w:t>
      </w:r>
      <w:r>
        <w:rPr>
          <w:rFonts w:hint="default" w:ascii="Times New Roman" w:hAnsi="Times New Roman" w:cs="Times New Roman"/>
          <w:sz w:val="24"/>
          <w:szCs w:val="24"/>
          <w:lang w:val="en-US"/>
        </w:rPr>
        <w:t xml:space="preserve"> leaf extract.</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hint="default" w:ascii="Times New Roman" w:hAnsi="Times New Roman"/>
          <w:sz w:val="26"/>
          <w:szCs w:val="26"/>
        </w:rPr>
      </w:pPr>
      <w:r>
        <w:rPr>
          <w:rFonts w:hint="default" w:ascii="Times New Roman" w:hAnsi="Times New Roman"/>
          <w:b/>
          <w:bCs/>
          <w:sz w:val="26"/>
          <w:szCs w:val="26"/>
        </w:rPr>
        <w:t>Introduction</w:t>
      </w:r>
    </w:p>
    <w:p>
      <w:pPr>
        <w:spacing w:line="360" w:lineRule="auto"/>
        <w:jc w:val="both"/>
        <w:rPr>
          <w:rFonts w:hint="default" w:ascii="Times New Roman" w:hAnsi="Times New Roman"/>
          <w:sz w:val="26"/>
          <w:szCs w:val="26"/>
        </w:rPr>
      </w:pPr>
      <w:r>
        <w:rPr>
          <w:rFonts w:hint="default" w:ascii="Times New Roman" w:hAnsi="Times New Roman"/>
          <w:sz w:val="26"/>
          <w:szCs w:val="26"/>
        </w:rPr>
        <w:t xml:space="preserve">The consumption of fresh and naturally grown fruits and vegetables is becoming increasingly common to consumers, but the preservation of these fruits and vegetables have become a major global problem to the food industry </w:t>
      </w:r>
      <w:r>
        <w:rPr>
          <w:rFonts w:hint="default" w:ascii="Times New Roman" w:hAnsi="Times New Roman"/>
          <w:sz w:val="26"/>
          <w:szCs w:val="26"/>
        </w:rPr>
        <w:fldChar w:fldCharType="begin"/>
      </w:r>
      <w:r>
        <w:rPr>
          <w:rFonts w:hint="default" w:ascii="Times New Roman" w:hAnsi="Times New Roman"/>
          <w:sz w:val="26"/>
          <w:szCs w:val="26"/>
          <w:lang w:val="en-US"/>
        </w:rPr>
        <w:instrText xml:space="preserve"> ADDIN EN.CITE &lt;EndNote&gt;&lt;Cite&gt;&lt;Author&gt;Kayode&lt;/Author&gt;&lt;Year&gt;2014&lt;/Year&gt;&lt;RecNum&gt;147&lt;/RecNum&gt;&lt;DisplayText&gt;(Kayode and Afolayan, 2014)&lt;/DisplayText&gt;&lt;record&gt;&lt;rec-number&gt;147&lt;/rec-number&gt;&lt;foreign-keys&gt;&lt;key app="EN" db-id="edvassfwttpfsqe0xsop2wwg2f05wx552500" timestamp="1700163269"&gt;147&lt;/key&gt;&lt;/foreign-keys&gt;&lt;ref-type name="Journal Article"&gt;17&lt;/ref-type&gt;&lt;contributors&gt;&lt;authors&gt;&lt;author&gt;Kayode, Rowland MO&lt;/author&gt;&lt;author&gt;Afolayan, Anthony J&lt;/author&gt;&lt;/authors&gt;&lt;/contributors&gt;&lt;titles&gt;&lt;title&gt;Microbiological and chemical evaluation of decomposed open pollinated tomato (Lycopersicon esculentum) fruits in storage&lt;/title&gt;&lt;secondary-title&gt;Journal of Pure and Applied Microbiology&lt;/secondary-title&gt;&lt;/titles&gt;&lt;periodical&gt;&lt;full-title&gt;Journal of Pure and Applied Microbiology&lt;/full-title&gt;&lt;/periodical&gt;&lt;pages&gt;4441-4449&lt;/pages&gt;&lt;volume&gt;8&lt;/volume&gt;&lt;number&gt;6&lt;/number&gt;&lt;dates&gt;&lt;year&gt;2014&lt;/year&gt;&lt;/dates&gt;&lt;urls&gt;&lt;/urls&gt;&lt;/record&gt;&lt;/Cite&gt;&lt;/EndNote&gt;</w:instrText>
      </w:r>
      <w:r>
        <w:rPr>
          <w:rFonts w:hint="default" w:ascii="Times New Roman" w:hAnsi="Times New Roman"/>
          <w:sz w:val="26"/>
          <w:szCs w:val="26"/>
        </w:rPr>
        <w:fldChar w:fldCharType="separate"/>
      </w:r>
      <w:r>
        <w:rPr>
          <w:rFonts w:hint="default" w:ascii="Times New Roman" w:hAnsi="Times New Roman" w:eastAsiaTheme="minorEastAsia" w:cstheme="minorBidi"/>
          <w:sz w:val="26"/>
          <w:szCs w:val="26"/>
          <w:lang w:val="en-US" w:eastAsia="zh-CN" w:bidi="ar-SA"/>
        </w:rPr>
        <w:t>(Kayode and Afolayan, 2014)</w:t>
      </w:r>
      <w:r>
        <w:rPr>
          <w:rFonts w:hint="default" w:ascii="Times New Roman" w:hAnsi="Times New Roman"/>
          <w:sz w:val="26"/>
          <w:szCs w:val="26"/>
        </w:rPr>
        <w:fldChar w:fldCharType="end"/>
      </w:r>
      <w:r>
        <w:rPr>
          <w:rFonts w:hint="default" w:ascii="Times New Roman" w:hAnsi="Times New Roman"/>
          <w:sz w:val="26"/>
          <w:szCs w:val="26"/>
        </w:rPr>
        <w:t>. Tomato (</w:t>
      </w:r>
      <w:r>
        <w:rPr>
          <w:rFonts w:hint="default" w:ascii="Times New Roman" w:hAnsi="Times New Roman"/>
          <w:i/>
          <w:iCs/>
          <w:sz w:val="26"/>
          <w:szCs w:val="26"/>
        </w:rPr>
        <w:t>Solanum Cycopersium</w:t>
      </w:r>
      <w:r>
        <w:rPr>
          <w:rFonts w:hint="default" w:ascii="Times New Roman" w:hAnsi="Times New Roman"/>
          <w:sz w:val="26"/>
          <w:szCs w:val="26"/>
        </w:rPr>
        <w:t>) is one of the most widely grown vegetable crops in the world</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&lt;EndNote&gt;&lt;Cite&gt;&lt;Author&gt;Mahfoudhi&lt;/Author&gt;&lt;Year&gt;2014&lt;/Year&gt;&lt;RecNum&gt;149&lt;/RecNum&gt;&lt;DisplayText&gt;(Mahfoudhi et al., 2014)&lt;/DisplayText&gt;&lt;record&gt;&lt;rec-number&gt;149&lt;/rec-number&gt;&lt;foreign-keys&gt;&lt;key app="EN" db-id="edvassfwttpfsqe0xsop2wwg2f05wx552500" timestamp="1700474194"&gt;149&lt;/key&gt;&lt;/foreign-keys&gt;&lt;ref-type name="Journal Article"&gt;17&lt;/ref-type&gt;&lt;contributors&gt;&lt;authors&gt;&lt;author&gt;Mahfoudhi, Nesrine&lt;/author&gt;&lt;author&gt;Chouaibi, Moncef&lt;/author&gt;&lt;author&gt;Hamdi, Salem&lt;/author&gt;&lt;/authors&gt;&lt;/contributors&gt;&lt;titles&gt;&lt;title&gt;Effectiveness of almond gum trees exudate as a novel edible coating for improving postharvest quality of tomato (Solanum lycopersicum L.) fruits&lt;/title&gt;&lt;secondary-title&gt;Food Science and Technology International&lt;/secondary-title&gt;&lt;/titles&gt;&lt;periodical&gt;&lt;full-title&gt;Food Science and Technology International&lt;/full-title&gt;&lt;/periodical&gt;&lt;pages&gt;33-43&lt;/pages&gt;&lt;volume&gt;20&lt;/volume&gt;&lt;number&gt;1&lt;/number&gt;&lt;dates&gt;&lt;year&gt;2014&lt;/year&gt;&lt;/dates&gt;&lt;isbn&gt;1082-0132&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(Mahfoudhi et al., 2014)</w:t>
      </w:r>
      <w:r>
        <w:rPr>
          <w:rFonts w:hint="default" w:ascii="Times New Roman" w:hAnsi="Times New Roman"/>
          <w:sz w:val="26"/>
          <w:szCs w:val="26"/>
          <w:lang w:val="en-US"/>
        </w:rPr>
        <w:fldChar w:fldCharType="end"/>
      </w:r>
      <w:r>
        <w:rPr>
          <w:rFonts w:hint="default" w:ascii="Times New Roman" w:hAnsi="Times New Roman"/>
          <w:sz w:val="26"/>
          <w:szCs w:val="26"/>
        </w:rPr>
        <w:t>. About 130 mega tonnes of tomatoes are produced annually in the globe; this is due to the availability throughout the year in most tropical regions of the world. Tomato is rich in vitamins (such as vitamin A, vitamin C), carbohydrate, protein, fibre and potassium</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&lt;EndNote&gt;&lt;Cite&gt;&lt;Author&gt;Ruelas-Chacon&lt;/Author&gt;&lt;Year&gt;2017&lt;/Year&gt;&lt;RecNum&gt;150&lt;/RecNum&gt;&lt;DisplayText&gt;(Ruelas-Chacon et al., 2017)&lt;/DisplayText&gt;&lt;record&gt;&lt;rec-number&gt;150&lt;/rec-number&gt;&lt;foreign-keys&gt;&lt;key app="EN" db-id="edvassfwttpfsqe0xsop2wwg2f05wx552500" timestamp="1700474260"&gt;150&lt;/key&gt;&lt;/foreign-keys&gt;&lt;ref-type name="Journal Article"&gt;17&lt;/ref-type&gt;&lt;contributors&gt;&lt;authors&gt;&lt;author&gt;Ruelas-Chacon, X&lt;/author&gt;&lt;author&gt;Contreras-Esquivel, JC&lt;/author&gt;&lt;author&gt;Montañez, J&lt;/author&gt;&lt;author&gt;Aguilera-Carbo, AF&lt;/author&gt;&lt;author&gt;Reyes-Vega, ML&lt;/author&gt;&lt;author&gt;Peralta-Rodriguez, RD&lt;/author&gt;&lt;author&gt;Sanchéz-Brambila, G&lt;/author&gt;&lt;/authors&gt;&lt;/contributors&gt;&lt;titles&gt;&lt;title&gt;Guar gum as an edible coating for enhancing shelf-life and improving postharvest quality of roma tomato (Solanum lycopersicum L.)&lt;/title&gt;&lt;secondary-title&gt;Journal of Food Quality&lt;/secondary-title&gt;&lt;/titles&gt;&lt;periodical&gt;&lt;full-title&gt;Journal of Food Quality&lt;/full-title&gt;&lt;/periodical&gt;&lt;volume&gt;2017&lt;/volume&gt;&lt;dates&gt;&lt;year&gt;2017&lt;/year&gt;&lt;/dates&gt;&lt;isbn&gt;0146-9428&lt;/isbn&gt;&lt;urls&gt;&lt;/urls&gt;&lt;/record&gt;&lt;/Cite&gt;&lt;/EndNote&gt;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(Ruelas-Chacon et al., 2017)</w:t>
      </w:r>
      <w:r>
        <w:rPr>
          <w:rFonts w:hint="default" w:ascii="Times New Roman" w:hAnsi="Times New Roman"/>
          <w:sz w:val="26"/>
          <w:szCs w:val="26"/>
          <w:lang w:val="en-US"/>
        </w:rPr>
        <w:fldChar w:fldCharType="end"/>
      </w:r>
      <w:r>
        <w:rPr>
          <w:rFonts w:hint="default" w:ascii="Times New Roman" w:hAnsi="Times New Roman"/>
          <w:sz w:val="26"/>
          <w:szCs w:val="26"/>
        </w:rPr>
        <w:t>. It is also rich in lycopene which has many health benefits such as, the prevention of cancers, and improvement in the skin’s ability to protect itself against the sun’s harmful ultraviolet rays</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&lt;EndNote&gt;&lt;Cite&gt;&lt;Author&gt;Tarangini&lt;/Author&gt;&lt;Year&gt;2022&lt;/Year&gt;&lt;RecNum&gt;148&lt;/RecNum&gt;&lt;DisplayText&gt;(Tarangini et al., 2022)&lt;/DisplayText&gt;&lt;record&gt;&lt;rec-number&gt;148&lt;/rec-number&gt;&lt;foreign-keys&gt;&lt;key app="EN" db-id="edvassfwttpfsqe0xsop2wwg2f05wx552500" timestamp="1700474157"&gt;148&lt;/key&gt;&lt;/foreign-keys&gt;&lt;ref-type name="Journal Article"&gt;17&lt;/ref-type&gt;&lt;contributors&gt;&lt;authors&gt;&lt;author&gt;Tarangini, Korumilli&lt;/author&gt;&lt;author&gt;Kavi, Palepu&lt;/author&gt;&lt;author&gt;Jagajjanani Rao, Korukonda&lt;/author&gt;&lt;/authors&gt;&lt;/contributors&gt;&lt;titles&gt;&lt;title&gt;Application of sericin‐based edible coating material for postharvest shelf‐life extension and preservation of tomatoes&lt;/title&gt;&lt;secondary-title&gt;eFood&lt;/secondary-title&gt;&lt;/titles&gt;&lt;periodical&gt;&lt;full-title&gt;eFood&lt;/full-title&gt;&lt;/periodical&gt;&lt;pages&gt;e36&lt;/pages&gt;&lt;volume&gt;3&lt;/volume&gt;&lt;number&gt;5&lt;/number&gt;&lt;dates&gt;&lt;year&gt;2022&lt;/year&gt;&lt;/dates&gt;&lt;isbn&gt;2666-3066&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(Tarangini et al., 2022)</w:t>
      </w:r>
      <w:r>
        <w:rPr>
          <w:rFonts w:hint="default" w:ascii="Times New Roman" w:hAnsi="Times New Roman"/>
          <w:sz w:val="26"/>
          <w:szCs w:val="26"/>
          <w:lang w:val="en-US"/>
        </w:rPr>
        <w:fldChar w:fldCharType="end"/>
      </w:r>
      <w:r>
        <w:rPr>
          <w:rFonts w:hint="default" w:ascii="Times New Roman" w:hAnsi="Times New Roman"/>
          <w:sz w:val="26"/>
          <w:szCs w:val="26"/>
        </w:rPr>
        <w:t>. Tomato is regarded as an ‘easy to damage’ kind of fruit, due to its climacteric characteristics of continuous ripening after harvest. The shelf life of untreated tomato fruit varies between 4 - 8 days at room temperature, depending on the mode of preservation</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&lt;EndNote&gt;&lt;Cite&gt;&lt;Author&gt;Pinheiro&lt;/Author&gt;&lt;Year&gt;2015&lt;/Year&gt;&lt;RecNum&gt;434&lt;/RecNum&gt;&lt;DisplayText&gt;(Pinheiro et al., 2015, Nasrin et al., 2008)&lt;/DisplayText&gt;&lt;record&gt;&lt;rec-number&gt;434&lt;/rec-number&gt;&lt;foreign-keys&gt;&lt;key app="EN" db-id="edvassfwttpfsqe0xsop2wwg2f05wx552500" timestamp="1705213674"&gt;434&lt;/key&gt;&lt;/foreign-keys&gt;&lt;ref-type name="Journal Article"&gt;17&lt;/ref-type&gt;&lt;contributors&gt;&lt;authors&gt;&lt;author&gt;Pinheiro, Joaquina&lt;/author&gt;&lt;author&gt;Alegria, Carla&lt;/author&gt;&lt;author&gt;Abreu, Marta&lt;/author&gt;&lt;author&gt;Gonçalves, Elsa M&lt;/author&gt;&lt;author&gt;Silva, Cristina LM&lt;/author&gt;&lt;/authors&gt;&lt;/contributors&gt;&lt;titles&gt;&lt;title&gt;Use of UV-C postharvest treatment for extending fresh whole tomato (Solanum lycopersicum, cv. Zinac) shelf-life&lt;/title&gt;&lt;secondary-title&gt;Journal of food science and technology&lt;/secondary-title&gt;&lt;/titles&gt;&lt;periodical&gt;&lt;full-title&gt;Journal of food science and technology&lt;/full-title&gt;&lt;/periodical&gt;&lt;pages&gt;5066-5074&lt;/pages&gt;&lt;volume&gt;52&lt;/volume&gt;&lt;dates&gt;&lt;year&gt;2015&lt;/year&gt;&lt;/dates&gt;&lt;isbn&gt;0022-1155&lt;/isbn&gt;&lt;urls&gt;&lt;/urls&gt;&lt;/record&gt;&lt;/Cite&gt;&lt;Cite&gt;&lt;Author&gt;Nasrin&lt;/Author&gt;&lt;Year&gt;2008&lt;/Year&gt;&lt;RecNum&gt;433&lt;/RecNum&gt;&lt;record&gt;&lt;rec-number&gt;433&lt;/rec-number&gt;&lt;foreign-keys&gt;&lt;key app="EN" db-id="edvassfwttpfsqe0xsop2wwg2f05wx552500" timestamp="1705213644"&gt;433&lt;/key&gt;&lt;/foreign-keys&gt;&lt;ref-type name="Journal Article"&gt;17&lt;/ref-type&gt;&lt;contributors&gt;&lt;authors&gt;&lt;author&gt;Nasrin, TAA&lt;/author&gt;&lt;author&gt;Molla, MM&lt;/author&gt;&lt;author&gt;Hossaen, M Alamgir&lt;/author&gt;&lt;author&gt;Alam, MS&lt;/author&gt;&lt;author&gt;Yasmin, L&lt;/author&gt;&lt;/authors&gt;&lt;/contributors&gt;&lt;titles&gt;&lt;title&gt;Effect of postharvest treatments on shelf life and quality of tomato&lt;/title&gt;&lt;secondary-title&gt;Bangladesh Journal of Agricultural Research&lt;/secondary-title&gt;&lt;/titles&gt;&lt;periodical&gt;&lt;full-title&gt;Bangladesh Journal of Agricultural Research&lt;/full-title&gt;&lt;/periodical&gt;&lt;pages&gt;579-585&lt;/pages&gt;&lt;volume&gt;33&lt;/volume&gt;&lt;number&gt;4&lt;/number&gt;&lt;dates&gt;&lt;year&gt;2008&lt;/year&gt;&lt;/dates&gt;&lt;isbn&gt;2408-8293&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(Pinheiro et al., 2015, Nasrin et al., 2008)</w:t>
      </w:r>
      <w:r>
        <w:rPr>
          <w:rFonts w:hint="default" w:ascii="Times New Roman" w:hAnsi="Times New Roman"/>
          <w:sz w:val="26"/>
          <w:szCs w:val="26"/>
          <w:lang w:val="en-US"/>
        </w:rPr>
        <w:fldChar w:fldCharType="end"/>
      </w:r>
      <w:r>
        <w:rPr>
          <w:rFonts w:hint="default" w:ascii="Times New Roman" w:hAnsi="Times New Roman"/>
          <w:sz w:val="26"/>
          <w:szCs w:val="26"/>
        </w:rPr>
        <w:t>.</w:t>
      </w:r>
    </w:p>
    <w:p>
      <w:pPr>
        <w:spacing w:line="360" w:lineRule="auto"/>
        <w:jc w:val="both"/>
        <w:rPr>
          <w:rFonts w:hint="default" w:ascii="Times New Roman" w:hAnsi="Times New Roman"/>
          <w:sz w:val="26"/>
          <w:szCs w:val="26"/>
        </w:rPr>
      </w:pPr>
      <w:r>
        <w:rPr>
          <w:rFonts w:hint="default" w:ascii="Times New Roman" w:hAnsi="Times New Roman"/>
          <w:sz w:val="26"/>
          <w:szCs w:val="26"/>
        </w:rPr>
        <w:t>Nigeria is the 14th largest producer of tomato in the world and the 2nd largest Tomato producer in Africa</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&lt;EndNote&gt;&lt;Cite&gt;&lt;Author&gt;Olanrewaju&lt;/Author&gt;&lt;Year&gt;2019&lt;/Year&gt;&lt;RecNum&gt;435&lt;/RecNum&gt;&lt;DisplayText&gt;(Olanrewaju et al., 2019)&lt;/DisplayText&gt;&lt;record&gt;&lt;rec-number&gt;435&lt;/rec-number&gt;&lt;foreign-keys&gt;&lt;key app="EN" db-id="edvassfwttpfsqe0xsop2wwg2f05wx552500" timestamp="1705214253"&gt;435&lt;/key&gt;&lt;/foreign-keys&gt;&lt;ref-type name="Generic"&gt;13&lt;/ref-type&gt;&lt;contributors&gt;&lt;authors&gt;&lt;author&gt;Olanrewaju, T&lt;/author&gt;&lt;author&gt;Jacobs, IA&lt;/author&gt;&lt;author&gt;Suleiman, R&lt;/author&gt;&lt;author&gt;Abubakar, MI&lt;/author&gt;&lt;/authors&gt;&lt;/contributors&gt;&lt;titles&gt;&lt;title&gt;Trend analysis of tomato production in Nigeria 2010 to 2014&lt;/title&gt;&lt;/titles&gt;&lt;dates&gt;&lt;year&gt;2019&lt;/year&gt;&lt;/dates&gt;&lt;urls&gt;&lt;/urls&gt;&lt;/record&gt;&lt;/Cite&gt;&lt;/EndNote&gt;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(Olanrewaju et al., 2019)</w:t>
      </w:r>
      <w:r>
        <w:rPr>
          <w:rFonts w:hint="default" w:ascii="Times New Roman" w:hAnsi="Times New Roman"/>
          <w:sz w:val="26"/>
          <w:szCs w:val="26"/>
          <w:lang w:val="en-US"/>
        </w:rPr>
        <w:fldChar w:fldCharType="end"/>
      </w:r>
      <w:r>
        <w:rPr>
          <w:rFonts w:hint="default" w:ascii="Times New Roman" w:hAnsi="Times New Roman"/>
          <w:sz w:val="26"/>
          <w:szCs w:val="26"/>
        </w:rPr>
        <w:t xml:space="preserve">. Nigeria produced more than 3.9 million tonnes of tomatoes in 2019, and recorded about 45 – 60 percent of </w:t>
      </w:r>
      <w:r>
        <w:rPr>
          <w:rFonts w:hint="default" w:ascii="Times New Roman" w:hAnsi="Times New Roman"/>
          <w:sz w:val="26"/>
          <w:szCs w:val="26"/>
          <w:lang w:val="en-US"/>
        </w:rPr>
        <w:t>this</w:t>
      </w:r>
      <w:r>
        <w:rPr>
          <w:rFonts w:hint="default" w:ascii="Times New Roman" w:hAnsi="Times New Roman"/>
          <w:sz w:val="26"/>
          <w:szCs w:val="26"/>
        </w:rPr>
        <w:t xml:space="preserve"> annual </w:t>
      </w:r>
      <w:r>
        <w:rPr>
          <w:rFonts w:hint="default" w:ascii="Times New Roman" w:hAnsi="Times New Roman"/>
          <w:sz w:val="26"/>
          <w:szCs w:val="26"/>
          <w:lang w:val="en-US"/>
        </w:rPr>
        <w:t xml:space="preserve">production to </w:t>
      </w:r>
      <w:r>
        <w:rPr>
          <w:rFonts w:hint="default" w:ascii="Times New Roman" w:hAnsi="Times New Roman"/>
          <w:sz w:val="26"/>
          <w:szCs w:val="26"/>
        </w:rPr>
        <w:t>losses</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&lt;EndNote&gt;&lt;Cite&gt;&lt;Author&gt;Sibomana&lt;/Author&gt;&lt;Year&gt;2019&lt;/Year&gt;&lt;RecNum&gt;436&lt;/RecNum&gt;&lt;DisplayText&gt;(Sibomana et al., 2019)&lt;/DisplayText&gt;&lt;record&gt;&lt;rec-number&gt;436&lt;/rec-number&gt;&lt;foreign-keys&gt;&lt;key app="EN" db-id="edvassfwttpfsqe0xsop2wwg2f05wx552500" timestamp="1705214454"&gt;436&lt;/key&gt;&lt;/foreign-keys&gt;&lt;ref-type name="Journal Article"&gt;17&lt;/ref-type&gt;&lt;contributors&gt;&lt;authors&gt;&lt;author&gt;Sibomana, Milindi&lt;/author&gt;&lt;author&gt;Quadt, Eruore Peace&lt;/author&gt;&lt;author&gt;Blessing, Frits&lt;/author&gt;&lt;author&gt;Akinwekomi, Emmanuel&lt;/author&gt;&lt;author&gt;van der Waal, Hans Willem&lt;/author&gt;&lt;author&gt;Clercx, Luud&lt;/author&gt;&lt;/authors&gt;&lt;/contributors&gt;&lt;titles&gt;&lt;title&gt;Improving Inland Transport Modalities for Vegetables and Food Crops between Production Zones, Urban Conglomerations and Export Hubs&lt;/title&gt;&lt;/titles&gt;&lt;dates&gt;&lt;year&gt;2019&lt;/year&gt;&lt;/dates&gt;&lt;urls&gt;&lt;/urls&gt;&lt;/record&gt;&lt;/Cite&gt;&lt;/EndNote&gt;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(Sibomana et al., 2019)</w:t>
      </w:r>
      <w:r>
        <w:rPr>
          <w:rFonts w:hint="default" w:ascii="Times New Roman" w:hAnsi="Times New Roman"/>
          <w:sz w:val="26"/>
          <w:szCs w:val="26"/>
          <w:lang w:val="en-US"/>
        </w:rPr>
        <w:fldChar w:fldCharType="end"/>
      </w:r>
      <w:r>
        <w:rPr>
          <w:rFonts w:hint="default" w:ascii="Times New Roman" w:hAnsi="Times New Roman"/>
          <w:sz w:val="26"/>
          <w:szCs w:val="26"/>
        </w:rPr>
        <w:t xml:space="preserve">. This post harvest losses can be attributed to microbial decay and physiological activity during transportation and storage. In time past, different modes of food preservation, such as drying, freezing, curing and canning, were used to extend the shelf life of food crops </w:t>
      </w:r>
      <w:r>
        <w:rPr>
          <w:rFonts w:hint="default" w:ascii="Times New Roman" w:hAnsi="Times New Roman"/>
          <w:sz w:val="26"/>
          <w:szCs w:val="26"/>
        </w:rPr>
        <w:fldChar w:fldCharType="begin"/>
      </w:r>
      <w:r>
        <w:rPr>
          <w:rFonts w:hint="default" w:ascii="Times New Roman" w:hAnsi="Times New Roman"/>
          <w:sz w:val="26"/>
          <w:szCs w:val="26"/>
          <w:lang w:val="en-US"/>
        </w:rPr>
        <w:instrText xml:space="preserve"> ADDIN EN.CITE &lt;EndNote&gt;&lt;Cite&gt;&lt;Author&gt;Islam&lt;/Author&gt;&lt;Year&gt;2018&lt;/Year&gt;&lt;RecNum&gt;437&lt;/RecNum&gt;&lt;DisplayText&gt;(Islam et al., 2018)&lt;/DisplayText&gt;&lt;record&gt;&lt;rec-number&gt;437&lt;/rec-number&gt;&lt;foreign-keys&gt;&lt;key app="EN" db-id="edvassfwttpfsqe0xsop2wwg2f05wx552500" timestamp="1705214755"&gt;437&lt;/key&gt;&lt;/foreign-keys&gt;&lt;ref-type name="Journal Article"&gt;17&lt;/ref-type&gt;&lt;contributors&gt;&lt;authors&gt;&lt;author&gt;Islam, T&lt;/author&gt;&lt;author&gt;Afrin, N&lt;/author&gt;&lt;author&gt;Parvin, S&lt;/author&gt;&lt;author&gt;Dana, NH&lt;/author&gt;&lt;author&gt;Rahman, KS&lt;/author&gt;&lt;author&gt;Zzaman, W&lt;/author&gt;&lt;author&gt;Islam, MN&lt;/author&gt;&lt;/authors&gt;&lt;/contributors&gt;&lt;titles&gt;&lt;title&gt;The impact of chitosan and guava leaf extract as preservative to extend the shelf-life of fruits&lt;/title&gt;&lt;secondary-title&gt;International Food Research Journal&lt;/secondary-title&gt;&lt;/titles&gt;&lt;periodical&gt;&lt;full-title&gt;International Food Research Journal&lt;/full-title&gt;&lt;/periodical&gt;&lt;volume&gt;25&lt;/volume&gt;&lt;number&gt;5&lt;/number&gt;&lt;dates&gt;&lt;year&gt;2018&lt;/year&gt;&lt;/dates&gt;&lt;isbn&gt;1985-4668&lt;/isbn&gt;&lt;urls&gt;&lt;/urls&gt;&lt;/record&gt;&lt;/Cite&gt;&lt;/EndNote&gt;</w:instrText>
      </w:r>
      <w:r>
        <w:rPr>
          <w:rFonts w:hint="default" w:ascii="Times New Roman" w:hAnsi="Times New Roman"/>
          <w:sz w:val="26"/>
          <w:szCs w:val="26"/>
        </w:rPr>
        <w:fldChar w:fldCharType="separate"/>
      </w:r>
      <w:r>
        <w:rPr>
          <w:rFonts w:hint="default" w:ascii="Times New Roman" w:hAnsi="Times New Roman" w:eastAsiaTheme="minorEastAsia" w:cstheme="minorBidi"/>
          <w:sz w:val="26"/>
          <w:szCs w:val="26"/>
          <w:lang w:val="en-US" w:eastAsia="zh-CN" w:bidi="ar-SA"/>
        </w:rPr>
        <w:t>(Islam et al., 2018)</w:t>
      </w:r>
      <w:r>
        <w:rPr>
          <w:rFonts w:hint="default" w:ascii="Times New Roman" w:hAnsi="Times New Roman"/>
          <w:sz w:val="26"/>
          <w:szCs w:val="26"/>
        </w:rPr>
        <w:fldChar w:fldCharType="end"/>
      </w:r>
      <w:r>
        <w:rPr>
          <w:rFonts w:hint="default" w:ascii="Times New Roman" w:hAnsi="Times New Roman"/>
          <w:sz w:val="26"/>
          <w:szCs w:val="26"/>
        </w:rPr>
        <w:t xml:space="preserve">; but were time consuming, required large amounts of energy, and altered the taste and nutritional value of the food. Also, the use of chemical preservative to extend the shelf life of food products has been associated with several health challenges, </w:t>
      </w:r>
      <w:r>
        <w:rPr>
          <w:rFonts w:hint="default" w:ascii="Times New Roman" w:hAnsi="Times New Roman"/>
          <w:sz w:val="26"/>
          <w:szCs w:val="26"/>
        </w:rPr>
        <w:fldChar w:fldCharType="begin"/>
      </w:r>
      <w:r>
        <w:rPr>
          <w:rFonts w:hint="default" w:ascii="Times New Roman" w:hAnsi="Times New Roman"/>
          <w:sz w:val="26"/>
          <w:szCs w:val="26"/>
          <w:lang w:val="en-US"/>
        </w:rPr>
        <w:instrText xml:space="preserve"> ADDIN EN.CITE &lt;EndNote&gt;&lt;Cite&gt;&lt;Author&gt;Teshome&lt;/Author&gt;&lt;Year&gt;2022&lt;/Year&gt;&lt;RecNum&gt;438&lt;/RecNum&gt;&lt;DisplayText&gt;(Teshome et al., 2022)&lt;/DisplayText&gt;&lt;record&gt;&lt;rec-number&gt;438&lt;/rec-number&gt;&lt;foreign-keys&gt;&lt;key app="EN" db-id="edvassfwttpfsqe0xsop2wwg2f05wx552500" timestamp="1705214991"&gt;438&lt;/key&gt;&lt;/foreign-keys&gt;&lt;ref-type name="Journal Article"&gt;17&lt;/ref-type&gt;&lt;contributors&gt;&lt;authors&gt;&lt;author&gt;Teshome, Ejigayehu&lt;/author&gt;&lt;author&gt;Forsido, Sirawdink Fikreyesus&lt;/author&gt;&lt;author&gt;Rupasinghe, HP&lt;/author&gt;&lt;author&gt;Olika Keyata, Ebisa&lt;/author&gt;&lt;/authors&gt;&lt;/contributors&gt;&lt;titles&gt;&lt;title&gt;Potentials of natural preservatives to enhance food safety and shelf life: A review&lt;/title&gt;&lt;secondary-title&gt;The Scientific World Journal&lt;/secondary-title&gt;&lt;/titles&gt;&lt;periodical&gt;&lt;full-title&gt;The Scientific World Journal&lt;/full-title&gt;&lt;/periodical&gt;&lt;volume&gt;2022&lt;/volume&gt;&lt;dates&gt;&lt;year&gt;2022&lt;/year&gt;&lt;/dates&gt;&lt;isbn&gt;2356-6140&lt;/isbn&gt;&lt;urls&gt;&lt;/urls&gt;&lt;/record&gt;&lt;/Cite&gt;&lt;/EndNote&gt;</w:instrText>
      </w:r>
      <w:r>
        <w:rPr>
          <w:rFonts w:hint="default" w:ascii="Times New Roman" w:hAnsi="Times New Roman"/>
          <w:sz w:val="26"/>
          <w:szCs w:val="26"/>
        </w:rPr>
        <w:fldChar w:fldCharType="separate"/>
      </w:r>
      <w:r>
        <w:rPr>
          <w:rFonts w:hint="default" w:ascii="Times New Roman" w:hAnsi="Times New Roman" w:eastAsiaTheme="minorEastAsia" w:cstheme="minorBidi"/>
          <w:sz w:val="26"/>
          <w:szCs w:val="26"/>
          <w:lang w:val="en-US" w:eastAsia="zh-CN" w:bidi="ar-SA"/>
        </w:rPr>
        <w:t>(Teshome et al., 2022)</w:t>
      </w:r>
      <w:r>
        <w:rPr>
          <w:rFonts w:hint="default" w:ascii="Times New Roman" w:hAnsi="Times New Roman"/>
          <w:sz w:val="26"/>
          <w:szCs w:val="26"/>
        </w:rPr>
        <w:fldChar w:fldCharType="end"/>
      </w:r>
      <w:r>
        <w:rPr>
          <w:rFonts w:hint="default" w:ascii="Times New Roman" w:hAnsi="Times New Roman"/>
          <w:sz w:val="26"/>
          <w:szCs w:val="26"/>
        </w:rPr>
        <w:t>. Hence, bio-preservatives are currently becoming an alternative option to chemical preservatives, because they maintain the hygienic quality, nutritional properties and extended shelf life of food products. Plants extract such as moringa oleifera leaf</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&lt;EndNote&gt;&lt;Cite&gt;&lt;Author&gt;Naik&lt;/Author&gt;&lt;Year&gt;2023&lt;/Year&gt;&lt;RecNum&gt;111&lt;/RecNum&gt;&lt;DisplayText&gt;(Naik et al., 2023)&lt;/DisplayText&gt;&lt;record&gt;&lt;rec-number&gt;111&lt;/rec-number&gt;&lt;foreign-keys&gt;&lt;key app="EN" db-id="edvassfwttpfsqe0xsop2wwg2f05wx552500" timestamp="1698556276"&gt;111&lt;/key&gt;&lt;/foreign-keys&gt;&lt;ref-type name="Journal Article"&gt;17&lt;/ref-type&gt;&lt;contributors&gt;&lt;authors&gt;&lt;author&gt;Naik, Naman Kumar&lt;/author&gt;&lt;author&gt;Singh, Rakesh Kr&lt;/author&gt;&lt;author&gt;Singh, Pallavi&lt;/author&gt;&lt;author&gt;Kumar, Nishant&lt;/author&gt;&lt;author&gt;Ahmed, Ghufran&lt;/author&gt;&lt;author&gt;Narayan, Shyam&lt;/author&gt;&lt;/authors&gt;&lt;/contributors&gt;&lt;titles&gt;&lt;title&gt;Eco-friendly produced superfine Moringa oleifera nanometric food powder and its characteristic effect on its structural, morphological and toxicity for varied applications as new functional nanomaterials&lt;/title&gt;&lt;secondary-title&gt;Materials Today: Proceedings&lt;/secondary-title&gt;&lt;/titles&gt;&lt;periodical&gt;&lt;full-title&gt;Materials Today: Proceedings&lt;/full-title&gt;&lt;/periodical&gt;&lt;pages&gt;1382-1391&lt;/pages&gt;&lt;volume&gt;80&lt;/volume&gt;&lt;dates&gt;&lt;year&gt;2023&lt;/year&gt;&lt;/dates&gt;&lt;isbn&gt;2214-7853&lt;/isbn&gt;&lt;urls&gt;&lt;/urls&gt;&lt;/record&gt;&lt;/Cite&gt;&lt;/EndNote&gt;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(Naik et al., 2023)</w:t>
      </w:r>
      <w:r>
        <w:rPr>
          <w:rFonts w:hint="default" w:ascii="Times New Roman" w:hAnsi="Times New Roman"/>
          <w:sz w:val="26"/>
          <w:szCs w:val="26"/>
          <w:lang w:val="en-US"/>
        </w:rPr>
        <w:fldChar w:fldCharType="end"/>
      </w:r>
      <w:r>
        <w:rPr>
          <w:rFonts w:hint="default" w:ascii="Times New Roman" w:hAnsi="Times New Roman"/>
          <w:sz w:val="26"/>
          <w:szCs w:val="26"/>
          <w:lang w:val="en-US"/>
        </w:rPr>
        <w:t>,</w:t>
      </w:r>
      <w:r>
        <w:rPr>
          <w:rFonts w:hint="default" w:ascii="Times New Roman" w:hAnsi="Times New Roman"/>
          <w:sz w:val="26"/>
          <w:szCs w:val="26"/>
        </w:rPr>
        <w:t xml:space="preserve"> green tea</w:t>
      </w:r>
      <w:r>
        <w:rPr>
          <w:rFonts w:hint="default" w:ascii="Times New Roman" w:hAnsi="Times New Roman"/>
          <w:sz w:val="26"/>
          <w:szCs w:val="26"/>
          <w:lang w:val="en-US"/>
        </w:rPr>
        <w:t>,</w:t>
      </w:r>
      <w:r>
        <w:rPr>
          <w:rFonts w:hint="default" w:ascii="Times New Roman" w:hAnsi="Times New Roman"/>
          <w:sz w:val="26"/>
          <w:szCs w:val="26"/>
        </w:rPr>
        <w:t xml:space="preserve"> clove extracts</w:t>
      </w:r>
      <w:r>
        <w:rPr>
          <w:rFonts w:hint="default" w:ascii="Times New Roman" w:hAnsi="Times New Roman"/>
          <w:sz w:val="26"/>
          <w:szCs w:val="26"/>
          <w:lang w:val="en-US"/>
        </w:rPr>
        <w:t>,</w:t>
      </w:r>
      <w:r>
        <w:rPr>
          <w:rFonts w:hint="default" w:ascii="Times New Roman" w:hAnsi="Times New Roman"/>
          <w:sz w:val="26"/>
          <w:szCs w:val="26"/>
        </w:rPr>
        <w:t xml:space="preserve"> and animal extracts </w:t>
      </w:r>
      <w:r>
        <w:rPr>
          <w:rFonts w:hint="default" w:ascii="Times New Roman" w:hAnsi="Times New Roman"/>
          <w:sz w:val="26"/>
          <w:szCs w:val="26"/>
          <w:lang w:val="en-US"/>
        </w:rPr>
        <w:t>(</w:t>
      </w:r>
      <w:r>
        <w:rPr>
          <w:rFonts w:hint="default" w:ascii="Times New Roman" w:hAnsi="Times New Roman"/>
          <w:sz w:val="26"/>
          <w:szCs w:val="26"/>
        </w:rPr>
        <w:t>prawn, shrimps, crab shell</w:t>
      </w:r>
      <w:r>
        <w:rPr>
          <w:rFonts w:hint="default" w:ascii="Times New Roman" w:hAnsi="Times New Roman"/>
          <w:sz w:val="26"/>
          <w:szCs w:val="26"/>
          <w:lang w:val="en-US"/>
        </w:rPr>
        <w:t>)</w:t>
      </w:r>
      <w:r>
        <w:rPr>
          <w:rFonts w:hint="default" w:ascii="Times New Roman" w:hAnsi="Times New Roman"/>
          <w:sz w:val="26"/>
          <w:szCs w:val="26"/>
        </w:rPr>
        <w:t xml:space="preserve"> have been </w:t>
      </w:r>
      <w:r>
        <w:rPr>
          <w:rFonts w:hint="default" w:ascii="Times New Roman" w:hAnsi="Times New Roman"/>
          <w:sz w:val="26"/>
          <w:szCs w:val="26"/>
          <w:lang w:val="en-US"/>
        </w:rPr>
        <w:t>applied</w:t>
      </w:r>
      <w:r>
        <w:rPr>
          <w:rFonts w:hint="default" w:ascii="Times New Roman" w:hAnsi="Times New Roman"/>
          <w:sz w:val="26"/>
          <w:szCs w:val="26"/>
        </w:rPr>
        <w:t xml:space="preserve"> as bio-preservatives to inhibit the growth of pathogenic microorganism, slow down the oxidative reactions within the food system and extend the shelf-life fruits and vegetables </w:t>
      </w:r>
      <w:r>
        <w:rPr>
          <w:rFonts w:hint="default" w:ascii="Times New Roman" w:hAnsi="Times New Roman"/>
          <w:sz w:val="26"/>
          <w:szCs w:val="26"/>
        </w:rPr>
        <w:fldChar w:fldCharType="begin"/>
      </w:r>
      <w:r>
        <w:rPr>
          <w:rFonts w:hint="default" w:ascii="Times New Roman" w:hAnsi="Times New Roman"/>
          <w:sz w:val="26"/>
          <w:szCs w:val="26"/>
          <w:lang w:val="en-US"/>
        </w:rPr>
        <w:instrText xml:space="preserve"> ADDIN EN.CITE &lt;EndNote&gt;&lt;Cite&gt;&lt;Author&gt;Islam&lt;/Author&gt;&lt;Year&gt;2018&lt;/Year&gt;&lt;RecNum&gt;437&lt;/RecNum&gt;&lt;DisplayText&gt;(Islam et al., 2018)&lt;/DisplayText&gt;&lt;record&gt;&lt;rec-number&gt;437&lt;/rec-number&gt;&lt;foreign-keys&gt;&lt;key app="EN" db-id="edvassfwttpfsqe0xsop2wwg2f05wx552500" timestamp="1705214755"&gt;437&lt;/key&gt;&lt;/foreign-keys&gt;&lt;ref-type name="Journal Article"&gt;17&lt;/ref-type&gt;&lt;contributors&gt;&lt;authors&gt;&lt;author&gt;Islam, T&lt;/author&gt;&lt;author&gt;Afrin, N&lt;/author&gt;&lt;author&gt;Parvin, S&lt;/author&gt;&lt;author&gt;Dana, NH&lt;/author&gt;&lt;author&gt;Rahman, KS&lt;/author&gt;&lt;author&gt;Zzaman, W&lt;/author&gt;&lt;author&gt;Islam, MN&lt;/author&gt;&lt;/authors&gt;&lt;/contributors&gt;&lt;titles&gt;&lt;title&gt;The impact of chitosan and guava leaf extract as preservative to extend the shelf-life of fruits&lt;/title&gt;&lt;secondary-title&gt;International Food Research Journal&lt;/secondary-title&gt;&lt;/titles&gt;&lt;periodical&gt;&lt;full-title&gt;International Food Research Journal&lt;/full-title&gt;&lt;/periodical&gt;&lt;volume&gt;25&lt;/volume&gt;&lt;number&gt;5&lt;/number&gt;&lt;dates&gt;&lt;year&gt;2018&lt;/year&gt;&lt;/dates&gt;&lt;isbn&gt;1985-4668&lt;/isbn&gt;&lt;urls&gt;&lt;/urls&gt;&lt;/record&gt;&lt;/Cite&gt;&lt;Cite&gt;&lt;Author&gt;Islam&lt;/Author&gt;&lt;Year&gt;2018&lt;/Year&gt;&lt;RecNum&gt;437&lt;/RecNum&gt;&lt;record&gt;&lt;rec-number&gt;437&lt;/rec-number&gt;&lt;foreign-keys&gt;&lt;key app="EN" db-id="edvassfwttpfsqe0xsop2wwg2f05wx552500" timestamp="1705214755"&gt;437&lt;/key&gt;&lt;/foreign-keys&gt;&lt;ref-type name="Journal Article"&gt;17&lt;/ref-type&gt;&lt;contributors&gt;&lt;authors&gt;&lt;author&gt;Islam, T&lt;/author&gt;&lt;author&gt;Afrin, N&lt;/author&gt;&lt;author&gt;Parvin, S&lt;/author&gt;&lt;author&gt;Dana, NH&lt;/author&gt;&lt;author&gt;Rahman, KS&lt;/author&gt;&lt;author&gt;Zzaman, W&lt;/author&gt;&lt;author&gt;Islam, MN&lt;/author&gt;&lt;/authors&gt;&lt;/contributors&gt;&lt;titles&gt;&lt;title&gt;The impact of chitosan and guava leaf extract as preservative to extend the shelf-life of fruits&lt;/title&gt;&lt;secondary-title&gt;International Food Research Journal&lt;/secondary-title&gt;&lt;/titles&gt;&lt;periodical&gt;&lt;full-title&gt;International Food Research Journal&lt;/full-title&gt;&lt;/periodical&gt;&lt;volume&gt;25&lt;/volume&gt;&lt;number&gt;5&lt;/number&gt;&lt;dates&gt;&lt;year&gt;2018&lt;/year&gt;&lt;/dates&gt;&lt;isbn&gt;1985-4668&lt;/isbn&gt;&lt;urls&gt;&lt;/urls&gt;&lt;/record&gt;&lt;/Cite&gt;&lt;/EndNote&gt;</w:instrText>
      </w:r>
      <w:r>
        <w:rPr>
          <w:rFonts w:hint="default" w:ascii="Times New Roman" w:hAnsi="Times New Roman"/>
          <w:sz w:val="26"/>
          <w:szCs w:val="26"/>
        </w:rPr>
        <w:fldChar w:fldCharType="separate"/>
      </w:r>
      <w:r>
        <w:rPr>
          <w:rFonts w:hint="default" w:ascii="Times New Roman" w:hAnsi="Times New Roman" w:eastAsiaTheme="minorEastAsia" w:cstheme="minorBidi"/>
          <w:sz w:val="26"/>
          <w:szCs w:val="26"/>
          <w:lang w:val="en-US" w:eastAsia="zh-CN" w:bidi="ar-SA"/>
        </w:rPr>
        <w:t>(Islam et al., 2018)</w:t>
      </w:r>
      <w:r>
        <w:rPr>
          <w:rFonts w:hint="default" w:ascii="Times New Roman" w:hAnsi="Times New Roman"/>
          <w:sz w:val="26"/>
          <w:szCs w:val="26"/>
        </w:rPr>
        <w:fldChar w:fldCharType="end"/>
      </w:r>
      <w:r>
        <w:rPr>
          <w:rFonts w:hint="default" w:ascii="Times New Roman" w:hAnsi="Times New Roman"/>
          <w:sz w:val="26"/>
          <w:szCs w:val="26"/>
        </w:rPr>
        <w:t>.</w:t>
      </w:r>
    </w:p>
    <w:p>
      <w:pPr>
        <w:spacing w:line="360" w:lineRule="auto"/>
        <w:jc w:val="both"/>
        <w:rPr>
          <w:rFonts w:hint="default" w:ascii="Times New Roman" w:hAnsi="Times New Roman"/>
          <w:sz w:val="26"/>
          <w:szCs w:val="26"/>
        </w:rPr>
      </w:pPr>
      <w:r>
        <w:rPr>
          <w:rFonts w:hint="default" w:ascii="Times New Roman" w:hAnsi="Times New Roman"/>
          <w:sz w:val="26"/>
          <w:szCs w:val="26"/>
        </w:rPr>
        <w:t>Chitosan is non-toxic, bio-functional, biodegradable and bio-compatible edible coating. Chitosan has the ability to inhibit fruit decay through its antifungal and antimicrobial activities</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&lt;EndNote&gt;&lt;Cite&gt;&lt;Author&gt;Ruvubu&lt;/Author&gt;&lt;Year&gt;2023&lt;/Year&gt;&lt;RecNum&gt;120&lt;/RecNum&gt;&lt;DisplayText&gt;(Ruvubu and Roy, 2023)&lt;/DisplayText&gt;&lt;record&gt;&lt;rec-number&gt;120&lt;/rec-number&gt;&lt;foreign-keys&gt;&lt;key app="EN" db-id="edvassfwttpfsqe0xsop2wwg2f05wx552500" timestamp="1698587958"&gt;120&lt;/key&gt;&lt;/foreign-keys&gt;&lt;ref-type name="Journal Article"&gt;17&lt;/ref-type&gt;&lt;contributors&gt;&lt;authors&gt;&lt;author&gt;Ruvubu, Sylvanus B&lt;/author&gt;&lt;author&gt;Roy, Indrajit&lt;/author&gt;&lt;/authors&gt;&lt;/contributors&gt;&lt;titles&gt;&lt;title&gt;Tandem Coating of Gly-Gly-Gly and 2–Mercaptoethylaminehydrochloride on Chitosan Magnetic Nanoparticles for Environmental Remediation of Dyes&lt;/title&gt;&lt;secondary-title&gt;Journal of Polymers and the Environment&lt;/secondary-title&gt;&lt;/titles&gt;&lt;periodical&gt;&lt;full-title&gt;Journal of Polymers and the Environment&lt;/full-title&gt;&lt;/periodical&gt;&lt;pages&gt;1-28&lt;/pages&gt;&lt;dates&gt;&lt;year&gt;2023&lt;/year&gt;&lt;/dates&gt;&lt;isbn&gt;1566-2543&lt;/isbn&gt;&lt;urls&gt;&lt;/urls&gt;&lt;/record&gt;&lt;/Cite&gt;&lt;/EndNote&gt;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(Ruvubu and Roy, 2023)</w:t>
      </w:r>
      <w:r>
        <w:rPr>
          <w:rFonts w:hint="default" w:ascii="Times New Roman" w:hAnsi="Times New Roman"/>
          <w:sz w:val="26"/>
          <w:szCs w:val="26"/>
          <w:lang w:val="en-US"/>
        </w:rPr>
        <w:fldChar w:fldCharType="end"/>
      </w:r>
      <w:r>
        <w:rPr>
          <w:rFonts w:hint="default" w:ascii="Times New Roman" w:hAnsi="Times New Roman"/>
          <w:sz w:val="26"/>
          <w:szCs w:val="26"/>
        </w:rPr>
        <w:t>. Chitosan based coatings have successfully reduced the respiration rate of fruits and vegetables by inhibiting the penetration of carbondioxide and oxgyen</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&lt;EndNote&gt;&lt;Cite&gt;&lt;Author&gt;Panda&lt;/Author&gt;&lt;Year&gt;2023&lt;/Year&gt;&lt;RecNum&gt;203&lt;/RecNum&gt;&lt;DisplayText&gt;(Panda et al., 2023)&lt;/DisplayText&gt;&lt;record&gt;&lt;rec-number&gt;203&lt;/rec-number&gt;&lt;foreign-keys&gt;&lt;key app="EN" db-id="edvassfwttpfsqe0xsop2wwg2f05wx552500" timestamp="1702666520"&gt;203&lt;/key&gt;&lt;/foreign-keys&gt;&lt;ref-type name="Journal Article"&gt;17&lt;/ref-type&gt;&lt;contributors&gt;&lt;authors&gt;&lt;author&gt;Panda, Pradeep Kumar&lt;/author&gt;&lt;author&gt;Sadeghi, Kambiz&lt;/author&gt;&lt;author&gt;Park, Kitae&lt;/author&gt;&lt;author&gt;Seo, Jongchul&lt;/author&gt;&lt;/authors&gt;&lt;/contributors&gt;&lt;titles&gt;&lt;title&gt;Regeneration approach to enhance the antimicrobial and antioxidant activities of chitosan for biomedical applications&lt;/title&gt;&lt;secondary-title&gt;Polymers&lt;/secondary-title&gt;&lt;/titles&gt;&lt;periodical&gt;&lt;full-title&gt;Polymers&lt;/full-title&gt;&lt;/periodical&gt;&lt;pages&gt;132&lt;/pages&gt;&lt;volume&gt;15&lt;/volume&gt;&lt;number&gt;1&lt;/number&gt;&lt;dates&gt;&lt;year&gt;2023&lt;/year&gt;&lt;/dates&gt;&lt;isbn&gt;2073-4360&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(Panda et al., 2023)</w:t>
      </w:r>
      <w:r>
        <w:rPr>
          <w:rFonts w:hint="default" w:ascii="Times New Roman" w:hAnsi="Times New Roman"/>
          <w:sz w:val="26"/>
          <w:szCs w:val="26"/>
          <w:lang w:val="en-US"/>
        </w:rPr>
        <w:fldChar w:fldCharType="end"/>
      </w:r>
      <w:r>
        <w:rPr>
          <w:rFonts w:hint="default" w:ascii="Times New Roman" w:hAnsi="Times New Roman"/>
          <w:sz w:val="26"/>
          <w:szCs w:val="26"/>
        </w:rPr>
        <w:t>. Also, chitosan has demonstrated promising effectiveness when applied on food materials such as papaya</w:t>
      </w:r>
      <w:r>
        <w:rPr>
          <w:rFonts w:hint="default" w:ascii="Times New Roman" w:hAnsi="Times New Roman"/>
          <w:sz w:val="26"/>
          <w:szCs w:val="26"/>
          <w:lang w:val="en-US"/>
        </w:rPr>
        <w:t>,</w:t>
      </w:r>
      <w:r>
        <w:rPr>
          <w:rFonts w:hint="default" w:ascii="Times New Roman" w:hAnsi="Times New Roman"/>
          <w:sz w:val="26"/>
          <w:szCs w:val="26"/>
        </w:rPr>
        <w:t xml:space="preserve"> guava</w:t>
      </w:r>
      <w:r>
        <w:rPr>
          <w:rFonts w:hint="default" w:ascii="Times New Roman" w:hAnsi="Times New Roman"/>
          <w:sz w:val="26"/>
          <w:szCs w:val="26"/>
          <w:lang w:val="en-US"/>
        </w:rPr>
        <w:t>,</w:t>
      </w:r>
      <w:r>
        <w:rPr>
          <w:rFonts w:hint="default" w:ascii="Times New Roman" w:hAnsi="Times New Roman"/>
          <w:sz w:val="26"/>
          <w:szCs w:val="26"/>
        </w:rPr>
        <w:t xml:space="preserve"> strawberry</w:t>
      </w:r>
      <w:r>
        <w:rPr>
          <w:rFonts w:hint="default" w:ascii="Times New Roman" w:hAnsi="Times New Roman"/>
          <w:sz w:val="26"/>
          <w:szCs w:val="26"/>
          <w:lang w:val="en-US"/>
        </w:rPr>
        <w:t xml:space="preserve">, </w:t>
      </w:r>
      <w:r>
        <w:rPr>
          <w:rFonts w:hint="default" w:ascii="Times New Roman" w:hAnsi="Times New Roman"/>
          <w:sz w:val="26"/>
          <w:szCs w:val="26"/>
        </w:rPr>
        <w:t xml:space="preserve">and banana </w:t>
      </w:r>
      <w:r>
        <w:rPr>
          <w:rFonts w:hint="default" w:ascii="Times New Roman" w:hAnsi="Times New Roman"/>
          <w:sz w:val="26"/>
          <w:szCs w:val="26"/>
        </w:rPr>
        <w:fldChar w:fldCharType="begin"/>
      </w:r>
      <w:r>
        <w:rPr>
          <w:rFonts w:hint="default" w:ascii="Times New Roman" w:hAnsi="Times New Roman"/>
          <w:sz w:val="26"/>
          <w:szCs w:val="26"/>
          <w:lang w:val="en-US"/>
        </w:rPr>
        <w:instrText xml:space="preserve"> ADDIN EN.CITE &lt;EndNote&gt;&lt;Cite&gt;&lt;Author&gt;Hong&lt;/Author&gt;&lt;Year&gt;2012&lt;/Year&gt;&lt;RecNum&gt;439&lt;/RecNum&gt;&lt;DisplayText&gt;(Hong et al., 2012, Islam et al., 2018)&lt;/DisplayText&gt;&lt;record&gt;&lt;rec-number&gt;439&lt;/rec-number&gt;&lt;foreign-keys&gt;&lt;key app="EN" db-id="edvassfwttpfsqe0xsop2wwg2f05wx552500" timestamp="1705215837"&gt;439&lt;/key&gt;&lt;/foreign-keys&gt;&lt;ref-type name="Journal Article"&gt;17&lt;/ref-type&gt;&lt;contributors&gt;&lt;authors&gt;&lt;author&gt;Hong, Keqian&lt;/author&gt;&lt;author&gt;Xie, Jianghui&lt;/author&gt;&lt;author&gt;Zhang, Lubin&lt;/author&gt;&lt;author&gt;Sun, Dequan&lt;/author&gt;&lt;author&gt;Gong, Deqiang&lt;/author&gt;&lt;/authors&gt;&lt;/contributors&gt;&lt;titles&gt;&lt;title&gt;Effects of chitosan coating on postharvest life and quality of guava (Psidium guajava L.) fruit during cold storage&lt;/title&gt;&lt;secondary-title&gt;Scientia horticulturae&lt;/secondary-title&gt;&lt;/titles&gt;&lt;periodical&gt;&lt;full-title&gt;Scientia Horticulturae&lt;/full-title&gt;&lt;/periodical&gt;&lt;pages&gt;172-178&lt;/pages&gt;&lt;volume&gt;144&lt;/volume&gt;&lt;dates&gt;&lt;year&gt;2012&lt;/year&gt;&lt;/dates&gt;&lt;isbn&gt;0304-4238&lt;/isbn&gt;&lt;urls&gt;&lt;/urls&gt;&lt;/record&gt;&lt;/Cite&gt;&lt;Cite&gt;&lt;Author&gt;Islam&lt;/Author&gt;&lt;Year&gt;2018&lt;/Year&gt;&lt;RecNum&gt;437&lt;/RecNum&gt;&lt;record&gt;&lt;rec-number&gt;437&lt;/rec-number&gt;&lt;foreign-keys&gt;&lt;key app="EN" db-id="edvassfwttpfsqe0xsop2wwg2f05wx552500" timestamp="1705214755"&gt;437&lt;/key&gt;&lt;/foreign-keys&gt;&lt;ref-type name="Journal Article"&gt;17&lt;/ref-type&gt;&lt;contributors&gt;&lt;authors&gt;&lt;author&gt;Islam, T&lt;/author&gt;&lt;author&gt;Afrin, N&lt;/author&gt;&lt;author&gt;Parvin, S&lt;/author&gt;&lt;author&gt;Dana, NH&lt;/author&gt;&lt;author&gt;Rahman, KS&lt;/author&gt;&lt;author&gt;Zzaman, W&lt;/author&gt;&lt;author&gt;Islam, MN&lt;/author&gt;&lt;/authors&gt;&lt;/contributors&gt;&lt;titles&gt;&lt;title&gt;The impact of chitosan and guava leaf extract as preservative to extend the shelf-life of fruits&lt;/title&gt;&lt;secondary-title&gt;International Food Research Journal&lt;/secondary-title&gt;&lt;/titles&gt;&lt;periodical&gt;&lt;full-title&gt;International Food Research Journal&lt;/full-title&gt;&lt;/periodical&gt;&lt;volume&gt;25&lt;/volume&gt;&lt;number&gt;5&lt;/number&gt;&lt;dates&gt;&lt;year&gt;2018&lt;/year&gt;&lt;/dates&gt;&lt;isbn&gt;1985-4668&lt;/isbn&gt;&lt;urls&gt;&lt;/urls&gt;&lt;/record&gt;&lt;/Cite&gt;&lt;/EndNote&gt;</w:instrText>
      </w:r>
      <w:r>
        <w:rPr>
          <w:rFonts w:hint="default" w:ascii="Times New Roman" w:hAnsi="Times New Roman"/>
          <w:sz w:val="26"/>
          <w:szCs w:val="26"/>
        </w:rPr>
        <w:fldChar w:fldCharType="separate"/>
      </w:r>
      <w:r>
        <w:rPr>
          <w:rFonts w:hint="default" w:ascii="Times New Roman" w:hAnsi="Times New Roman" w:eastAsiaTheme="minorEastAsia" w:cstheme="minorBidi"/>
          <w:sz w:val="26"/>
          <w:szCs w:val="26"/>
          <w:lang w:val="en-US" w:eastAsia="zh-CN" w:bidi="ar-SA"/>
        </w:rPr>
        <w:t>(Hong et al., 2012, Islam et al., 2018)</w:t>
      </w:r>
      <w:r>
        <w:rPr>
          <w:rFonts w:hint="default" w:ascii="Times New Roman" w:hAnsi="Times New Roman"/>
          <w:sz w:val="26"/>
          <w:szCs w:val="26"/>
        </w:rPr>
        <w:fldChar w:fldCharType="end"/>
      </w:r>
      <w:r>
        <w:rPr>
          <w:rFonts w:hint="default" w:ascii="Times New Roman" w:hAnsi="Times New Roman"/>
          <w:sz w:val="26"/>
          <w:szCs w:val="26"/>
        </w:rPr>
        <w:t>. Previous studies</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&lt;EndNote&gt;&lt;Cite&gt;&lt;Author&gt;Islam&lt;/Author&gt;&lt;Year&gt;2018&lt;/Year&gt;&lt;RecNum&gt;437&lt;/RecNum&gt;&lt;DisplayText&gt;(Islam et al., 2018, Butt et al., 2023)&lt;/DisplayText&gt;&lt;record&gt;&lt;rec-number&gt;437&lt;/rec-number&gt;&lt;foreign-keys&gt;&lt;key app="EN" db-id="edvassfwttpfsqe0xsop2wwg2f05wx552500" timestamp="1705214755"&gt;437&lt;/key&gt;&lt;/foreign-keys&gt;&lt;ref-type name="Journal Article"&gt;17&lt;/ref-type&gt;&lt;contributors&gt;&lt;authors&gt;&lt;author&gt;Islam, T&lt;/author&gt;&lt;author&gt;Afrin, N&lt;/author&gt;&lt;author&gt;Parvin, S&lt;/author&gt;&lt;author&gt;Dana, NH&lt;/author&gt;&lt;author&gt;Rahman, KS&lt;/author&gt;&lt;author&gt;Zzaman, W&lt;/author&gt;&lt;author&gt;Islam, MN&lt;/author&gt;&lt;/authors&gt;&lt;/contributors&gt;&lt;titles&gt;&lt;title&gt;The impact of chitosan and guava leaf extract as preservative to extend the shelf-life of fruits&lt;/title&gt;&lt;secondary-title&gt;International Food Research Journal&lt;/secondary-title&gt;&lt;/titles&gt;&lt;periodical&gt;&lt;full-title&gt;International Food Research Journal&lt;/full-title&gt;&lt;/periodical&gt;&lt;volume&gt;25&lt;/volume&gt;&lt;number&gt;5&lt;/number&gt;&lt;dates&gt;&lt;year&gt;2018&lt;/year&gt;&lt;/dates&gt;&lt;isbn&gt;1985-4668&lt;/isbn&gt;&lt;urls&gt;&lt;/urls&gt;&lt;/record&gt;&lt;/Cite&gt;&lt;Cite&gt;&lt;Author&gt;Butt&lt;/Author&gt;&lt;Year&gt;2023&lt;/Year&gt;&lt;RecNum&gt;208&lt;/RecNum&gt;&lt;record&gt;&lt;rec-number&gt;208&lt;/rec-number&gt;&lt;foreign-keys&gt;&lt;key app="EN" db-id="edvassfwttpfsqe0xsop2wwg2f05wx552500" timestamp="1702819270"&gt;208&lt;/key&gt;&lt;/foreign-keys&gt;&lt;ref-type name="Journal Article"&gt;17&lt;/ref-type&gt;&lt;contributors&gt;&lt;authors&gt;&lt;author&gt;Butt, Muhammad Shoaib&lt;/author&gt;&lt;author&gt;Malik, Zainab&lt;/author&gt;&lt;author&gt;Ghaffar, Rabia&lt;/author&gt;&lt;author&gt;Baluch, Abrar H&lt;/author&gt;&lt;author&gt;Saleem, Mohsin&lt;/author&gt;&lt;author&gt;Ghaffar, Abdul&lt;/author&gt;&lt;/authors&gt;&lt;/contributors&gt;&lt;titles&gt;&lt;title&gt;Moringa oleifera/chitosan-coated silk sutures for improved wound healing&lt;/title&gt;&lt;secondary-title&gt;Materials Chemistry and Physics&lt;/secondary-title&gt;&lt;/titles&gt;&lt;periodical&gt;&lt;full-title&gt;Materials Chemistry and Physics&lt;/full-title&gt;&lt;/periodical&gt;&lt;pages&gt;128737&lt;/pages&gt;&lt;dates&gt;&lt;year&gt;2023&lt;/year&gt;&lt;/dates&gt;&lt;isbn&gt;0254-0584&lt;/isbn&gt;&lt;urls&gt;&lt;/urls&gt;&lt;/record&gt;&lt;/Cite&gt;&lt;/EndNote&gt;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(Islam et al., 2018, Butt et al., 2023)</w:t>
      </w:r>
      <w:r>
        <w:rPr>
          <w:rFonts w:hint="default" w:ascii="Times New Roman" w:hAnsi="Times New Roman"/>
          <w:sz w:val="26"/>
          <w:szCs w:val="26"/>
          <w:lang w:val="en-US"/>
        </w:rPr>
        <w:fldChar w:fldCharType="end"/>
      </w:r>
      <w:r>
        <w:rPr>
          <w:rFonts w:hint="default" w:ascii="Times New Roman" w:hAnsi="Times New Roman"/>
          <w:sz w:val="26"/>
          <w:szCs w:val="26"/>
        </w:rPr>
        <w:t xml:space="preserve"> have demonstrated that the use of mixed formulation of chitosan coating &amp; natural preservative improves the longevity of several perishable foods. Similarly, moringa oleifera leaves have been reported to possess various biological activities such as antidiabetic, hypertensive agent, and regulation of thyroid hormone</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&lt;EndNote&gt;&lt;Cite&gt;&lt;Author&gt;Alsamhary&lt;/Author&gt;&lt;Year&gt;2023&lt;/Year&gt;&lt;RecNum&gt;210&lt;/RecNum&gt;&lt;DisplayText&gt;(Alsamhary, 2023)&lt;/DisplayText&gt;&lt;record&gt;&lt;rec-number&gt;210&lt;/rec-number&gt;&lt;foreign-keys&gt;&lt;key app="EN" db-id="edvassfwttpfsqe0xsop2wwg2f05wx552500" timestamp="1702819499"&gt;210&lt;/key&gt;&lt;/foreign-keys&gt;&lt;ref-type name="Journal Article"&gt;17&lt;/ref-type&gt;&lt;contributors&gt;&lt;authors&gt;&lt;author&gt;Alsamhary, Khawla E&lt;/author&gt;&lt;/authors&gt;&lt;/contributors&gt;&lt;titles&gt;&lt;title&gt;Moringa oleifera seed based green synthesis of copper nanoparticles: Characterization, environmental remediation and antimicrobial activity&lt;/title&gt;&lt;secondary-title&gt;Saudi Journal of Biological Sciences&lt;/secondary-title&gt;&lt;/titles&gt;&lt;periodical&gt;&lt;full-title&gt;Saudi Journal of Biological Sciences&lt;/full-title&gt;&lt;/periodical&gt;&lt;pages&gt;103820&lt;/pages&gt;&lt;volume&gt;30&lt;/volume&gt;&lt;number&gt;11&lt;/number&gt;&lt;dates&gt;&lt;year&gt;2023&lt;/year&gt;&lt;/dates&gt;&lt;isbn&gt;1319-562X&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(Alsamhary, 2023)</w:t>
      </w:r>
      <w:r>
        <w:rPr>
          <w:rFonts w:hint="default" w:ascii="Times New Roman" w:hAnsi="Times New Roman"/>
          <w:sz w:val="26"/>
          <w:szCs w:val="26"/>
          <w:lang w:val="en-US"/>
        </w:rPr>
        <w:fldChar w:fldCharType="end"/>
      </w:r>
      <w:r>
        <w:rPr>
          <w:rFonts w:hint="default" w:ascii="Times New Roman" w:hAnsi="Times New Roman"/>
          <w:sz w:val="26"/>
          <w:szCs w:val="26"/>
        </w:rPr>
        <w:t>. The extracts from the leaves are known to be rich in β-carotene, and possess high amounts of phenolics, flavonoids, alkaloids, tannins, and anthraquinone which are responsible for the antimicrobial and antioxidant properties</w:t>
      </w:r>
      <w:r>
        <w:rPr>
          <w:rFonts w:hint="default" w:ascii="Times New Roman" w:hAnsi="Times New Roman"/>
          <w:sz w:val="26"/>
          <w:szCs w:val="26"/>
          <w:lang w:val="en-US"/>
        </w:rPr>
        <w:t xml:space="preserv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&lt;EndNote&gt;&lt;Cite&gt;&lt;Author&gt;Butt&lt;/Author&gt;&lt;Year&gt;2023&lt;/Year&gt;&lt;RecNum&gt;208&lt;/RecNum&gt;&lt;DisplayText&gt;(Butt et al., 2023, da Silva et al., 2022)&lt;/DisplayText&gt;&lt;record&gt;&lt;rec-number&gt;208&lt;/rec-number&gt;&lt;foreign-keys&gt;&lt;key app="EN" db-id="edvassfwttpfsqe0xsop2wwg2f05wx552500" timestamp="1702819270"&gt;208&lt;/key&gt;&lt;/foreign-keys&gt;&lt;ref-type name="Journal Article"&gt;17&lt;/ref-type&gt;&lt;contributors&gt;&lt;authors&gt;&lt;author&gt;Butt, Muhammad Shoaib&lt;/author&gt;&lt;author&gt;Malik, Zainab&lt;/author&gt;&lt;author&gt;Ghaffar, Rabia&lt;/author&gt;&lt;author&gt;Baluch, Abrar H&lt;/author&gt;&lt;author&gt;Saleem, Mohsin&lt;/author&gt;&lt;author&gt;Ghaffar, Abdul&lt;/author&gt;&lt;/authors&gt;&lt;/contributors&gt;&lt;titles&gt;&lt;title&gt;Moringa oleifera/chitosan-coated silk sutures for improved wound healing&lt;/title&gt;&lt;secondary-title&gt;Materials Chemistry and Physics&lt;/secondary-title&gt;&lt;/titles&gt;&lt;periodical&gt;&lt;full-title&gt;Materials Chemistry and Physics&lt;/full-title&gt;&lt;/periodical&gt;&lt;pages&gt;128737&lt;/pages&gt;&lt;dates&gt;&lt;year&gt;2023&lt;/year&gt;&lt;/dates&gt;&lt;isbn&gt;0254-0584&lt;/isbn&gt;&lt;urls&gt;&lt;/urls&gt;&lt;/record&gt;&lt;/Cite&gt;&lt;Cite&gt;&lt;Author&gt;da Silva&lt;/Author&gt;&lt;Year&gt;2022&lt;/Year&gt;&lt;RecNum&gt;115&lt;/RecNum&gt;&lt;record&gt;&lt;rec-number&gt;115&lt;/rec-number&gt;&lt;foreign-keys&gt;&lt;key app="EN" db-id="edvassfwttpfsqe0xsop2wwg2f05wx552500" timestamp="1698564606"&gt;115&lt;/key&gt;&lt;/foreign-keys&gt;&lt;ref-type name="Journal Article"&gt;17&lt;/ref-type&gt;&lt;contributors&gt;&lt;authors&gt;&lt;author&gt;da Silva, Marina&lt;/author&gt;&lt;author&gt;Trancoso, Julia&lt;/author&gt;&lt;author&gt;Tormen, Luciano&lt;/author&gt;&lt;author&gt;Bombardelli, Michele M&lt;/author&gt;&lt;author&gt;Corazza, Marcos L&lt;/author&gt;&lt;author&gt;Bainy, Eduarda M&lt;/author&gt;&lt;/authors&gt;&lt;/contributors&gt;&lt;titles&gt;&lt;title&gt;Extraction of compounds from Moringa oleifera leaves using supercritical CO2 plus ethanol as a cosolvent&lt;/title&gt;&lt;secondary-title&gt;Journal of Food Process Engineering&lt;/secondary-title&gt;&lt;/titles&gt;&lt;periodical&gt;&lt;full-title&gt;Journal of Food Process Engineering&lt;/full-title&gt;&lt;/periodical&gt;&lt;pages&gt;e13979&lt;/pages&gt;&lt;volume&gt;45&lt;/volume&gt;&lt;number&gt;3&lt;/number&gt;&lt;dates&gt;&lt;year&gt;2022&lt;/year&gt;&lt;/dates&gt;&lt;isbn&gt;0145-8876&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(Butt et al., 2023, da Silva et al., 2022)</w:t>
      </w:r>
      <w:r>
        <w:rPr>
          <w:rFonts w:hint="default" w:ascii="Times New Roman" w:hAnsi="Times New Roman"/>
          <w:sz w:val="26"/>
          <w:szCs w:val="26"/>
          <w:lang w:val="en-US"/>
        </w:rPr>
        <w:fldChar w:fldCharType="end"/>
      </w:r>
      <w:r>
        <w:rPr>
          <w:rFonts w:hint="default" w:ascii="Times New Roman" w:hAnsi="Times New Roman"/>
          <w:sz w:val="26"/>
          <w:szCs w:val="26"/>
        </w:rPr>
        <w:t>.</w:t>
      </w:r>
    </w:p>
    <w:p>
      <w:pPr>
        <w:spacing w:line="360" w:lineRule="auto"/>
        <w:jc w:val="both"/>
        <w:rPr>
          <w:rFonts w:hint="default" w:ascii="Times New Roman" w:hAnsi="Times New Roman"/>
          <w:sz w:val="26"/>
          <w:szCs w:val="26"/>
        </w:rPr>
      </w:pPr>
      <w:r>
        <w:rPr>
          <w:rFonts w:hint="default" w:ascii="Times New Roman" w:hAnsi="Times New Roman"/>
          <w:sz w:val="26"/>
          <w:szCs w:val="26"/>
        </w:rPr>
        <w:t xml:space="preserve">One of the promising postharvest treatments used for extending the shelf-life of food is edible coating technology. Application of edible coating on fresh fruits reduces the alteration in quality and degradation index. The synthesis of Chitosan and Moringa Oleifera extract is envisaged to form a bio film which can be applied as an edible coating on the tomato fruit. To the best of our knowledge, there has not been any documented report on the application of chitosan and moringa oleifera leaf extract biomix in the coating of tomato fruit. </w:t>
      </w:r>
    </w:p>
    <w:p>
      <w:pPr>
        <w:spacing w:line="360" w:lineRule="auto"/>
        <w:jc w:val="both"/>
        <w:rPr>
          <w:rFonts w:hint="default" w:ascii="Times New Roman" w:hAnsi="Times New Roman"/>
          <w:sz w:val="26"/>
          <w:szCs w:val="26"/>
          <w:lang w:val="en-US"/>
        </w:rPr>
      </w:pPr>
      <w:r>
        <w:rPr>
          <w:rFonts w:hint="default" w:ascii="Times New Roman" w:hAnsi="Times New Roman"/>
          <w:sz w:val="26"/>
          <w:szCs w:val="26"/>
          <w:lang w:val="en-US"/>
        </w:rPr>
        <w:t xml:space="preserve">Optimization of bio-preservation storage conditions of tomato is necessary to consolidate the properties and shelf life of the fruit. Management of fresh tomato fruit entails regulating the physicochemical dynamics which occur during storage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w:instrText>
      </w:r>
      <w:r>
        <w:rPr>
          <w:rFonts w:hint="default" w:ascii="Times New Roman" w:hAnsi="Times New Roman"/>
          <w:sz w:val="26"/>
          <w:szCs w:val="26"/>
          <w:lang w:val="en-US"/>
        </w:rPr>
        <w:fldChar w:fldCharType="begin">
          <w:fldData xml:space="preserve">PEVuZE5vdGU+PENpdGU+PEF1dGhvcj5NYWk8L0F1dGhvcj48WWVhcj4yMDIxPC9ZZWFyPjxSZWNO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</w:fldData>
        </w:fldChar>
      </w:r>
      <w:r>
        <w:rPr>
          <w:rFonts w:hint="default" w:ascii="Times New Roman" w:hAnsi="Times New Roman"/>
          <w:sz w:val="26"/>
          <w:szCs w:val="26"/>
          <w:lang w:val="en-US"/>
        </w:rPr>
        <w:instrText xml:space="preserve"> ADDIN EN.CITE.DATA </w:instrText>
      </w:r>
      <w:r>
        <w:rPr>
          <w:rFonts w:hint="default" w:ascii="Times New Roman" w:hAnsi="Times New Roman"/>
          <w:sz w:val="26"/>
          <w:szCs w:val="26"/>
          <w:lang w:val="en-US"/>
        </w:rPr>
        <w:fldChar w:fldCharType="separate"/>
      </w:r>
      <w:r>
        <w:rPr>
          <w:rFonts w:hint="default" w:ascii="Times New Roman" w:hAnsi="Times New Roman"/>
          <w:sz w:val="26"/>
          <w:szCs w:val="26"/>
          <w:lang w:val="en-US"/>
        </w:rPr>
        <w:fldChar w:fldCharType="end"/>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(Mai and Pathare, 2021)</w:t>
      </w:r>
      <w:r>
        <w:rPr>
          <w:rFonts w:hint="default" w:ascii="Times New Roman" w:hAnsi="Times New Roman"/>
          <w:sz w:val="26"/>
          <w:szCs w:val="26"/>
          <w:lang w:val="en-US"/>
        </w:rPr>
        <w:fldChar w:fldCharType="end"/>
      </w:r>
      <w:r>
        <w:rPr>
          <w:rFonts w:hint="default" w:ascii="Times New Roman" w:hAnsi="Times New Roman"/>
          <w:sz w:val="26"/>
          <w:szCs w:val="26"/>
          <w:lang w:val="en-US"/>
        </w:rPr>
        <w:t xml:space="preserve">. All of this will be accomplished by numerically analyzing the parameters of importance. Kinetic modeling is an important technique for predicting and controlling these dynamic changes in fresh product quality parameters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&lt;EndNote&gt;&lt;Cite&gt;&lt;Author&gt;Liao&lt;/Author&gt;&lt;Year&gt;2024&lt;/Year&gt;&lt;RecNum&gt;322&lt;/RecNum&gt;&lt;DisplayText&gt;(Liao et al., 2024)&lt;/DisplayText&gt;&lt;record&gt;&lt;rec-number&gt;322&lt;/rec-number&gt;&lt;foreign-keys&gt;&lt;key app="EN" db-id="edvassfwttpfsqe0xsop2wwg2f05wx552500" timestamp="1703838027"&gt;322&lt;/key&gt;&lt;/foreign-keys&gt;&lt;ref-type name="Journal Article"&gt;17&lt;/ref-type&gt;&lt;contributors&gt;&lt;authors&gt;&lt;author&gt;Liao, Bo-Kai&lt;/author&gt;&lt;author&gt;Goh, Ai Ping&lt;/author&gt;&lt;author&gt;Lio, Chong In&lt;/author&gt;&lt;author&gt;Hsiao, Hsin-I&lt;/author&gt;&lt;/authors&gt;&lt;/contributors&gt;&lt;titles&gt;&lt;title&gt;Kinetic models applied to quality change and shelf-life prediction of fresh-cut pineapple in food cold chain&lt;/title&gt;&lt;secondary-title&gt;Food Chemistry&lt;/secondary-title&gt;&lt;/titles&gt;&lt;periodical&gt;&lt;full-title&gt;Food chemistry&lt;/full-title&gt;&lt;/periodical&gt;&lt;pages&gt;137803&lt;/pages&gt;&lt;volume&gt;437&lt;/volume&gt;&lt;dates&gt;&lt;year&gt;2024&lt;/year&gt;&lt;/dates&gt;&lt;isbn&gt;0308-8146&lt;/isbn&gt;&lt;urls&gt;&lt;/urls&gt;&lt;/record&gt;&lt;/Cite&gt;&lt;Cite&gt;&lt;Author&gt;Liao&lt;/Author&gt;&lt;Year&gt;2024&lt;/Year&gt;&lt;RecNum&gt;322&lt;/RecNum&gt;&lt;record&gt;&lt;rec-number&gt;322&lt;/rec-number&gt;&lt;foreign-keys&gt;&lt;key app="EN" db-id="edvassfwttpfsqe0xsop2wwg2f05wx552500" timestamp="1703838027"&gt;322&lt;/key&gt;&lt;/foreign-keys&gt;&lt;ref-type name="Journal Article"&gt;17&lt;/ref-type&gt;&lt;contributors&gt;&lt;authors&gt;&lt;author&gt;Liao, Bo-Kai&lt;/author&gt;&lt;author&gt;Goh, Ai Ping&lt;/author&gt;&lt;author&gt;Lio, Chong In&lt;/author&gt;&lt;author&gt;Hsiao, Hsin-I&lt;/author&gt;&lt;/authors&gt;&lt;/contributors&gt;&lt;titles&gt;&lt;title&gt;Kinetic models applied to quality change and shelf-life prediction of fresh-cut pineapple in food cold chain&lt;/title&gt;&lt;secondary-title&gt;Food Chemistry&lt;/secondary-title&gt;&lt;/titles&gt;&lt;periodical&gt;&lt;full-title&gt;Food chemistry&lt;/full-title&gt;&lt;/periodical&gt;&lt;pages&gt;137803&lt;/pages&gt;&lt;volume&gt;437&lt;/volume&gt;&lt;dates&gt;&lt;year&gt;2024&lt;/year&gt;&lt;/dates&gt;&lt;isbn&gt;0308-8146&lt;/isbn&gt;&lt;urls&gt;&lt;/urls&gt;&lt;/record&gt;&lt;/Cite&gt;&lt;/EndNote&gt;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(Liao et al., 2024)</w:t>
      </w:r>
      <w:r>
        <w:rPr>
          <w:rFonts w:hint="default" w:ascii="Times New Roman" w:hAnsi="Times New Roman"/>
          <w:sz w:val="26"/>
          <w:szCs w:val="26"/>
          <w:lang w:val="en-US"/>
        </w:rPr>
        <w:fldChar w:fldCharType="end"/>
      </w:r>
      <w:r>
        <w:rPr>
          <w:rFonts w:hint="default" w:ascii="Times New Roman" w:hAnsi="Times New Roman"/>
          <w:sz w:val="26"/>
          <w:szCs w:val="26"/>
          <w:lang w:val="en-US"/>
        </w:rPr>
        <w:t xml:space="preserve">. Kinetic based models have traditionally been employed to describe variations internal (titratable acidity), and external (weight loss) qualities of fruits and vegetables </w:t>
      </w:r>
      <w:r>
        <w:rPr>
          <w:rFonts w:hint="default" w:ascii="Times New Roman" w:hAnsi="Times New Roman"/>
          <w:sz w:val="26"/>
          <w:szCs w:val="26"/>
          <w:lang w:val="en-US"/>
        </w:rPr>
        <w:fldChar w:fldCharType="begin"/>
      </w:r>
      <w:r>
        <w:rPr>
          <w:rFonts w:hint="default" w:ascii="Times New Roman" w:hAnsi="Times New Roman"/>
          <w:sz w:val="26"/>
          <w:szCs w:val="26"/>
          <w:lang w:val="en-US"/>
        </w:rPr>
        <w:instrText xml:space="preserve"> ADDIN EN.CITE &lt;EndNote&gt;&lt;Cite&gt;&lt;Author&gt;Al-Dairi&lt;/Author&gt;&lt;Year&gt;2023&lt;/Year&gt;&lt;RecNum&gt;323&lt;/RecNum&gt;&lt;DisplayText&gt;(Al-Dairi et al., 2023)&lt;/DisplayText&gt;&lt;record&gt;&lt;rec-number&gt;323&lt;/rec-number&gt;&lt;foreign-keys&gt;&lt;key app="EN" db-id="edvassfwttpfsqe0xsop2wwg2f05wx552500" timestamp="1703839390"&gt;323&lt;/key&gt;&lt;/foreign-keys&gt;&lt;ref-type name="Journal Article"&gt;17&lt;/ref-type&gt;&lt;contributors&gt;&lt;authors&gt;&lt;author&gt;Al-Dairi, Mai&lt;/author&gt;&lt;author&gt;Pathare, Pankaj B&lt;/author&gt;&lt;author&gt;Al-Yahyai, Rashid&lt;/author&gt;&lt;author&gt;Jayasuriya, Hemantha&lt;/author&gt;&lt;author&gt;Al-Attabi, Zahir&lt;/author&gt;&lt;/authors&gt;&lt;/contributors&gt;&lt;titles&gt;&lt;title&gt;Postharvest quality, technologies, and strategies to reduce losses along the supply chain of banana: A review&lt;/title&gt;&lt;secondary-title&gt;Trends in Food Science &amp;amp; Technology&lt;/secondary-title&gt;&lt;/titles&gt;&lt;periodical&gt;&lt;full-title&gt;Trends in Food Science &amp;amp; Technology&lt;/full-title&gt;&lt;/periodical&gt;&lt;dates&gt;&lt;year&gt;2023&lt;/year&gt;&lt;/dates&gt;&lt;isbn&gt;0924-2244&lt;/isbn&gt;&lt;urls&gt;&lt;/urls&gt;&lt;/record&gt;&lt;/Cite&gt;&lt;Cite&gt;&lt;Author&gt;Al-Dairi&lt;/Author&gt;&lt;Year&gt;2023&lt;/Year&gt;&lt;RecNum&gt;323&lt;/RecNum&gt;&lt;record&gt;&lt;rec-number&gt;323&lt;/rec-number&gt;&lt;foreign-keys&gt;&lt;key app="EN" db-id="edvassfwttpfsqe0xsop2wwg2f05wx552500" timestamp="1703839390"&gt;323&lt;/key&gt;&lt;/foreign-keys&gt;&lt;ref-type name="Journal Article"&gt;17&lt;/ref-type&gt;&lt;contributors&gt;&lt;authors&gt;&lt;author&gt;Al-Dairi, Mai&lt;/author&gt;&lt;author&gt;Pathare, Pankaj B&lt;/author&gt;&lt;author&gt;Al-Yahyai, Rashid&lt;/author&gt;&lt;author&gt;Jayasuriya, Hemantha&lt;/author&gt;&lt;author&gt;Al-Attabi, Zahir&lt;/author&gt;&lt;/authors&gt;&lt;/contributors&gt;&lt;titles&gt;&lt;title&gt;Postharvest quality, technologies, and strategies to reduce losses along the supply chain of banana: A review&lt;/title&gt;&lt;secondary-title&gt;Trends in Food Science &amp;amp; Technology&lt;/secondary-title&gt;&lt;/titles&gt;&lt;periodical&gt;&lt;full-title&gt;Trends in Food Science &amp;amp; Technology&lt;/full-title&gt;&lt;/periodical&gt;&lt;dates&gt;&lt;year&gt;2023&lt;/year&gt;&lt;/dates&gt;&lt;isbn&gt;0924-2244&lt;/isbn&gt;&lt;urls&gt;&lt;/urls&gt;&lt;/record&gt;&lt;/Cite&gt;&lt;/EndNote&gt;</w:instrText>
      </w:r>
      <w:r>
        <w:rPr>
          <w:rFonts w:hint="default" w:ascii="Times New Roman" w:hAnsi="Times New Roman"/>
          <w:sz w:val="26"/>
          <w:szCs w:val="26"/>
          <w:lang w:val="en-US"/>
        </w:rPr>
        <w:fldChar w:fldCharType="separate"/>
      </w:r>
      <w:r>
        <w:rPr>
          <w:rFonts w:hint="default" w:ascii="Times New Roman" w:hAnsi="Times New Roman" w:eastAsiaTheme="minorEastAsia" w:cstheme="minorBidi"/>
          <w:sz w:val="26"/>
          <w:szCs w:val="26"/>
          <w:lang w:val="en-US" w:eastAsia="zh-CN" w:bidi="ar-SA"/>
        </w:rPr>
        <w:t>(Al-Dairi et al., 2023)</w:t>
      </w:r>
      <w:r>
        <w:rPr>
          <w:rFonts w:hint="default" w:ascii="Times New Roman" w:hAnsi="Times New Roman"/>
          <w:sz w:val="26"/>
          <w:szCs w:val="26"/>
          <w:lang w:val="en-US"/>
        </w:rPr>
        <w:fldChar w:fldCharType="end"/>
      </w:r>
      <w:r>
        <w:rPr>
          <w:rFonts w:hint="default" w:ascii="Times New Roman" w:hAnsi="Times New Roman"/>
          <w:sz w:val="26"/>
          <w:szCs w:val="26"/>
          <w:lang w:val="en-US"/>
        </w:rPr>
        <w:t xml:space="preserve">. To the best of our knowledge, the physicochemical kinetics of tomato fruit bio-preservation has not been effectively discussed. </w:t>
      </w:r>
    </w:p>
    <w:p>
      <w:pPr>
        <w:keepNext w:val="0"/>
        <w:keepLines w:val="0"/>
        <w:pageBreakBefore w:val="0"/>
        <w:widowControl/>
        <w:kinsoku/>
        <w:wordWrap/>
        <w:overflowPunct/>
        <w:topLinePunct w:val="0"/>
        <w:autoSpaceDE/>
        <w:autoSpaceDN/>
        <w:bidi w:val="0"/>
        <w:adjustRightInd/>
        <w:snapToGrid/>
        <w:spacing w:after="541" w:afterLines="150" w:line="360" w:lineRule="auto"/>
        <w:jc w:val="both"/>
        <w:textAlignment w:val="auto"/>
        <w:rPr>
          <w:rFonts w:ascii="Times New Roman" w:hAnsi="Times New Roman" w:cs="Times New Roman"/>
          <w:sz w:val="26"/>
          <w:szCs w:val="26"/>
        </w:rPr>
      </w:pPr>
      <w:r>
        <w:rPr>
          <w:rFonts w:hint="default" w:ascii="Times New Roman" w:hAnsi="Times New Roman"/>
          <w:sz w:val="26"/>
          <w:szCs w:val="26"/>
          <w:lang w:val="en-US"/>
        </w:rPr>
        <w:t xml:space="preserve">Given Nigeria’s high tomato fruit production capacity, and associated significant amount of post-harvest losses, it is desirable to employ a benign approach to manage the shelf-life in order to reduce waste. This can be achieved by novelly harnessing the bio-preservation potentials of </w:t>
      </w:r>
      <w:r>
        <w:rPr>
          <w:rFonts w:hint="default" w:ascii="Times New Roman" w:hAnsi="Times New Roman"/>
          <w:i/>
          <w:iCs/>
          <w:sz w:val="26"/>
          <w:szCs w:val="26"/>
          <w:lang w:val="en-US"/>
        </w:rPr>
        <w:t>MOLE</w:t>
      </w:r>
      <w:r>
        <w:rPr>
          <w:rFonts w:hint="default" w:ascii="Times New Roman" w:hAnsi="Times New Roman"/>
          <w:sz w:val="26"/>
          <w:szCs w:val="26"/>
          <w:lang w:val="en-US"/>
        </w:rPr>
        <w:t xml:space="preserve"> and chitosan complex in biofilm coating of fresh tomato fruit. Specifically, the current study will consider: (1) synthesis and characterization of </w:t>
      </w:r>
      <w:r>
        <w:rPr>
          <w:rFonts w:hint="default" w:ascii="Times New Roman" w:hAnsi="Times New Roman"/>
          <w:i/>
          <w:iCs/>
          <w:sz w:val="26"/>
          <w:szCs w:val="26"/>
          <w:lang w:val="en-US"/>
        </w:rPr>
        <w:t>MOLE</w:t>
      </w:r>
      <w:r>
        <w:rPr>
          <w:rFonts w:hint="default" w:ascii="Times New Roman" w:hAnsi="Times New Roman"/>
          <w:sz w:val="26"/>
          <w:szCs w:val="26"/>
          <w:lang w:val="en-US"/>
        </w:rPr>
        <w:t xml:space="preserve">, chitosan and </w:t>
      </w:r>
      <w:r>
        <w:rPr>
          <w:rFonts w:hint="default" w:ascii="Times New Roman" w:hAnsi="Times New Roman"/>
          <w:i/>
          <w:iCs/>
          <w:sz w:val="26"/>
          <w:szCs w:val="26"/>
          <w:lang w:val="en-US"/>
        </w:rPr>
        <w:t>MOCEB</w:t>
      </w:r>
      <w:r>
        <w:rPr>
          <w:rFonts w:hint="default" w:ascii="Times New Roman" w:hAnsi="Times New Roman"/>
          <w:sz w:val="26"/>
          <w:szCs w:val="26"/>
          <w:lang w:val="en-US"/>
        </w:rPr>
        <w:t xml:space="preserve"> biofilm; (2) investigation of bio-preservation process variables; (3) physicochemical kinetic, and error appraisal studies; (4) exploration of antimicrobial and antioxidant activities. </w:t>
      </w:r>
    </w:p>
    <w:p>
      <w:pPr>
        <w:keepNext w:val="0"/>
        <w:keepLines w:val="0"/>
        <w:pageBreakBefore w:val="0"/>
        <w:widowControl/>
        <w:kinsoku/>
        <w:wordWrap/>
        <w:overflowPunct/>
        <w:topLinePunct w:val="0"/>
        <w:autoSpaceDE/>
        <w:autoSpaceDN/>
        <w:bidi w:val="0"/>
        <w:adjustRightInd/>
        <w:snapToGrid/>
        <w:spacing w:after="541" w:afterLines="150" w:line="360" w:lineRule="auto"/>
        <w:jc w:val="both"/>
        <w:textAlignment w:val="auto"/>
        <w:rPr>
          <w:rFonts w:hint="default" w:ascii="Times New Roman" w:hAnsi="Times New Roman" w:cs="Times New Roman"/>
          <w:b w:val="0"/>
          <w:bCs w:val="0"/>
          <w:sz w:val="24"/>
          <w:szCs w:val="24"/>
          <w:lang w:val="en-GB"/>
        </w:rPr>
      </w:pPr>
      <w:r>
        <w:rPr>
          <w:rFonts w:hint="default" w:ascii="Times New Roman" w:hAnsi="Times New Roman" w:cs="Times New Roman"/>
          <w:b/>
          <w:bCs/>
          <w:sz w:val="26"/>
          <w:szCs w:val="26"/>
          <w:lang w:val="en-US"/>
        </w:rPr>
        <w:t>2.0 Materials and methods</w:t>
      </w:r>
    </w:p>
    <w:p>
      <w:pPr>
        <w:spacing w:line="360" w:lineRule="auto"/>
        <w:jc w:val="left"/>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2.1 Materials</w:t>
      </w:r>
    </w:p>
    <w:p>
      <w:pPr>
        <w:spacing w:line="360" w:lineRule="auto"/>
        <w:jc w:val="left"/>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 xml:space="preserve">2.1.1 Sourcing of </w:t>
      </w:r>
      <w:r>
        <w:rPr>
          <w:rFonts w:hint="default" w:ascii="Times New Roman" w:hAnsi="Times New Roman" w:cs="Times New Roman"/>
          <w:b w:val="0"/>
          <w:bCs w:val="0"/>
          <w:i/>
          <w:iCs/>
          <w:sz w:val="26"/>
          <w:szCs w:val="26"/>
          <w:lang w:val="en-GB"/>
        </w:rPr>
        <w:t>Moringa Oleifera</w:t>
      </w:r>
      <w:r>
        <w:rPr>
          <w:rFonts w:hint="default" w:ascii="Times New Roman" w:hAnsi="Times New Roman" w:cs="Times New Roman"/>
          <w:b w:val="0"/>
          <w:bCs w:val="0"/>
          <w:sz w:val="26"/>
          <w:szCs w:val="26"/>
          <w:lang w:val="en-GB"/>
        </w:rPr>
        <w:t xml:space="preserve"> leaves and Chitosan substrates</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cs="Times New Roman"/>
          <w:color w:val="auto"/>
          <w:sz w:val="26"/>
          <w:szCs w:val="26"/>
          <w:highlight w:val="none"/>
          <w:lang w:val="en-GB"/>
        </w:rPr>
      </w:pPr>
      <w:r>
        <w:rPr>
          <w:rFonts w:ascii="Times New Roman" w:hAnsi="Times New Roman" w:cs="Times New Roman"/>
          <w:i/>
          <w:iCs/>
          <w:sz w:val="26"/>
          <w:szCs w:val="26"/>
          <w:lang w:val="en-GB"/>
        </w:rPr>
        <w:t>Moringa Oleifera</w:t>
      </w:r>
      <w:r>
        <w:rPr>
          <w:rFonts w:ascii="Times New Roman" w:hAnsi="Times New Roman" w:cs="Times New Roman"/>
          <w:sz w:val="26"/>
          <w:szCs w:val="26"/>
          <w:lang w:val="en-GB"/>
        </w:rPr>
        <w:t xml:space="preserve"> leaves w</w:t>
      </w:r>
      <w:r>
        <w:rPr>
          <w:rFonts w:hint="default" w:ascii="Times New Roman" w:hAnsi="Times New Roman" w:cs="Times New Roman"/>
          <w:sz w:val="26"/>
          <w:szCs w:val="26"/>
          <w:lang w:val="en-GB"/>
        </w:rPr>
        <w:t>ere sourced from</w:t>
      </w:r>
      <w:r>
        <w:rPr>
          <w:rFonts w:ascii="Times New Roman" w:hAnsi="Times New Roman" w:cs="Times New Roman"/>
          <w:sz w:val="26"/>
          <w:szCs w:val="26"/>
          <w:lang w:val="en-GB"/>
        </w:rPr>
        <w:t xml:space="preserve"> local from farms grown in Anambra State. The fresh </w:t>
      </w:r>
      <w:r>
        <w:rPr>
          <w:rFonts w:ascii="Times New Roman" w:hAnsi="Times New Roman" w:cs="Times New Roman"/>
          <w:i/>
          <w:iCs/>
          <w:sz w:val="26"/>
          <w:szCs w:val="26"/>
          <w:lang w:val="en-GB"/>
        </w:rPr>
        <w:t>Moringa Oleifera</w:t>
      </w:r>
      <w:r>
        <w:rPr>
          <w:rFonts w:ascii="Times New Roman" w:hAnsi="Times New Roman" w:cs="Times New Roman"/>
          <w:sz w:val="26"/>
          <w:szCs w:val="26"/>
          <w:lang w:val="en-GB"/>
        </w:rPr>
        <w:t xml:space="preserve"> leaves w</w:t>
      </w:r>
      <w:r>
        <w:rPr>
          <w:rFonts w:hint="default" w:ascii="Times New Roman" w:hAnsi="Times New Roman" w:cs="Times New Roman"/>
          <w:sz w:val="26"/>
          <w:szCs w:val="26"/>
          <w:lang w:val="en-GB"/>
        </w:rPr>
        <w:t>ere</w:t>
      </w:r>
      <w:r>
        <w:rPr>
          <w:rFonts w:ascii="Times New Roman" w:hAnsi="Times New Roman" w:cs="Times New Roman"/>
          <w:sz w:val="26"/>
          <w:szCs w:val="26"/>
          <w:lang w:val="en-GB"/>
        </w:rPr>
        <w:t xml:space="preserve"> washed to remove any dirt and other impurities and </w:t>
      </w:r>
      <w:r>
        <w:rPr>
          <w:rFonts w:ascii="Times New Roman" w:hAnsi="Times New Roman" w:eastAsia="SimSun" w:cs="Times New Roman"/>
          <w:color w:val="000000"/>
          <w:sz w:val="26"/>
          <w:szCs w:val="26"/>
          <w:lang w:val="en-GB"/>
        </w:rPr>
        <w:t>subsequently</w:t>
      </w:r>
      <w:r>
        <w:rPr>
          <w:rFonts w:ascii="Times New Roman" w:hAnsi="Times New Roman" w:eastAsia="SimSun" w:cs="Times New Roman"/>
          <w:color w:val="000000"/>
          <w:sz w:val="26"/>
          <w:szCs w:val="26"/>
        </w:rPr>
        <w:t xml:space="preserve"> dried in open air </w:t>
      </w:r>
      <w:r>
        <w:rPr>
          <w:rFonts w:ascii="Times New Roman" w:hAnsi="Times New Roman" w:eastAsia="SimSun" w:cs="Times New Roman"/>
          <w:color w:val="000000"/>
          <w:sz w:val="26"/>
          <w:szCs w:val="26"/>
          <w:lang w:val="en-GB"/>
        </w:rPr>
        <w:t xml:space="preserve">to remove moisture on the surface of the leaves and </w:t>
      </w:r>
      <w:r>
        <w:rPr>
          <w:rFonts w:hint="default" w:ascii="Times New Roman" w:hAnsi="Times New Roman" w:eastAsia="SimSun" w:cs="Times New Roman"/>
          <w:color w:val="000000"/>
          <w:sz w:val="26"/>
          <w:szCs w:val="26"/>
          <w:lang w:val="en-GB"/>
        </w:rPr>
        <w:t>were</w:t>
      </w:r>
      <w:r>
        <w:rPr>
          <w:rFonts w:ascii="Times New Roman" w:hAnsi="Times New Roman" w:eastAsia="SimSun" w:cs="Times New Roman"/>
          <w:color w:val="000000"/>
          <w:sz w:val="26"/>
          <w:szCs w:val="26"/>
          <w:lang w:val="en-GB"/>
        </w:rPr>
        <w:t xml:space="preserve"> kept for further use</w:t>
      </w:r>
      <w:r>
        <w:rPr>
          <w:rFonts w:hint="default" w:ascii="Times New Roman" w:hAnsi="Times New Roman" w:eastAsia="SimSun" w:cs="Times New Roman"/>
          <w:color w:val="000000"/>
          <w:sz w:val="26"/>
          <w:szCs w:val="26"/>
          <w:lang w:val="en-GB"/>
        </w:rPr>
        <w:t xml:space="preserve">. </w:t>
      </w:r>
      <w:r>
        <w:rPr>
          <w:rFonts w:hint="default" w:ascii="Times New Roman" w:hAnsi="Times New Roman" w:cs="Times New Roman"/>
          <w:color w:val="auto"/>
          <w:sz w:val="26"/>
          <w:szCs w:val="26"/>
          <w:highlight w:val="none"/>
          <w:lang w:val="en-GB"/>
        </w:rPr>
        <w:t xml:space="preserve">Medium molecular weight chitosan with </w:t>
      </w:r>
      <w:r>
        <w:rPr>
          <w:rFonts w:hint="default" w:ascii="Arial" w:hAnsi="Arial" w:cs="Arial"/>
          <w:color w:val="auto"/>
          <w:sz w:val="26"/>
          <w:szCs w:val="26"/>
          <w:highlight w:val="none"/>
          <w:lang w:val="en-GB"/>
        </w:rPr>
        <w:t>≥</w:t>
      </w:r>
      <w:r>
        <w:rPr>
          <w:rFonts w:hint="default" w:ascii="Arial" w:hAnsi="Arial" w:cs="Arial"/>
          <w:color w:val="auto"/>
          <w:sz w:val="26"/>
          <w:szCs w:val="26"/>
          <w:highlight w:val="none"/>
          <w:lang w:val="en-US"/>
        </w:rPr>
        <w:t xml:space="preserve"> </w:t>
      </w:r>
      <w:r>
        <w:rPr>
          <w:rFonts w:hint="default" w:ascii="Times New Roman" w:hAnsi="Times New Roman" w:cs="Times New Roman"/>
          <w:color w:val="auto"/>
          <w:sz w:val="26"/>
          <w:szCs w:val="26"/>
          <w:highlight w:val="none"/>
          <w:lang w:val="en-GB"/>
        </w:rPr>
        <w:t>80% degree of deacetylation was</w:t>
      </w:r>
      <w:r>
        <w:rPr>
          <w:rFonts w:ascii="Times New Roman" w:hAnsi="Times New Roman" w:cs="Times New Roman"/>
          <w:color w:val="auto"/>
          <w:sz w:val="26"/>
          <w:szCs w:val="26"/>
          <w:highlight w:val="none"/>
          <w:lang w:val="en-GB"/>
        </w:rPr>
        <w:t xml:space="preserve"> purchase</w:t>
      </w:r>
      <w:r>
        <w:rPr>
          <w:rFonts w:hint="default" w:ascii="Times New Roman" w:hAnsi="Times New Roman" w:cs="Times New Roman"/>
          <w:color w:val="auto"/>
          <w:sz w:val="26"/>
          <w:szCs w:val="26"/>
          <w:highlight w:val="none"/>
          <w:lang w:val="en-GB"/>
        </w:rPr>
        <w:t>d</w:t>
      </w:r>
      <w:r>
        <w:rPr>
          <w:rFonts w:ascii="Times New Roman" w:hAnsi="Times New Roman" w:cs="Times New Roman"/>
          <w:color w:val="auto"/>
          <w:sz w:val="26"/>
          <w:szCs w:val="26"/>
          <w:highlight w:val="none"/>
          <w:lang w:val="en-GB"/>
        </w:rPr>
        <w:t xml:space="preserve"> from Sigma-Aldrich</w:t>
      </w:r>
      <w:r>
        <w:rPr>
          <w:rFonts w:hint="default" w:ascii="Times New Roman" w:hAnsi="Times New Roman" w:cs="Times New Roman"/>
          <w:color w:val="auto"/>
          <w:sz w:val="26"/>
          <w:szCs w:val="26"/>
          <w:highlight w:val="none"/>
          <w:lang w:val="en-US"/>
        </w:rPr>
        <w:t>, United States</w:t>
      </w:r>
      <w:r>
        <w:rPr>
          <w:rFonts w:hint="default" w:ascii="Times New Roman" w:hAnsi="Times New Roman" w:cs="Times New Roman"/>
          <w:color w:val="auto"/>
          <w:sz w:val="26"/>
          <w:szCs w:val="26"/>
          <w:highlight w:val="none"/>
          <w:lang w:val="en-GB"/>
        </w:rPr>
        <w:t xml:space="preserve"> of</w:t>
      </w:r>
      <w:r>
        <w:rPr>
          <w:rFonts w:hint="default" w:ascii="Times New Roman" w:hAnsi="Times New Roman" w:cs="Times New Roman"/>
          <w:color w:val="auto"/>
          <w:sz w:val="26"/>
          <w:szCs w:val="26"/>
          <w:highlight w:val="none"/>
          <w:lang w:val="en-US"/>
        </w:rPr>
        <w:t xml:space="preserve"> America</w:t>
      </w:r>
      <w:r>
        <w:rPr>
          <w:rFonts w:hint="default" w:ascii="Times New Roman" w:hAnsi="Times New Roman" w:cs="Times New Roman"/>
          <w:color w:val="auto"/>
          <w:sz w:val="26"/>
          <w:szCs w:val="26"/>
          <w:highlight w:val="none"/>
          <w:lang w:val="en-GB"/>
        </w:rPr>
        <w:t>.</w:t>
      </w:r>
    </w:p>
    <w:p>
      <w:pPr>
        <w:keepNext w:val="0"/>
        <w:keepLines w:val="0"/>
        <w:pageBreakBefore w:val="0"/>
        <w:widowControl/>
        <w:kinsoku/>
        <w:wordWrap/>
        <w:overflowPunct/>
        <w:topLinePunct w:val="0"/>
        <w:autoSpaceDE/>
        <w:autoSpaceDN/>
        <w:bidi w:val="0"/>
        <w:adjustRightInd/>
        <w:snapToGrid/>
        <w:spacing w:after="181" w:afterLines="50" w:line="360" w:lineRule="auto"/>
        <w:jc w:val="both"/>
        <w:textAlignment w:val="auto"/>
        <w:rPr>
          <w:rFonts w:hint="default" w:ascii="Times New Roman" w:hAnsi="Times New Roman" w:cs="Times New Roman"/>
          <w:color w:val="auto"/>
          <w:sz w:val="26"/>
          <w:szCs w:val="26"/>
          <w:highlight w:val="none"/>
          <w:lang w:val="en-GB"/>
        </w:rPr>
      </w:pPr>
      <w:r>
        <w:rPr>
          <w:rFonts w:hint="default" w:ascii="Times New Roman" w:hAnsi="Times New Roman" w:cs="Times New Roman"/>
          <w:color w:val="auto"/>
          <w:sz w:val="26"/>
          <w:szCs w:val="26"/>
          <w:highlight w:val="none"/>
          <w:lang w:val="en-GB"/>
        </w:rPr>
        <w:t>2.1.2 Collection and preparation of tomato fruits</w:t>
      </w:r>
    </w:p>
    <w:p>
      <w:pPr>
        <w:spacing w:line="360" w:lineRule="auto"/>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Fresh </w:t>
      </w:r>
      <w:r>
        <w:rPr>
          <w:rFonts w:hint="default" w:ascii="Times New Roman" w:hAnsi="Times New Roman" w:cs="Times New Roman"/>
          <w:sz w:val="26"/>
          <w:szCs w:val="26"/>
          <w:lang w:val="en-GB"/>
        </w:rPr>
        <w:t>tomatoes</w:t>
      </w:r>
      <w:r>
        <w:rPr>
          <w:rFonts w:ascii="Times New Roman" w:hAnsi="Times New Roman" w:cs="Times New Roman"/>
          <w:sz w:val="26"/>
          <w:szCs w:val="26"/>
          <w:lang w:val="en-GB"/>
        </w:rPr>
        <w:t xml:space="preserve"> with uniform colour, and no obvious physical damage or bruising </w:t>
      </w:r>
      <w:r>
        <w:rPr>
          <w:rFonts w:hint="default" w:ascii="Times New Roman" w:hAnsi="Times New Roman" w:cs="Times New Roman"/>
          <w:sz w:val="26"/>
          <w:szCs w:val="26"/>
          <w:lang w:val="en-GB"/>
        </w:rPr>
        <w:t>were</w:t>
      </w:r>
      <w:r>
        <w:rPr>
          <w:rFonts w:ascii="Times New Roman" w:hAnsi="Times New Roman" w:cs="Times New Roman"/>
          <w:sz w:val="26"/>
          <w:szCs w:val="26"/>
          <w:lang w:val="en-GB"/>
        </w:rPr>
        <w:t xml:space="preserve"> </w:t>
      </w:r>
      <w:r>
        <w:rPr>
          <w:rFonts w:hint="default" w:ascii="Times New Roman" w:hAnsi="Times New Roman" w:cs="Times New Roman"/>
          <w:sz w:val="26"/>
          <w:szCs w:val="26"/>
          <w:lang w:val="en-GB"/>
        </w:rPr>
        <w:t>carefully harvested</w:t>
      </w:r>
      <w:r>
        <w:rPr>
          <w:rFonts w:ascii="Times New Roman" w:hAnsi="Times New Roman" w:cs="Times New Roman"/>
          <w:sz w:val="26"/>
          <w:szCs w:val="26"/>
          <w:lang w:val="en-GB"/>
        </w:rPr>
        <w:t xml:space="preserve"> from </w:t>
      </w:r>
      <w:r>
        <w:rPr>
          <w:rFonts w:hint="default" w:ascii="Times New Roman" w:hAnsi="Times New Roman" w:cs="Times New Roman"/>
          <w:sz w:val="26"/>
          <w:szCs w:val="26"/>
          <w:lang w:val="en-GB"/>
        </w:rPr>
        <w:t>a local tomato farm in</w:t>
      </w:r>
      <w:r>
        <w:rPr>
          <w:rFonts w:ascii="Times New Roman" w:hAnsi="Times New Roman" w:cs="Times New Roman"/>
          <w:sz w:val="26"/>
          <w:szCs w:val="26"/>
          <w:lang w:val="en-GB"/>
        </w:rPr>
        <w:t xml:space="preserve"> </w:t>
      </w:r>
      <w:r>
        <w:rPr>
          <w:rFonts w:hint="default" w:ascii="Times New Roman" w:hAnsi="Times New Roman" w:cs="Times New Roman"/>
          <w:sz w:val="26"/>
          <w:szCs w:val="26"/>
          <w:lang w:val="en-GB"/>
        </w:rPr>
        <w:t>Kangimi</w:t>
      </w:r>
      <w:r>
        <w:rPr>
          <w:rFonts w:ascii="Times New Roman" w:hAnsi="Times New Roman" w:cs="Times New Roman"/>
          <w:sz w:val="26"/>
          <w:szCs w:val="26"/>
          <w:lang w:val="en-GB"/>
        </w:rPr>
        <w:t>,</w:t>
      </w:r>
      <w:r>
        <w:rPr>
          <w:rFonts w:hint="default" w:ascii="Times New Roman" w:hAnsi="Times New Roman" w:cs="Times New Roman"/>
          <w:sz w:val="26"/>
          <w:szCs w:val="26"/>
          <w:lang w:val="en-GB"/>
        </w:rPr>
        <w:t xml:space="preserve"> Igabi local government area, Kaduna state,</w:t>
      </w:r>
      <w:r>
        <w:rPr>
          <w:rFonts w:ascii="Times New Roman" w:hAnsi="Times New Roman" w:cs="Times New Roman"/>
          <w:sz w:val="26"/>
          <w:szCs w:val="26"/>
          <w:lang w:val="en-GB"/>
        </w:rPr>
        <w:t xml:space="preserve"> Nigeria. </w:t>
      </w:r>
      <w:r>
        <w:rPr>
          <w:rFonts w:hint="default" w:ascii="Times New Roman" w:hAnsi="Times New Roman" w:cs="Times New Roman"/>
          <w:sz w:val="26"/>
          <w:szCs w:val="26"/>
          <w:lang w:val="en-GB"/>
        </w:rPr>
        <w:t>The tomato fruits were well packaged and transported down to Awka, Anambra state, after 24 hr of harvest. T</w:t>
      </w:r>
      <w:r>
        <w:rPr>
          <w:rFonts w:ascii="Times New Roman" w:hAnsi="Times New Roman" w:cs="Times New Roman"/>
          <w:sz w:val="26"/>
          <w:szCs w:val="26"/>
          <w:lang w:val="en-GB"/>
        </w:rPr>
        <w:t xml:space="preserve">he </w:t>
      </w:r>
      <w:r>
        <w:rPr>
          <w:rFonts w:hint="default" w:ascii="Times New Roman" w:hAnsi="Times New Roman" w:cs="Times New Roman"/>
          <w:sz w:val="26"/>
          <w:szCs w:val="26"/>
          <w:lang w:val="en-GB"/>
        </w:rPr>
        <w:t>transported fruits were washed</w:t>
      </w:r>
      <w:r>
        <w:rPr>
          <w:rFonts w:ascii="Times New Roman" w:hAnsi="Times New Roman" w:cs="Times New Roman"/>
          <w:sz w:val="26"/>
          <w:szCs w:val="26"/>
          <w:lang w:val="en-GB"/>
        </w:rPr>
        <w:t xml:space="preserve"> using distilled water and air-dried </w:t>
      </w:r>
      <w:r>
        <w:rPr>
          <w:rFonts w:hint="default" w:ascii="Times New Roman" w:hAnsi="Times New Roman" w:cs="Times New Roman"/>
          <w:sz w:val="26"/>
          <w:szCs w:val="26"/>
          <w:lang w:val="en-GB"/>
        </w:rPr>
        <w:t xml:space="preserve">at room temperature </w:t>
      </w:r>
      <w:r>
        <w:rPr>
          <w:rFonts w:ascii="Times New Roman" w:hAnsi="Times New Roman" w:cs="Times New Roman"/>
          <w:sz w:val="26"/>
          <w:szCs w:val="26"/>
          <w:lang w:val="en-GB"/>
        </w:rPr>
        <w:t>prior to the treatment.</w:t>
      </w:r>
    </w:p>
    <w:p>
      <w:pPr>
        <w:spacing w:line="480" w:lineRule="auto"/>
        <w:jc w:val="both"/>
        <w:rPr>
          <w:rFonts w:hint="default" w:ascii="Times New Roman" w:hAnsi="Times New Roman" w:cs="Times New Roman"/>
          <w:sz w:val="26"/>
          <w:szCs w:val="26"/>
          <w:lang w:val="en-GB"/>
        </w:rPr>
      </w:pPr>
      <w:r>
        <w:rPr>
          <w:rFonts w:hint="default" w:ascii="Times New Roman" w:hAnsi="Times New Roman" w:cs="Times New Roman"/>
          <w:sz w:val="26"/>
          <w:szCs w:val="26"/>
          <w:lang w:val="en-GB"/>
        </w:rPr>
        <w:t>2.2 Methods</w:t>
      </w:r>
    </w:p>
    <w:p>
      <w:pPr>
        <w:spacing w:line="480" w:lineRule="auto"/>
        <w:jc w:val="both"/>
        <w:rPr>
          <w:rFonts w:hint="default" w:ascii="Times New Roman" w:hAnsi="Times New Roman" w:cs="Times New Roman"/>
          <w:color w:val="auto"/>
          <w:sz w:val="26"/>
          <w:szCs w:val="26"/>
          <w:highlight w:val="none"/>
          <w:lang w:val="en-GB"/>
        </w:rPr>
      </w:pPr>
      <w:r>
        <w:rPr>
          <w:rFonts w:hint="default" w:ascii="Times New Roman" w:hAnsi="Times New Roman" w:cs="Times New Roman"/>
          <w:color w:val="auto"/>
          <w:sz w:val="26"/>
          <w:szCs w:val="26"/>
          <w:highlight w:val="none"/>
          <w:lang w:val="en-GB"/>
        </w:rPr>
        <w:t xml:space="preserve">2.2.1 Synthesis of </w:t>
      </w:r>
      <w:r>
        <w:rPr>
          <w:rFonts w:hint="default" w:ascii="Times New Roman" w:hAnsi="Times New Roman" w:cs="Times New Roman"/>
          <w:i/>
          <w:iCs/>
          <w:color w:val="auto"/>
          <w:sz w:val="26"/>
          <w:szCs w:val="26"/>
          <w:highlight w:val="none"/>
          <w:lang w:val="en-GB"/>
        </w:rPr>
        <w:t>MOCEB</w:t>
      </w:r>
      <w:r>
        <w:rPr>
          <w:rFonts w:hint="default" w:ascii="Times New Roman" w:hAnsi="Times New Roman" w:cs="Times New Roman"/>
          <w:color w:val="auto"/>
          <w:sz w:val="26"/>
          <w:szCs w:val="26"/>
          <w:highlight w:val="none"/>
          <w:lang w:val="en-GB"/>
        </w:rPr>
        <w:t xml:space="preserve"> biofilm</w:t>
      </w:r>
    </w:p>
    <w:p>
      <w:pPr>
        <w:spacing w:line="360" w:lineRule="auto"/>
        <w:jc w:val="both"/>
        <w:rPr>
          <w:rFonts w:hint="default" w:ascii="Times New Roman" w:hAnsi="Times New Roman" w:eastAsia="SimSun" w:cs="Times New Roman"/>
          <w:i w:val="0"/>
          <w:iCs w:val="0"/>
          <w:color w:val="000000" w:themeColor="text1"/>
          <w:sz w:val="26"/>
          <w:szCs w:val="26"/>
          <w:highlight w:val="none"/>
          <w:lang w:val="en-GB"/>
          <w14:textFill>
            <w14:solidFill>
              <w14:schemeClr w14:val="tx1"/>
            </w14:solidFill>
          </w14:textFill>
        </w:rPr>
      </w:pPr>
      <w:r>
        <w:rPr>
          <w:rFonts w:hint="default" w:ascii="Times New Roman" w:hAnsi="Times New Roman" w:eastAsia="SimSun" w:cs="Times New Roman"/>
          <w:i/>
          <w:iCs/>
          <w:color w:val="000000"/>
          <w:sz w:val="26"/>
          <w:szCs w:val="26"/>
          <w:highlight w:val="none"/>
          <w:lang w:val="en-GB"/>
        </w:rPr>
        <w:t xml:space="preserve">Moringa Oleifera </w:t>
      </w:r>
      <w:r>
        <w:rPr>
          <w:rFonts w:hint="default" w:ascii="Times New Roman" w:hAnsi="Times New Roman" w:eastAsia="SimSun" w:cs="Times New Roman"/>
          <w:i w:val="0"/>
          <w:iCs w:val="0"/>
          <w:color w:val="000000"/>
          <w:sz w:val="26"/>
          <w:szCs w:val="26"/>
          <w:highlight w:val="none"/>
          <w:lang w:val="en-GB"/>
        </w:rPr>
        <w:t xml:space="preserve">leave extract was prepared by leaching </w:t>
      </w:r>
      <w:r>
        <w:rPr>
          <w:rFonts w:hint="default" w:ascii="Times New Roman" w:hAnsi="Times New Roman" w:eastAsia="SimSun" w:cs="Times New Roman"/>
          <w:i/>
          <w:iCs/>
          <w:color w:val="000000"/>
          <w:sz w:val="26"/>
          <w:szCs w:val="26"/>
          <w:highlight w:val="none"/>
          <w:lang w:val="en-GB"/>
        </w:rPr>
        <w:t>MOLE</w:t>
      </w:r>
      <w:r>
        <w:rPr>
          <w:rFonts w:hint="default" w:ascii="Times New Roman" w:hAnsi="Times New Roman" w:eastAsia="SimSun" w:cs="Times New Roman"/>
          <w:i w:val="0"/>
          <w:iCs w:val="0"/>
          <w:color w:val="000000"/>
          <w:sz w:val="26"/>
          <w:szCs w:val="26"/>
          <w:highlight w:val="none"/>
          <w:lang w:val="en-GB"/>
        </w:rPr>
        <w:t xml:space="preserve"> from dried </w:t>
      </w:r>
      <w:r>
        <w:rPr>
          <w:rFonts w:hint="default" w:ascii="Times New Roman" w:hAnsi="Times New Roman" w:eastAsia="SimSun" w:cs="Times New Roman"/>
          <w:i/>
          <w:iCs/>
          <w:color w:val="000000"/>
          <w:sz w:val="26"/>
          <w:szCs w:val="26"/>
          <w:highlight w:val="none"/>
          <w:lang w:val="en-GB"/>
        </w:rPr>
        <w:t>Moringa Oleifera</w:t>
      </w:r>
      <w:r>
        <w:rPr>
          <w:rFonts w:hint="default" w:ascii="Times New Roman" w:hAnsi="Times New Roman" w:eastAsia="SimSun" w:cs="Times New Roman"/>
          <w:i w:val="0"/>
          <w:iCs w:val="0"/>
          <w:color w:val="000000"/>
          <w:sz w:val="26"/>
          <w:szCs w:val="26"/>
          <w:highlight w:val="none"/>
          <w:lang w:val="en-GB"/>
        </w:rPr>
        <w:t xml:space="preserve"> leaves using pure ethanol. </w:t>
      </w:r>
      <w:r>
        <w:rPr>
          <w:rFonts w:hint="default" w:ascii="Times New Roman" w:hAnsi="Times New Roman" w:eastAsia="SimSun" w:cs="Times New Roman"/>
          <w:i w:val="0"/>
          <w:iCs w:val="0"/>
          <w:color w:val="000000"/>
          <w:sz w:val="26"/>
          <w:szCs w:val="26"/>
          <w:highlight w:val="none"/>
          <w:lang w:val="en-US"/>
        </w:rPr>
        <w:t>Five percent</w:t>
      </w:r>
      <w:r>
        <w:rPr>
          <w:rFonts w:hint="default" w:ascii="Times New Roman" w:hAnsi="Times New Roman" w:eastAsia="SimSun" w:cs="Times New Roman"/>
          <w:i w:val="0"/>
          <w:iCs w:val="0"/>
          <w:color w:val="000000"/>
          <w:sz w:val="26"/>
          <w:szCs w:val="26"/>
          <w:highlight w:val="none"/>
          <w:lang w:val="en-GB"/>
        </w:rPr>
        <w:t xml:space="preserve"> (</w:t>
      </w:r>
      <w:r>
        <w:rPr>
          <w:rFonts w:hint="default" w:ascii="Times New Roman" w:hAnsi="Times New Roman" w:eastAsia="SimSun" w:cs="Times New Roman"/>
          <w:i w:val="0"/>
          <w:iCs w:val="0"/>
          <w:color w:val="000000"/>
          <w:sz w:val="26"/>
          <w:szCs w:val="26"/>
          <w:highlight w:val="none"/>
          <w:lang w:val="en-US"/>
        </w:rPr>
        <w:t>5</w:t>
      </w:r>
      <w:r>
        <w:rPr>
          <w:rFonts w:hint="default" w:ascii="Times New Roman" w:hAnsi="Times New Roman" w:eastAsia="SimSun" w:cs="Times New Roman"/>
          <w:i w:val="0"/>
          <w:iCs w:val="0"/>
          <w:color w:val="000000"/>
          <w:sz w:val="26"/>
          <w:szCs w:val="26"/>
          <w:highlight w:val="none"/>
          <w:lang w:val="en-GB"/>
        </w:rPr>
        <w:t>g</w:t>
      </w:r>
      <w:r>
        <w:rPr>
          <w:rFonts w:hint="default" w:ascii="Times New Roman" w:hAnsi="Times New Roman" w:eastAsia="SimSun" w:cs="Times New Roman"/>
          <w:i w:val="0"/>
          <w:iCs w:val="0"/>
          <w:color w:val="000000"/>
          <w:sz w:val="26"/>
          <w:szCs w:val="26"/>
          <w:highlight w:val="none"/>
          <w:lang w:val="en-US"/>
        </w:rPr>
        <w:t xml:space="preserve"> </w:t>
      </w:r>
      <w:r>
        <w:rPr>
          <w:rFonts w:hint="default" w:ascii="Times New Roman" w:hAnsi="Times New Roman" w:eastAsia="SimSun" w:cs="Times New Roman"/>
          <w:i w:val="0"/>
          <w:iCs w:val="0"/>
          <w:color w:val="000000"/>
          <w:sz w:val="26"/>
          <w:szCs w:val="26"/>
          <w:highlight w:val="none"/>
          <w:lang w:val="en-GB"/>
        </w:rPr>
        <w:t>weight of sample/100ml</w:t>
      </w:r>
      <w:r>
        <w:rPr>
          <w:rFonts w:hint="default" w:ascii="Times New Roman" w:hAnsi="Times New Roman" w:eastAsia="SimSun" w:cs="Times New Roman"/>
          <w:i w:val="0"/>
          <w:iCs w:val="0"/>
          <w:color w:val="000000"/>
          <w:sz w:val="26"/>
          <w:szCs w:val="26"/>
          <w:highlight w:val="none"/>
          <w:lang w:val="en-US"/>
        </w:rPr>
        <w:t xml:space="preserve"> of solvent</w:t>
      </w:r>
      <w:r>
        <w:rPr>
          <w:rFonts w:hint="default" w:ascii="Times New Roman" w:hAnsi="Times New Roman" w:eastAsia="SimSun" w:cs="Times New Roman"/>
          <w:i w:val="0"/>
          <w:iCs w:val="0"/>
          <w:color w:val="000000"/>
          <w:sz w:val="26"/>
          <w:szCs w:val="26"/>
          <w:highlight w:val="none"/>
          <w:lang w:val="en-GB"/>
        </w:rPr>
        <w:t>) dried moringa leaves were added to pure ethanol under constant stirring conditions. The solution was allowed to stir at 50</w:t>
      </w:r>
      <w:r>
        <w:rPr>
          <w:rFonts w:hint="default" w:ascii="Times New Roman" w:hAnsi="Times New Roman" w:eastAsia="SimSun" w:cs="Times New Roman"/>
          <w:i w:val="0"/>
          <w:iCs w:val="0"/>
          <w:color w:val="000000"/>
          <w:sz w:val="26"/>
          <w:szCs w:val="26"/>
          <w:highlight w:val="none"/>
          <w:lang w:val="en-US"/>
        </w:rPr>
        <w:t xml:space="preserve"> </w:t>
      </w:r>
      <w:r>
        <w:rPr>
          <w:rFonts w:hint="default" w:ascii="Times New Roman" w:hAnsi="Times New Roman" w:eastAsia="SimSun" w:cs="Times New Roman"/>
          <w:i w:val="0"/>
          <w:iCs w:val="0"/>
          <w:color w:val="000000"/>
          <w:sz w:val="26"/>
          <w:szCs w:val="26"/>
          <w:highlight w:val="none"/>
          <w:vertAlign w:val="superscript"/>
          <w:lang w:val="en-GB"/>
        </w:rPr>
        <w:t>o</w:t>
      </w:r>
      <w:r>
        <w:rPr>
          <w:rFonts w:hint="default" w:ascii="Times New Roman" w:hAnsi="Times New Roman" w:eastAsia="SimSun" w:cs="Times New Roman"/>
          <w:i w:val="0"/>
          <w:iCs w:val="0"/>
          <w:color w:val="000000"/>
          <w:sz w:val="26"/>
          <w:szCs w:val="26"/>
          <w:highlight w:val="none"/>
          <w:lang w:val="en-GB"/>
        </w:rPr>
        <w:t>C for 12</w:t>
      </w:r>
      <w:r>
        <w:rPr>
          <w:rFonts w:hint="default" w:ascii="Times New Roman" w:hAnsi="Times New Roman" w:eastAsia="SimSun" w:cs="Times New Roman"/>
          <w:i w:val="0"/>
          <w:iCs w:val="0"/>
          <w:color w:val="000000"/>
          <w:sz w:val="26"/>
          <w:szCs w:val="26"/>
          <w:highlight w:val="none"/>
          <w:lang w:val="en-US"/>
        </w:rPr>
        <w:t xml:space="preserve"> </w:t>
      </w:r>
      <w:r>
        <w:rPr>
          <w:rFonts w:hint="default" w:ascii="Times New Roman" w:hAnsi="Times New Roman" w:eastAsia="SimSun" w:cs="Times New Roman"/>
          <w:i w:val="0"/>
          <w:iCs w:val="0"/>
          <w:color w:val="000000"/>
          <w:sz w:val="26"/>
          <w:szCs w:val="26"/>
          <w:highlight w:val="none"/>
          <w:lang w:val="en-GB"/>
        </w:rPr>
        <w:t xml:space="preserve">h. After which, it was filtered and </w:t>
      </w:r>
      <w:r>
        <w:rPr>
          <w:rFonts w:hint="default" w:ascii="Times New Roman" w:hAnsi="Times New Roman" w:eastAsia="SimSun" w:cs="Times New Roman"/>
          <w:i w:val="0"/>
          <w:iCs w:val="0"/>
          <w:color w:val="000000"/>
          <w:sz w:val="26"/>
          <w:szCs w:val="26"/>
          <w:highlight w:val="none"/>
          <w:lang w:val="en-US"/>
        </w:rPr>
        <w:t>oven</w:t>
      </w:r>
      <w:r>
        <w:rPr>
          <w:rFonts w:hint="default" w:ascii="Times New Roman" w:hAnsi="Times New Roman" w:eastAsia="SimSun" w:cs="Times New Roman"/>
          <w:i w:val="0"/>
          <w:iCs w:val="0"/>
          <w:color w:val="000000"/>
          <w:sz w:val="26"/>
          <w:szCs w:val="26"/>
          <w:highlight w:val="none"/>
          <w:lang w:val="en-GB"/>
        </w:rPr>
        <w:t xml:space="preserve"> dried at </w:t>
      </w:r>
      <w:r>
        <w:rPr>
          <w:rFonts w:hint="default" w:ascii="Times New Roman" w:hAnsi="Times New Roman" w:eastAsia="SimSun" w:cs="Times New Roman"/>
          <w:i w:val="0"/>
          <w:iCs w:val="0"/>
          <w:color w:val="000000"/>
          <w:sz w:val="26"/>
          <w:szCs w:val="26"/>
          <w:highlight w:val="none"/>
          <w:lang w:val="en-US"/>
        </w:rPr>
        <w:t xml:space="preserve">70 </w:t>
      </w:r>
      <w:r>
        <w:rPr>
          <w:rFonts w:hint="default" w:ascii="Times New Roman" w:hAnsi="Times New Roman" w:eastAsia="SimSun" w:cs="Times New Roman"/>
          <w:i w:val="0"/>
          <w:iCs w:val="0"/>
          <w:color w:val="000000"/>
          <w:sz w:val="26"/>
          <w:szCs w:val="26"/>
          <w:highlight w:val="none"/>
          <w:vertAlign w:val="superscript"/>
          <w:lang w:val="en-US"/>
        </w:rPr>
        <w:t>o</w:t>
      </w:r>
      <w:r>
        <w:rPr>
          <w:rFonts w:hint="default" w:ascii="Times New Roman" w:hAnsi="Times New Roman" w:eastAsia="SimSun" w:cs="Times New Roman"/>
          <w:i w:val="0"/>
          <w:iCs w:val="0"/>
          <w:color w:val="000000"/>
          <w:sz w:val="26"/>
          <w:szCs w:val="26"/>
          <w:highlight w:val="none"/>
          <w:lang w:val="en-GB"/>
        </w:rPr>
        <w:t xml:space="preserve">C </w:t>
      </w:r>
      <w:r>
        <w:rPr>
          <w:rFonts w:hint="default" w:ascii="Times New Roman" w:hAnsi="Times New Roman" w:eastAsia="SimSun" w:cs="Times New Roman"/>
          <w:i w:val="0"/>
          <w:iCs w:val="0"/>
          <w:color w:val="000000"/>
          <w:sz w:val="26"/>
          <w:szCs w:val="26"/>
          <w:highlight w:val="none"/>
          <w:lang w:val="en-US"/>
        </w:rPr>
        <w:t>on</w:t>
      </w:r>
      <w:r>
        <w:rPr>
          <w:rFonts w:hint="default" w:ascii="Times New Roman" w:hAnsi="Times New Roman" w:eastAsia="SimSun" w:cs="Times New Roman"/>
          <w:i w:val="0"/>
          <w:iCs w:val="0"/>
          <w:color w:val="000000"/>
          <w:sz w:val="26"/>
          <w:szCs w:val="26"/>
          <w:highlight w:val="none"/>
          <w:lang w:val="en-GB"/>
        </w:rPr>
        <w:t>to</w:t>
      </w:r>
      <w:r>
        <w:rPr>
          <w:rFonts w:hint="default" w:ascii="Times New Roman" w:hAnsi="Times New Roman" w:eastAsia="SimSun" w:cs="Times New Roman"/>
          <w:i w:val="0"/>
          <w:iCs w:val="0"/>
          <w:color w:val="000000"/>
          <w:sz w:val="26"/>
          <w:szCs w:val="26"/>
          <w:highlight w:val="none"/>
          <w:lang w:val="en-US"/>
        </w:rPr>
        <w:t xml:space="preserve"> constant weight to</w:t>
      </w:r>
      <w:r>
        <w:rPr>
          <w:rFonts w:hint="default" w:ascii="Times New Roman" w:hAnsi="Times New Roman" w:eastAsia="SimSun" w:cs="Times New Roman"/>
          <w:i w:val="0"/>
          <w:iCs w:val="0"/>
          <w:color w:val="000000" w:themeColor="text1"/>
          <w:sz w:val="26"/>
          <w:szCs w:val="26"/>
          <w:highlight w:val="none"/>
          <w:lang w:val="en-GB"/>
          <w14:textFill>
            <w14:solidFill>
              <w14:schemeClr w14:val="tx1"/>
            </w14:solidFill>
          </w14:textFill>
        </w:rPr>
        <w:t xml:space="preserve"> obtain </w:t>
      </w:r>
      <w:r>
        <w:rPr>
          <w:rFonts w:hint="default" w:ascii="Times New Roman" w:hAnsi="Times New Roman" w:eastAsia="SimSun" w:cs="Times New Roman"/>
          <w:i/>
          <w:iCs/>
          <w:color w:val="000000" w:themeColor="text1"/>
          <w:sz w:val="26"/>
          <w:szCs w:val="26"/>
          <w:highlight w:val="none"/>
          <w:lang w:val="en-GB"/>
          <w14:textFill>
            <w14:solidFill>
              <w14:schemeClr w14:val="tx1"/>
            </w14:solidFill>
          </w14:textFill>
        </w:rPr>
        <w:t>MOLE</w:t>
      </w:r>
      <w:r>
        <w:rPr>
          <w:rFonts w:hint="default" w:ascii="Times New Roman" w:hAnsi="Times New Roman" w:eastAsia="SimSun" w:cs="Times New Roman"/>
          <w:i w:val="0"/>
          <w:iCs w:val="0"/>
          <w:color w:val="000000" w:themeColor="text1"/>
          <w:sz w:val="26"/>
          <w:szCs w:val="26"/>
          <w:highlight w:val="none"/>
          <w:lang w:val="en-GB"/>
          <w14:textFill>
            <w14:solidFill>
              <w14:schemeClr w14:val="tx1"/>
            </w14:solidFill>
          </w14:textFill>
        </w:rPr>
        <w:t>.</w:t>
      </w:r>
    </w:p>
    <w:p>
      <w:pPr>
        <w:spacing w:line="360" w:lineRule="auto"/>
        <w:jc w:val="both"/>
        <w:rPr>
          <w:rFonts w:hint="default" w:ascii="Times New Roman" w:hAnsi="Times New Roman" w:eastAsia="SimSun" w:cs="Times New Roman"/>
          <w:i w:val="0"/>
          <w:iCs w:val="0"/>
          <w:color w:val="000000"/>
          <w:sz w:val="26"/>
          <w:szCs w:val="26"/>
          <w:highlight w:val="none"/>
          <w:lang w:val="en-GB"/>
        </w:rPr>
      </w:pPr>
      <w:r>
        <w:rPr>
          <w:rFonts w:hint="default" w:ascii="Times New Roman" w:hAnsi="Times New Roman" w:eastAsia="SimSun" w:cs="Times New Roman"/>
          <w:i w:val="0"/>
          <w:iCs w:val="0"/>
          <w:color w:val="000000" w:themeColor="text1"/>
          <w:sz w:val="26"/>
          <w:szCs w:val="26"/>
          <w:highlight w:val="none"/>
          <w:lang w:val="en-GB"/>
          <w14:textFill>
            <w14:solidFill>
              <w14:schemeClr w14:val="tx1"/>
            </w14:solidFill>
          </w14:textFill>
        </w:rPr>
        <w:t>Different concentration of chitosan solution</w:t>
      </w:r>
      <w:r>
        <w:rPr>
          <w:rFonts w:hint="default" w:ascii="Times New Roman" w:hAnsi="Times New Roman" w:eastAsia="SimSun" w:cs="Times New Roman"/>
          <w:i w:val="0"/>
          <w:iCs w:val="0"/>
          <w:color w:val="000000" w:themeColor="text1"/>
          <w:sz w:val="26"/>
          <w:szCs w:val="26"/>
          <w:highlight w:val="none"/>
          <w:lang w:val="en-US"/>
          <w14:textFill>
            <w14:solidFill>
              <w14:schemeClr w14:val="tx1"/>
            </w14:solidFill>
          </w14:textFill>
        </w:rPr>
        <w:t xml:space="preserve"> </w:t>
      </w:r>
      <w:r>
        <w:rPr>
          <w:rFonts w:hint="default" w:ascii="Times New Roman" w:hAnsi="Times New Roman" w:eastAsia="SimSun" w:cs="Times New Roman"/>
          <w:i w:val="0"/>
          <w:iCs w:val="0"/>
          <w:color w:val="000000" w:themeColor="text1"/>
          <w:sz w:val="26"/>
          <w:szCs w:val="26"/>
          <w:highlight w:val="none"/>
          <w:lang w:val="en-GB"/>
          <w14:textFill>
            <w14:solidFill>
              <w14:schemeClr w14:val="tx1"/>
            </w14:solidFill>
          </w14:textFill>
        </w:rPr>
        <w:t>encompassing</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0.5</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1</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1.5</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2.0</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 </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and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2.5</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(weight of sample/100</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ml) w</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as</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prepared by dissolving </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measured amounts of chitosan powder</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in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1 % a</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cetic acid</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solution</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u</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nder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constant </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stirr</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ing</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 at 60</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w:t>
      </w:r>
      <w:r>
        <w:rPr>
          <w:rFonts w:ascii="Times New Roman" w:hAnsi="Times New Roman" w:eastAsia="MinionPro-Regular" w:cs="Times New Roman"/>
          <w:color w:val="000000" w:themeColor="text1"/>
          <w:sz w:val="26"/>
          <w:szCs w:val="26"/>
          <w:highlight w:val="none"/>
          <w:vertAlign w:val="superscript"/>
          <w:lang w:val="en-GB"/>
          <w14:textFill>
            <w14:solidFill>
              <w14:schemeClr w14:val="tx1"/>
            </w14:solidFill>
          </w14:textFill>
        </w:rPr>
        <w:t>o</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 xml:space="preserve">C, for </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5</w:t>
      </w:r>
      <w:r>
        <w:rPr>
          <w:rFonts w:hint="default" w:ascii="Times New Roman" w:hAnsi="Times New Roman" w:eastAsia="MinionPro-Regular" w:cs="Times New Roman"/>
          <w:color w:val="000000" w:themeColor="text1"/>
          <w:sz w:val="26"/>
          <w:szCs w:val="26"/>
          <w:highlight w:val="none"/>
          <w:lang w:val="en-US"/>
          <w14:textFill>
            <w14:solidFill>
              <w14:schemeClr w14:val="tx1"/>
            </w14:solidFill>
          </w14:textFill>
        </w:rPr>
        <w:t xml:space="preserve"> </w:t>
      </w:r>
      <w:r>
        <w:rPr>
          <w:rFonts w:ascii="Times New Roman" w:hAnsi="Times New Roman" w:eastAsia="MinionPro-Regular" w:cs="Times New Roman"/>
          <w:color w:val="000000" w:themeColor="text1"/>
          <w:sz w:val="26"/>
          <w:szCs w:val="26"/>
          <w:highlight w:val="none"/>
          <w:lang w:val="en-GB"/>
          <w14:textFill>
            <w14:solidFill>
              <w14:schemeClr w14:val="tx1"/>
            </w14:solidFill>
          </w14:textFill>
        </w:rPr>
        <w:t>h</w:t>
      </w:r>
      <w:r>
        <w:rPr>
          <w:rFonts w:hint="default" w:ascii="Times New Roman" w:hAnsi="Times New Roman" w:eastAsia="MinionPro-Regular" w:cs="Times New Roman"/>
          <w:color w:val="000000" w:themeColor="text1"/>
          <w:sz w:val="26"/>
          <w:szCs w:val="26"/>
          <w:highlight w:val="none"/>
          <w:lang w:val="en-GB"/>
          <w14:textFill>
            <w14:solidFill>
              <w14:schemeClr w14:val="tx1"/>
            </w14:solidFill>
          </w14:textFill>
        </w:rPr>
        <w:t>.</w:t>
      </w:r>
      <w:r>
        <w:rPr>
          <w:rFonts w:hint="default" w:ascii="Times New Roman" w:hAnsi="Times New Roman" w:eastAsia="SimSun" w:cs="Times New Roman"/>
          <w:color w:val="000000" w:themeColor="text1"/>
          <w:sz w:val="26"/>
          <w:szCs w:val="26"/>
          <w:highlight w:val="none"/>
          <w:lang w:val="en-GB"/>
          <w14:textFill>
            <w14:solidFill>
              <w14:schemeClr w14:val="tx1"/>
            </w14:solidFill>
          </w14:textFill>
        </w:rPr>
        <w:t xml:space="preserve"> </w:t>
      </w:r>
      <w:r>
        <w:rPr>
          <w:rFonts w:hint="default" w:ascii="Times New Roman" w:hAnsi="Times New Roman" w:eastAsia="SimSun" w:cs="Times New Roman"/>
          <w:i/>
          <w:iCs/>
          <w:color w:val="000000" w:themeColor="text1"/>
          <w:sz w:val="26"/>
          <w:szCs w:val="26"/>
          <w:highlight w:val="none"/>
          <w:lang w:val="en-GB"/>
          <w14:textFill>
            <w14:solidFill>
              <w14:schemeClr w14:val="tx1"/>
            </w14:solidFill>
          </w14:textFill>
        </w:rPr>
        <w:t>MOCEB</w:t>
      </w:r>
      <w:r>
        <w:rPr>
          <w:rFonts w:hint="default" w:ascii="Times New Roman" w:hAnsi="Times New Roman" w:eastAsia="SimSun" w:cs="Times New Roman"/>
          <w:i w:val="0"/>
          <w:iCs w:val="0"/>
          <w:color w:val="000000" w:themeColor="text1"/>
          <w:sz w:val="26"/>
          <w:szCs w:val="26"/>
          <w:highlight w:val="none"/>
          <w:lang w:val="en-GB"/>
          <w14:textFill>
            <w14:solidFill>
              <w14:schemeClr w14:val="tx1"/>
            </w14:solidFill>
          </w14:textFill>
        </w:rPr>
        <w:t xml:space="preserve"> was prepared by mixing the pure (chitosan 100 % or </w:t>
      </w:r>
      <w:r>
        <w:rPr>
          <w:rFonts w:hint="default" w:ascii="Times New Roman" w:hAnsi="Times New Roman" w:eastAsia="SimSun" w:cs="Times New Roman"/>
          <w:i/>
          <w:iCs/>
          <w:color w:val="000000" w:themeColor="text1"/>
          <w:sz w:val="26"/>
          <w:szCs w:val="26"/>
          <w:highlight w:val="none"/>
          <w:lang w:val="en-GB"/>
          <w14:textFill>
            <w14:solidFill>
              <w14:schemeClr w14:val="tx1"/>
            </w14:solidFill>
          </w14:textFill>
        </w:rPr>
        <w:t>MOLE</w:t>
      </w:r>
      <w:r>
        <w:rPr>
          <w:rFonts w:hint="default" w:ascii="Times New Roman" w:hAnsi="Times New Roman" w:eastAsia="SimSun" w:cs="Times New Roman"/>
          <w:i w:val="0"/>
          <w:iCs w:val="0"/>
          <w:color w:val="000000" w:themeColor="text1"/>
          <w:sz w:val="26"/>
          <w:szCs w:val="26"/>
          <w:highlight w:val="none"/>
          <w:lang w:val="en-GB"/>
          <w14:textFill>
            <w14:solidFill>
              <w14:schemeClr w14:val="tx1"/>
            </w14:solidFill>
          </w14:textFill>
        </w:rPr>
        <w:t xml:space="preserve"> 100 %) and blended (</w:t>
      </w:r>
      <w:r>
        <w:rPr>
          <w:rFonts w:hint="default" w:ascii="Times New Roman" w:hAnsi="Times New Roman" w:eastAsia="SimSun" w:cs="Times New Roman"/>
          <w:i/>
          <w:iCs/>
          <w:color w:val="000000" w:themeColor="text1"/>
          <w:sz w:val="26"/>
          <w:szCs w:val="26"/>
          <w:highlight w:val="none"/>
          <w:lang w:val="en-GB"/>
          <w14:textFill>
            <w14:solidFill>
              <w14:schemeClr w14:val="tx1"/>
            </w14:solidFill>
          </w14:textFill>
        </w:rPr>
        <w:t>MOLE</w:t>
      </w:r>
      <w:r>
        <w:rPr>
          <w:rFonts w:hint="default" w:ascii="Times New Roman" w:hAnsi="Times New Roman" w:eastAsia="SimSun" w:cs="Times New Roman"/>
          <w:i w:val="0"/>
          <w:iCs w:val="0"/>
          <w:color w:val="000000" w:themeColor="text1"/>
          <w:sz w:val="26"/>
          <w:szCs w:val="26"/>
          <w:highlight w:val="none"/>
          <w:lang w:val="en-GB"/>
          <w14:textFill>
            <w14:solidFill>
              <w14:schemeClr w14:val="tx1"/>
            </w14:solidFill>
          </w14:textFill>
        </w:rPr>
        <w:t xml:space="preserve">:chitosan = 20%:chitosan 80% ; 40%:chitosan 60% ; 60%:chitosan 40% ; 80%:chitosan 20%) substrates of </w:t>
      </w:r>
      <w:r>
        <w:rPr>
          <w:rFonts w:hint="default" w:ascii="Times New Roman" w:hAnsi="Times New Roman" w:eastAsia="SimSun" w:cs="Times New Roman"/>
          <w:i/>
          <w:iCs/>
          <w:color w:val="000000" w:themeColor="text1"/>
          <w:sz w:val="26"/>
          <w:szCs w:val="26"/>
          <w:highlight w:val="none"/>
          <w:lang w:val="en-GB"/>
          <w14:textFill>
            <w14:solidFill>
              <w14:schemeClr w14:val="tx1"/>
            </w14:solidFill>
          </w14:textFill>
        </w:rPr>
        <w:t>MOL</w:t>
      </w:r>
      <w:r>
        <w:rPr>
          <w:rFonts w:hint="default" w:ascii="Times New Roman" w:hAnsi="Times New Roman" w:eastAsia="SimSun" w:cs="Times New Roman"/>
          <w:i/>
          <w:iCs/>
          <w:color w:val="000000"/>
          <w:sz w:val="26"/>
          <w:szCs w:val="26"/>
          <w:highlight w:val="none"/>
          <w:lang w:val="en-GB"/>
        </w:rPr>
        <w:t>E</w:t>
      </w:r>
      <w:r>
        <w:rPr>
          <w:rFonts w:hint="default" w:ascii="Times New Roman" w:hAnsi="Times New Roman" w:eastAsia="SimSun" w:cs="Times New Roman"/>
          <w:i w:val="0"/>
          <w:iCs w:val="0"/>
          <w:color w:val="000000"/>
          <w:sz w:val="26"/>
          <w:szCs w:val="26"/>
          <w:highlight w:val="none"/>
          <w:lang w:val="en-GB"/>
        </w:rPr>
        <w:t xml:space="preserve"> and Chitosan using glycerol plasticizer (25 % w/w). The mixture was allowed to stir at 40</w:t>
      </w:r>
      <w:r>
        <w:rPr>
          <w:rFonts w:hint="default" w:ascii="Times New Roman" w:hAnsi="Times New Roman" w:eastAsia="SimSun" w:cs="Times New Roman"/>
          <w:i w:val="0"/>
          <w:iCs w:val="0"/>
          <w:color w:val="000000"/>
          <w:sz w:val="26"/>
          <w:szCs w:val="26"/>
          <w:highlight w:val="none"/>
          <w:lang w:val="en-US"/>
        </w:rPr>
        <w:t xml:space="preserve"> </w:t>
      </w:r>
      <w:r>
        <w:rPr>
          <w:rFonts w:hint="default" w:ascii="Times New Roman" w:hAnsi="Times New Roman" w:eastAsia="SimSun" w:cs="Times New Roman"/>
          <w:i w:val="0"/>
          <w:iCs w:val="0"/>
          <w:color w:val="000000"/>
          <w:sz w:val="26"/>
          <w:szCs w:val="26"/>
          <w:highlight w:val="none"/>
          <w:vertAlign w:val="superscript"/>
          <w:lang w:val="en-GB"/>
        </w:rPr>
        <w:t>o</w:t>
      </w:r>
      <w:r>
        <w:rPr>
          <w:rFonts w:hint="default" w:ascii="Times New Roman" w:hAnsi="Times New Roman" w:eastAsia="SimSun" w:cs="Times New Roman"/>
          <w:i w:val="0"/>
          <w:iCs w:val="0"/>
          <w:color w:val="000000"/>
          <w:sz w:val="26"/>
          <w:szCs w:val="26"/>
          <w:highlight w:val="none"/>
          <w:lang w:val="en-GB"/>
        </w:rPr>
        <w:t>C and 500 rpm for 2 h using Axiom hotplate magnetic mixer (</w:t>
      </w:r>
      <w:r>
        <w:rPr>
          <w:rFonts w:hint="default" w:ascii="Times New Roman" w:hAnsi="Times New Roman" w:eastAsia="SimSun" w:cs="Times New Roman"/>
          <w:i w:val="0"/>
          <w:iCs w:val="0"/>
          <w:color w:val="000000"/>
          <w:sz w:val="26"/>
          <w:szCs w:val="26"/>
          <w:highlight w:val="none"/>
          <w:lang w:val="en-US"/>
        </w:rPr>
        <w:t>M</w:t>
      </w:r>
      <w:r>
        <w:rPr>
          <w:rFonts w:hint="default" w:ascii="Times New Roman" w:hAnsi="Times New Roman" w:eastAsia="SimSun" w:cs="Times New Roman"/>
          <w:i w:val="0"/>
          <w:iCs w:val="0"/>
          <w:color w:val="000000"/>
          <w:sz w:val="26"/>
          <w:szCs w:val="26"/>
          <w:highlight w:val="none"/>
          <w:lang w:val="en-GB"/>
        </w:rPr>
        <w:t xml:space="preserve">odel 85-2). After this process the sample as allowed to cool to room temperature. The cooled samples were immediately used for bio-coating of fresh tomatoes, while the remaining was labeled </w:t>
      </w:r>
      <w:r>
        <w:rPr>
          <w:rFonts w:hint="default" w:ascii="Times New Roman" w:hAnsi="Times New Roman" w:eastAsia="SimSun" w:cs="Times New Roman"/>
          <w:i/>
          <w:iCs/>
          <w:color w:val="000000"/>
          <w:sz w:val="26"/>
          <w:szCs w:val="26"/>
          <w:highlight w:val="none"/>
          <w:lang w:val="en-GB"/>
        </w:rPr>
        <w:t>MOCEB</w:t>
      </w:r>
      <w:r>
        <w:rPr>
          <w:rFonts w:hint="default" w:ascii="Times New Roman" w:hAnsi="Times New Roman" w:eastAsia="SimSun" w:cs="Times New Roman"/>
          <w:i w:val="0"/>
          <w:iCs w:val="0"/>
          <w:color w:val="000000"/>
          <w:sz w:val="26"/>
          <w:szCs w:val="26"/>
          <w:highlight w:val="none"/>
          <w:lang w:val="en-GB"/>
        </w:rPr>
        <w:t xml:space="preserve"> and preserved with refrigeration until further use.</w:t>
      </w:r>
    </w:p>
    <w:p>
      <w:pPr>
        <w:keepNext w:val="0"/>
        <w:keepLines w:val="0"/>
        <w:pageBreakBefore w:val="0"/>
        <w:widowControl/>
        <w:kinsoku/>
        <w:wordWrap/>
        <w:overflowPunct/>
        <w:topLinePunct w:val="0"/>
        <w:autoSpaceDE/>
        <w:autoSpaceDN/>
        <w:bidi w:val="0"/>
        <w:adjustRightInd/>
        <w:snapToGrid/>
        <w:spacing w:before="361" w:beforeLines="100" w:after="361" w:afterLines="100" w:line="480" w:lineRule="auto"/>
        <w:jc w:val="both"/>
        <w:textAlignment w:val="auto"/>
        <w:rPr>
          <w:rFonts w:hint="default" w:ascii="Times New Roman" w:hAnsi="Times New Roman" w:eastAsia="SimSun" w:cs="Times New Roman"/>
          <w:color w:val="000000"/>
          <w:sz w:val="26"/>
          <w:szCs w:val="26"/>
          <w:lang w:val="en-GB"/>
        </w:rPr>
      </w:pPr>
      <w:r>
        <w:rPr>
          <w:rFonts w:hint="default" w:ascii="Times New Roman" w:hAnsi="Times New Roman" w:eastAsia="SimSun" w:cs="Times New Roman"/>
          <w:color w:val="000000"/>
          <w:sz w:val="26"/>
          <w:szCs w:val="26"/>
          <w:lang w:val="en-GB"/>
        </w:rPr>
        <w:t xml:space="preserve">2.2.2 </w:t>
      </w:r>
      <w:r>
        <w:rPr>
          <w:rFonts w:ascii="Times New Roman" w:hAnsi="Times New Roman" w:eastAsia="SimSun" w:cs="Times New Roman"/>
          <w:color w:val="000000"/>
          <w:sz w:val="26"/>
          <w:szCs w:val="26"/>
          <w:lang w:val="en-GB"/>
        </w:rPr>
        <w:t xml:space="preserve">Coating </w:t>
      </w:r>
      <w:r>
        <w:rPr>
          <w:rFonts w:hint="default" w:ascii="Times New Roman" w:hAnsi="Times New Roman" w:eastAsia="SimSun" w:cs="Times New Roman"/>
          <w:color w:val="000000"/>
          <w:sz w:val="26"/>
          <w:szCs w:val="26"/>
          <w:lang w:val="en-GB"/>
        </w:rPr>
        <w:t>and bio-preservation studies</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eastAsia="URWPalladioL-Roma" w:cs="Times New Roman"/>
          <w:color w:val="000000"/>
          <w:sz w:val="26"/>
          <w:szCs w:val="26"/>
          <w:highlight w:val="none"/>
          <w:lang w:val="en-GB"/>
        </w:rPr>
      </w:pPr>
      <w:r>
        <w:rPr>
          <w:rFonts w:ascii="Times New Roman" w:hAnsi="Times New Roman" w:eastAsia="URWPalladioL-Roma" w:cs="Times New Roman"/>
          <w:color w:val="000000"/>
          <w:sz w:val="26"/>
          <w:szCs w:val="26"/>
          <w:lang w:val="en-GB"/>
        </w:rPr>
        <w:t>Tomato samples w</w:t>
      </w:r>
      <w:r>
        <w:rPr>
          <w:rFonts w:hint="default" w:ascii="Times New Roman" w:hAnsi="Times New Roman" w:eastAsia="URWPalladioL-Roma" w:cs="Times New Roman"/>
          <w:color w:val="000000"/>
          <w:sz w:val="26"/>
          <w:szCs w:val="26"/>
          <w:lang w:val="en-GB"/>
        </w:rPr>
        <w:t>ere</w:t>
      </w:r>
      <w:r>
        <w:rPr>
          <w:rFonts w:ascii="Times New Roman" w:hAnsi="Times New Roman" w:eastAsia="URWPalladioL-Roma" w:cs="Times New Roman"/>
          <w:color w:val="000000"/>
          <w:sz w:val="26"/>
          <w:szCs w:val="26"/>
          <w:lang w:val="en-GB"/>
        </w:rPr>
        <w:t xml:space="preserve"> shared into </w:t>
      </w:r>
      <w:r>
        <w:rPr>
          <w:rFonts w:ascii="Times New Roman" w:hAnsi="Times New Roman" w:eastAsia="URWPalladioL-Roma" w:cs="Times New Roman"/>
          <w:color w:val="auto"/>
          <w:sz w:val="26"/>
          <w:szCs w:val="26"/>
          <w:lang w:val="en-GB"/>
        </w:rPr>
        <w:t>two groups of equal number; one group serve</w:t>
      </w:r>
      <w:r>
        <w:rPr>
          <w:rFonts w:hint="default" w:ascii="Times New Roman" w:hAnsi="Times New Roman" w:eastAsia="URWPalladioL-Roma" w:cs="Times New Roman"/>
          <w:color w:val="auto"/>
          <w:sz w:val="26"/>
          <w:szCs w:val="26"/>
          <w:lang w:val="en-GB"/>
        </w:rPr>
        <w:t>d</w:t>
      </w:r>
      <w:r>
        <w:rPr>
          <w:rFonts w:ascii="Times New Roman" w:hAnsi="Times New Roman" w:eastAsia="URWPalladioL-Roma" w:cs="Times New Roman"/>
          <w:color w:val="auto"/>
          <w:sz w:val="26"/>
          <w:szCs w:val="26"/>
          <w:lang w:val="en-GB"/>
        </w:rPr>
        <w:t xml:space="preserve"> as the uncoated </w:t>
      </w:r>
      <w:r>
        <w:rPr>
          <w:rFonts w:hint="default" w:ascii="Times New Roman" w:hAnsi="Times New Roman" w:eastAsia="URWPalladioL-Roma" w:cs="Times New Roman"/>
          <w:color w:val="auto"/>
          <w:sz w:val="26"/>
          <w:szCs w:val="26"/>
          <w:lang w:val="en-GB"/>
        </w:rPr>
        <w:t>(negative control)</w:t>
      </w:r>
      <w:r>
        <w:rPr>
          <w:rFonts w:ascii="Times New Roman" w:hAnsi="Times New Roman" w:eastAsia="URWPalladioL-Roma" w:cs="Times New Roman"/>
          <w:color w:val="auto"/>
          <w:sz w:val="26"/>
          <w:szCs w:val="26"/>
          <w:lang w:val="en-GB"/>
        </w:rPr>
        <w:t xml:space="preserve"> while the other group w</w:t>
      </w:r>
      <w:r>
        <w:rPr>
          <w:rFonts w:hint="default" w:ascii="Times New Roman" w:hAnsi="Times New Roman" w:eastAsia="URWPalladioL-Roma" w:cs="Times New Roman"/>
          <w:color w:val="auto"/>
          <w:sz w:val="26"/>
          <w:szCs w:val="26"/>
          <w:lang w:val="en-GB"/>
        </w:rPr>
        <w:t>as</w:t>
      </w:r>
      <w:r>
        <w:rPr>
          <w:rFonts w:ascii="Times New Roman" w:hAnsi="Times New Roman" w:eastAsia="URWPalladioL-Roma" w:cs="Times New Roman"/>
          <w:color w:val="auto"/>
          <w:sz w:val="26"/>
          <w:szCs w:val="26"/>
          <w:lang w:val="en-GB"/>
        </w:rPr>
        <w:t xml:space="preserve"> subjected to </w:t>
      </w:r>
      <w:r>
        <w:rPr>
          <w:rFonts w:ascii="Times New Roman" w:hAnsi="Times New Roman" w:eastAsia="URWPalladioL-Roma" w:cs="Times New Roman"/>
          <w:i/>
          <w:iCs/>
          <w:color w:val="auto"/>
          <w:sz w:val="26"/>
          <w:szCs w:val="26"/>
          <w:lang w:val="en-GB"/>
        </w:rPr>
        <w:t xml:space="preserve">MOCEB </w:t>
      </w:r>
      <w:r>
        <w:rPr>
          <w:rFonts w:ascii="Times New Roman" w:hAnsi="Times New Roman" w:eastAsia="URWPalladioL-Roma" w:cs="Times New Roman"/>
          <w:color w:val="auto"/>
          <w:sz w:val="26"/>
          <w:szCs w:val="26"/>
          <w:lang w:val="en-GB"/>
        </w:rPr>
        <w:t>coating.</w:t>
      </w:r>
      <w:r>
        <w:rPr>
          <w:rFonts w:hint="default" w:ascii="Times New Roman" w:hAnsi="Times New Roman" w:eastAsia="URWPalladioL-Roma" w:cs="Times New Roman"/>
          <w:color w:val="auto"/>
          <w:sz w:val="26"/>
          <w:szCs w:val="26"/>
          <w:lang w:val="en-GB"/>
        </w:rPr>
        <w:t xml:space="preserve"> Subsequently, in each of the two batches, five sub-groups were selected to represent the process variable levels. Each level was made up of three tomato fruit samples, and the result obtained at the end of the experiment for each level of process variable was a mean value of the three tomato fruit samples.</w:t>
      </w:r>
      <w:r>
        <w:rPr>
          <w:rFonts w:ascii="Times New Roman" w:hAnsi="Times New Roman" w:eastAsia="URWPalladioL-Roma" w:cs="Times New Roman"/>
          <w:color w:val="auto"/>
          <w:sz w:val="26"/>
          <w:szCs w:val="26"/>
          <w:lang w:val="en-GB"/>
        </w:rPr>
        <w:t xml:space="preserve"> </w:t>
      </w:r>
      <w:r>
        <w:rPr>
          <w:rFonts w:hint="default" w:ascii="Times New Roman" w:hAnsi="Times New Roman" w:eastAsia="URWPalladioL-Roma" w:cs="Times New Roman"/>
          <w:color w:val="auto"/>
          <w:sz w:val="26"/>
          <w:szCs w:val="26"/>
          <w:lang w:val="en-GB"/>
        </w:rPr>
        <w:t xml:space="preserve">Coating was done by immersing each tomato fruit sample into the </w:t>
      </w:r>
      <w:r>
        <w:rPr>
          <w:rFonts w:hint="default" w:ascii="Times New Roman" w:hAnsi="Times New Roman" w:eastAsia="URWPalladioL-Roma" w:cs="Times New Roman"/>
          <w:i/>
          <w:iCs/>
          <w:color w:val="auto"/>
          <w:sz w:val="26"/>
          <w:szCs w:val="26"/>
          <w:lang w:val="en-GB"/>
        </w:rPr>
        <w:t>MOCEB</w:t>
      </w:r>
      <w:r>
        <w:rPr>
          <w:rFonts w:hint="default" w:ascii="Times New Roman" w:hAnsi="Times New Roman" w:eastAsia="URWPalladioL-Roma" w:cs="Times New Roman"/>
          <w:color w:val="auto"/>
          <w:sz w:val="26"/>
          <w:szCs w:val="26"/>
          <w:lang w:val="en-GB"/>
        </w:rPr>
        <w:t xml:space="preserve"> biofilm for 60 sec., after which they were allowed to dry for 2 min. Prior to storage, the weight of all the samples and the initial titratable acidity (TA). All samples were placed in specially designed bio-respirators as </w:t>
      </w:r>
      <w:r>
        <w:rPr>
          <w:rFonts w:hint="default" w:ascii="Times New Roman" w:hAnsi="Times New Roman" w:eastAsia="URWPalladioL-Roma" w:cs="Times New Roman"/>
          <w:color w:val="auto"/>
          <w:sz w:val="26"/>
          <w:szCs w:val="26"/>
          <w:highlight w:val="none"/>
          <w:lang w:val="en-GB"/>
        </w:rPr>
        <w:t>depicted in Fig. S1</w:t>
      </w:r>
      <w:r>
        <w:rPr>
          <w:rFonts w:hint="default" w:ascii="Times New Roman" w:hAnsi="Times New Roman" w:eastAsia="URWPalladioL-Roma" w:cs="Times New Roman"/>
          <w:color w:val="auto"/>
          <w:sz w:val="26"/>
          <w:szCs w:val="26"/>
          <w:highlight w:val="none"/>
          <w:lang w:val="en-US"/>
        </w:rPr>
        <w:t xml:space="preserve"> and S2</w:t>
      </w:r>
      <w:r>
        <w:rPr>
          <w:rFonts w:hint="default" w:ascii="Times New Roman" w:hAnsi="Times New Roman" w:eastAsia="URWPalladioL-Roma" w:cs="Times New Roman"/>
          <w:color w:val="auto"/>
          <w:sz w:val="26"/>
          <w:szCs w:val="26"/>
          <w:highlight w:val="none"/>
          <w:lang w:val="en-GB"/>
        </w:rPr>
        <w:t xml:space="preserve"> (suppleme</w:t>
      </w:r>
      <w:r>
        <w:rPr>
          <w:rFonts w:hint="default" w:ascii="Times New Roman" w:hAnsi="Times New Roman" w:eastAsia="URWPalladioL-Roma" w:cs="Times New Roman"/>
          <w:color w:val="auto"/>
          <w:sz w:val="26"/>
          <w:szCs w:val="26"/>
          <w:lang w:val="en-GB"/>
        </w:rPr>
        <w:t>ntary material).</w:t>
      </w:r>
      <w:r>
        <w:rPr>
          <w:rFonts w:ascii="Times New Roman" w:hAnsi="Times New Roman" w:eastAsia="URWPalladioL-Roma" w:cs="Times New Roman"/>
          <w:color w:val="000000"/>
          <w:sz w:val="26"/>
          <w:szCs w:val="26"/>
          <w:highlight w:val="none"/>
          <w:lang w:val="en-GB"/>
        </w:rPr>
        <w:t xml:space="preserve"> </w:t>
      </w:r>
      <w:r>
        <w:rPr>
          <w:rFonts w:hint="default" w:ascii="Times New Roman" w:hAnsi="Times New Roman" w:eastAsia="URWPalladioL-Roma" w:cs="Times New Roman"/>
          <w:color w:val="000000"/>
          <w:sz w:val="26"/>
          <w:szCs w:val="26"/>
          <w:highlight w:val="none"/>
          <w:lang w:val="en-GB"/>
        </w:rPr>
        <w:t>P</w:t>
      </w:r>
      <w:r>
        <w:rPr>
          <w:rFonts w:hint="default" w:ascii="Times New Roman" w:hAnsi="Times New Roman" w:eastAsia="URWPalladioL-Roma" w:cs="Times New Roman"/>
          <w:color w:val="000000"/>
          <w:sz w:val="26"/>
          <w:szCs w:val="26"/>
          <w:highlight w:val="none"/>
          <w:lang w:val="en-US"/>
        </w:rPr>
        <w:t xml:space="preserve">hysicochemical properties </w:t>
      </w:r>
      <w:r>
        <w:rPr>
          <w:rFonts w:hint="default" w:ascii="Times New Roman" w:hAnsi="Times New Roman" w:eastAsia="URWPalladioL-Roma" w:cs="Times New Roman"/>
          <w:color w:val="000000"/>
          <w:sz w:val="26"/>
          <w:szCs w:val="26"/>
          <w:highlight w:val="none"/>
          <w:lang w:val="en-GB"/>
        </w:rPr>
        <w:t xml:space="preserve">in terms of </w:t>
      </w:r>
      <w:r>
        <w:rPr>
          <w:rFonts w:hint="default" w:ascii="Times New Roman" w:hAnsi="Times New Roman" w:eastAsia="URWPalladioL-Roma" w:cs="Times New Roman"/>
          <w:color w:val="000000"/>
          <w:sz w:val="26"/>
          <w:szCs w:val="26"/>
          <w:highlight w:val="none"/>
          <w:lang w:val="en-US"/>
        </w:rPr>
        <w:t>Weight loss rate</w:t>
      </w:r>
      <w:r>
        <w:rPr>
          <w:rFonts w:hint="default" w:ascii="Times New Roman" w:hAnsi="Times New Roman" w:eastAsia="URWPalladioL-Roma" w:cs="Times New Roman"/>
          <w:color w:val="000000"/>
          <w:sz w:val="26"/>
          <w:szCs w:val="26"/>
          <w:highlight w:val="none"/>
          <w:lang w:val="en-GB"/>
        </w:rPr>
        <w:t xml:space="preserve"> and</w:t>
      </w:r>
      <w:r>
        <w:rPr>
          <w:rFonts w:hint="default" w:ascii="Times New Roman" w:hAnsi="Times New Roman" w:eastAsia="URWPalladioL-Roma" w:cs="Times New Roman"/>
          <w:color w:val="000000"/>
          <w:sz w:val="26"/>
          <w:szCs w:val="26"/>
          <w:highlight w:val="none"/>
          <w:lang w:val="en-US"/>
        </w:rPr>
        <w:t xml:space="preserve"> titratable acidity were measured and recorded</w:t>
      </w:r>
      <w:r>
        <w:rPr>
          <w:rFonts w:ascii="Times New Roman" w:hAnsi="Times New Roman" w:eastAsia="URWPalladioL-Roma" w:cs="Times New Roman"/>
          <w:color w:val="000000"/>
          <w:sz w:val="26"/>
          <w:szCs w:val="26"/>
          <w:highlight w:val="none"/>
          <w:lang w:val="en-GB"/>
        </w:rPr>
        <w:t xml:space="preserve"> </w:t>
      </w:r>
      <w:r>
        <w:rPr>
          <w:rFonts w:hint="default" w:ascii="Times New Roman" w:hAnsi="Times New Roman" w:eastAsia="URWPalladioL-Roma" w:cs="Times New Roman"/>
          <w:color w:val="000000"/>
          <w:sz w:val="26"/>
          <w:szCs w:val="26"/>
          <w:highlight w:val="none"/>
          <w:lang w:val="en-US"/>
        </w:rPr>
        <w:t>at</w:t>
      </w:r>
      <w:r>
        <w:rPr>
          <w:rFonts w:hint="default" w:ascii="Times New Roman" w:hAnsi="Times New Roman" w:eastAsia="URWPalladioL-Roma" w:cs="Times New Roman"/>
          <w:color w:val="000000"/>
          <w:sz w:val="26"/>
          <w:szCs w:val="26"/>
          <w:highlight w:val="none"/>
          <w:lang w:val="en-GB"/>
        </w:rPr>
        <w:t xml:space="preserve"> different sampling days. The governing equations for estimating the weight loss, weight loss rate, and TA</w:t>
      </w:r>
      <w:r>
        <w:rPr>
          <w:rFonts w:hint="default" w:ascii="Times New Roman" w:hAnsi="Times New Roman" w:eastAsia="URWPalladioL-Roma" w:cs="Times New Roman"/>
          <w:color w:val="000000"/>
          <w:sz w:val="26"/>
          <w:szCs w:val="26"/>
          <w:highlight w:val="none"/>
          <w:lang w:val="en-US"/>
        </w:rPr>
        <w:t xml:space="preserve"> </w:t>
      </w:r>
      <w:r>
        <w:rPr>
          <w:rFonts w:hint="default" w:ascii="Times New Roman" w:hAnsi="Times New Roman" w:eastAsia="URWPalladioL-Roma" w:cs="Times New Roman"/>
          <w:color w:val="000000"/>
          <w:sz w:val="26"/>
          <w:szCs w:val="26"/>
          <w:highlight w:val="none"/>
          <w:lang w:val="en-GB"/>
        </w:rPr>
        <w:t>are given in Eqs. (1) - (3), respectively.</w:t>
      </w:r>
    </w:p>
    <w:p>
      <w:pPr>
        <w:spacing w:line="480" w:lineRule="auto"/>
        <w:jc w:val="both"/>
        <w:rPr>
          <w:rFonts w:hint="default" w:ascii="Times New Roman" w:hAnsi="Times New Roman" w:cs="Times New Roman"/>
          <w:b w:val="0"/>
          <w:i w:val="0"/>
          <w:color w:val="000000"/>
          <w:sz w:val="26"/>
          <w:szCs w:val="26"/>
          <w:lang w:val="en-GB"/>
        </w:rPr>
      </w:pPr>
      <m:oMath>
        <m:r>
          <m:rPr>
            <m:sty m:val="p"/>
          </m:rPr>
          <w:rPr>
            <w:rFonts w:hint="default" w:ascii="Cambria Math" w:hAnsi="Cambria Math" w:eastAsia="TimesNewRomanPSMT" w:cs="Times New Roman"/>
            <w:color w:val="000000"/>
            <w:sz w:val="26"/>
            <w:szCs w:val="26"/>
            <w:lang w:val="en-GB"/>
          </w:rPr>
          <m:t>Weight loss</m:t>
        </m:r>
        <m:r>
          <m:rPr>
            <m:sty m:val="p"/>
          </m:rPr>
          <w:rPr>
            <w:rFonts w:hint="default" w:ascii="Cambria Math" w:hAnsi="Cambria Math" w:eastAsia="TimesNewRomanPSMT" w:cs="Times New Roman"/>
            <w:color w:val="000000"/>
            <w:sz w:val="26"/>
            <w:szCs w:val="26"/>
          </w:rPr>
          <m:t xml:space="preserve"> </m:t>
        </m:r>
        <m:d>
          <m:dPr>
            <m:ctrlPr>
              <w:rPr>
                <w:rFonts w:hint="default" w:ascii="Cambria Math" w:hAnsi="Cambria Math" w:eastAsia="TimesNewRomanPSMT" w:cs="Times New Roman"/>
                <w:color w:val="000000"/>
                <w:sz w:val="26"/>
                <w:szCs w:val="26"/>
              </w:rPr>
            </m:ctrlPr>
          </m:dPr>
          <m:e>
            <m:r>
              <m:rPr>
                <m:sty m:val="p"/>
              </m:rPr>
              <w:rPr>
                <w:rFonts w:hint="default" w:ascii="Cambria Math" w:hAnsi="Cambria Math" w:eastAsia="TimesNewRomanPSMT" w:cs="Times New Roman"/>
                <w:color w:val="000000"/>
                <w:sz w:val="26"/>
                <w:szCs w:val="26"/>
                <w:lang w:val="en-GB"/>
              </w:rPr>
              <m:t>%</m:t>
            </m:r>
            <m:ctrlPr>
              <w:rPr>
                <w:rFonts w:hint="default" w:ascii="Cambria Math" w:hAnsi="Cambria Math" w:eastAsia="TimesNewRomanPSMT" w:cs="Times New Roman"/>
                <w:color w:val="000000"/>
                <w:sz w:val="26"/>
                <w:szCs w:val="26"/>
              </w:rPr>
            </m:ctrlPr>
          </m:e>
        </m:d>
        <m:r>
          <m:rPr>
            <m:sty m:val="p"/>
          </m:rPr>
          <w:rPr>
            <w:rFonts w:hint="default" w:ascii="Cambria Math" w:hAnsi="Cambria Math" w:eastAsia="TimesNewRomanPSMT" w:cs="Times New Roman"/>
            <w:color w:val="000000"/>
            <w:sz w:val="26"/>
            <w:szCs w:val="26"/>
          </w:rPr>
          <m:t>=</m:t>
        </m:r>
        <m:d>
          <m:dPr>
            <m:ctrlPr>
              <w:rPr>
                <w:rFonts w:hint="default" w:ascii="Cambria Math" w:hAnsi="Cambria Math" w:eastAsia="TimesNewRomanPSMT" w:cs="Times New Roman"/>
                <w:color w:val="000000"/>
                <w:sz w:val="26"/>
                <w:szCs w:val="26"/>
              </w:rPr>
            </m:ctrlPr>
          </m:dPr>
          <m:e>
            <m:f>
              <m:fPr>
                <m:ctrlPr>
                  <w:rPr>
                    <w:rFonts w:hint="default" w:ascii="Cambria Math" w:hAnsi="Cambria Math" w:eastAsia="TimesNewRomanPSMT" w:cs="Times New Roman"/>
                    <w:color w:val="000000"/>
                    <w:sz w:val="26"/>
                    <w:szCs w:val="26"/>
                  </w:rPr>
                </m:ctrlPr>
              </m:fPr>
              <m:num>
                <m:sSub>
                  <m:sSubPr>
                    <m:ctrlPr>
                      <w:rPr>
                        <w:rFonts w:hint="default" w:ascii="Cambria Math" w:hAnsi="Cambria Math" w:eastAsia="TimesNewRomanPSMT" w:cs="Times New Roman"/>
                        <w:color w:val="000000"/>
                        <w:sz w:val="26"/>
                        <w:szCs w:val="26"/>
                      </w:rPr>
                    </m:ctrlPr>
                  </m:sSubPr>
                  <m:e>
                    <m:r>
                      <m:rPr>
                        <m:sty m:val="p"/>
                      </m:rPr>
                      <w:rPr>
                        <w:rFonts w:hint="default" w:ascii="Cambria Math" w:hAnsi="Cambria Math" w:eastAsia="TimesNewRomanPSMT" w:cs="Times New Roman"/>
                        <w:color w:val="000000"/>
                        <w:sz w:val="26"/>
                        <w:szCs w:val="26"/>
                      </w:rPr>
                      <m:t>W</m:t>
                    </m:r>
                    <m:ctrlPr>
                      <w:rPr>
                        <w:rFonts w:hint="default" w:ascii="Cambria Math" w:hAnsi="Cambria Math" w:eastAsia="TimesNewRomanPSMT" w:cs="Times New Roman"/>
                        <w:color w:val="000000"/>
                        <w:sz w:val="26"/>
                        <w:szCs w:val="26"/>
                      </w:rPr>
                    </m:ctrlPr>
                  </m:e>
                  <m:sub>
                    <m:r>
                      <m:rPr>
                        <m:sty m:val="p"/>
                      </m:rPr>
                      <w:rPr>
                        <w:rFonts w:hint="default" w:ascii="Cambria Math" w:hAnsi="Cambria Math" w:eastAsia="TimesNewRomanPSMT" w:cs="Times New Roman"/>
                        <w:color w:val="000000"/>
                        <w:sz w:val="26"/>
                        <w:szCs w:val="26"/>
                      </w:rPr>
                      <m:t>1</m:t>
                    </m:r>
                    <m:ctrlPr>
                      <w:rPr>
                        <w:rFonts w:hint="default" w:ascii="Cambria Math" w:hAnsi="Cambria Math" w:eastAsia="TimesNewRomanPSMT" w:cs="Times New Roman"/>
                        <w:color w:val="000000"/>
                        <w:sz w:val="26"/>
                        <w:szCs w:val="26"/>
                      </w:rPr>
                    </m:ctrlPr>
                  </m:sub>
                </m:sSub>
                <m:r>
                  <m:rPr>
                    <m:sty m:val="p"/>
                  </m:rPr>
                  <w:rPr>
                    <w:rFonts w:hint="default" w:ascii="Cambria Math" w:hAnsi="Cambria Math" w:eastAsia="TimesNewRomanPSMT" w:cs="Times New Roman"/>
                    <w:color w:val="000000"/>
                    <w:sz w:val="26"/>
                    <w:szCs w:val="26"/>
                  </w:rPr>
                  <m:t>−</m:t>
                </m:r>
                <m:sSub>
                  <m:sSubPr>
                    <m:ctrlPr>
                      <w:rPr>
                        <w:rFonts w:hint="default" w:ascii="Cambria Math" w:hAnsi="Cambria Math" w:eastAsia="TimesNewRomanPSMT" w:cs="Times New Roman"/>
                        <w:color w:val="000000"/>
                        <w:sz w:val="26"/>
                        <w:szCs w:val="26"/>
                      </w:rPr>
                    </m:ctrlPr>
                  </m:sSubPr>
                  <m:e>
                    <m:r>
                      <m:rPr>
                        <m:sty m:val="p"/>
                      </m:rPr>
                      <w:rPr>
                        <w:rFonts w:hint="default" w:ascii="Cambria Math" w:hAnsi="Cambria Math" w:eastAsia="TimesNewRomanPSMT" w:cs="Times New Roman"/>
                        <w:color w:val="000000"/>
                        <w:sz w:val="26"/>
                        <w:szCs w:val="26"/>
                      </w:rPr>
                      <m:t>W</m:t>
                    </m:r>
                    <m:ctrlPr>
                      <w:rPr>
                        <w:rFonts w:hint="default" w:ascii="Cambria Math" w:hAnsi="Cambria Math" w:eastAsia="TimesNewRomanPSMT" w:cs="Times New Roman"/>
                        <w:color w:val="000000"/>
                        <w:sz w:val="26"/>
                        <w:szCs w:val="26"/>
                      </w:rPr>
                    </m:ctrlPr>
                  </m:e>
                  <m:sub>
                    <m:r>
                      <m:rPr>
                        <m:sty m:val="p"/>
                      </m:rPr>
                      <w:rPr>
                        <w:rFonts w:hint="default" w:ascii="Cambria Math" w:hAnsi="Cambria Math" w:eastAsia="TimesNewRomanPSMT" w:cs="Times New Roman"/>
                        <w:color w:val="000000"/>
                        <w:sz w:val="26"/>
                        <w:szCs w:val="26"/>
                      </w:rPr>
                      <m:t>2</m:t>
                    </m:r>
                    <m:ctrlPr>
                      <w:rPr>
                        <w:rFonts w:hint="default" w:ascii="Cambria Math" w:hAnsi="Cambria Math" w:eastAsia="TimesNewRomanPSMT" w:cs="Times New Roman"/>
                        <w:color w:val="000000"/>
                        <w:sz w:val="26"/>
                        <w:szCs w:val="26"/>
                      </w:rPr>
                    </m:ctrlPr>
                  </m:sub>
                </m:sSub>
                <m:ctrlPr>
                  <w:rPr>
                    <w:rFonts w:hint="default" w:ascii="Cambria Math" w:hAnsi="Cambria Math" w:eastAsia="TimesNewRomanPSMT" w:cs="Times New Roman"/>
                    <w:color w:val="000000"/>
                    <w:sz w:val="26"/>
                    <w:szCs w:val="26"/>
                  </w:rPr>
                </m:ctrlPr>
              </m:num>
              <m:den>
                <m:sSub>
                  <m:sSubPr>
                    <m:ctrlPr>
                      <w:rPr>
                        <w:rFonts w:hint="default" w:ascii="Cambria Math" w:hAnsi="Cambria Math" w:eastAsia="TimesNewRomanPSMT" w:cs="Times New Roman"/>
                        <w:color w:val="000000"/>
                        <w:sz w:val="26"/>
                        <w:szCs w:val="26"/>
                      </w:rPr>
                    </m:ctrlPr>
                  </m:sSubPr>
                  <m:e>
                    <m:r>
                      <m:rPr>
                        <m:sty m:val="p"/>
                      </m:rPr>
                      <w:rPr>
                        <w:rFonts w:hint="default" w:ascii="Cambria Math" w:hAnsi="Cambria Math" w:eastAsia="TimesNewRomanPSMT" w:cs="Times New Roman"/>
                        <w:color w:val="000000"/>
                        <w:sz w:val="26"/>
                        <w:szCs w:val="26"/>
                      </w:rPr>
                      <m:t>W</m:t>
                    </m:r>
                    <m:ctrlPr>
                      <w:rPr>
                        <w:rFonts w:hint="default" w:ascii="Cambria Math" w:hAnsi="Cambria Math" w:eastAsia="TimesNewRomanPSMT" w:cs="Times New Roman"/>
                        <w:color w:val="000000"/>
                        <w:sz w:val="26"/>
                        <w:szCs w:val="26"/>
                      </w:rPr>
                    </m:ctrlPr>
                  </m:e>
                  <m:sub>
                    <m:r>
                      <m:rPr>
                        <m:sty m:val="p"/>
                      </m:rPr>
                      <w:rPr>
                        <w:rFonts w:hint="default" w:ascii="Cambria Math" w:hAnsi="Cambria Math" w:eastAsia="TimesNewRomanPSMT" w:cs="Times New Roman"/>
                        <w:color w:val="000000"/>
                        <w:sz w:val="26"/>
                        <w:szCs w:val="26"/>
                      </w:rPr>
                      <m:t>1</m:t>
                    </m:r>
                    <m:ctrlPr>
                      <w:rPr>
                        <w:rFonts w:hint="default" w:ascii="Cambria Math" w:hAnsi="Cambria Math" w:eastAsia="TimesNewRomanPSMT" w:cs="Times New Roman"/>
                        <w:color w:val="000000"/>
                        <w:sz w:val="26"/>
                        <w:szCs w:val="26"/>
                      </w:rPr>
                    </m:ctrlPr>
                  </m:sub>
                </m:sSub>
                <m:ctrlPr>
                  <w:rPr>
                    <w:rFonts w:hint="default" w:ascii="Cambria Math" w:hAnsi="Cambria Math" w:eastAsia="TimesNewRomanPSMT" w:cs="Times New Roman"/>
                    <w:color w:val="000000"/>
                    <w:sz w:val="26"/>
                    <w:szCs w:val="26"/>
                  </w:rPr>
                </m:ctrlPr>
              </m:den>
            </m:f>
            <m:ctrlPr>
              <w:rPr>
                <w:rFonts w:hint="default" w:ascii="Cambria Math" w:hAnsi="Cambria Math" w:eastAsia="TimesNewRomanPSMT" w:cs="Times New Roman"/>
                <w:color w:val="000000"/>
                <w:sz w:val="26"/>
                <w:szCs w:val="26"/>
              </w:rPr>
            </m:ctrlPr>
          </m:e>
        </m:d>
        <m:r>
          <m:rPr>
            <m:sty m:val="p"/>
          </m:rPr>
          <w:rPr>
            <w:rFonts w:hint="default" w:ascii="Cambria Math" w:hAnsi="Cambria Math" w:cs="Times New Roman"/>
            <w:color w:val="000000"/>
            <w:sz w:val="26"/>
            <w:szCs w:val="26"/>
          </w:rPr>
          <m:t>×100</m:t>
        </m:r>
      </m:oMath>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(1)</w:t>
      </w:r>
    </w:p>
    <w:p>
      <w:pPr>
        <w:spacing w:line="480" w:lineRule="auto"/>
        <w:jc w:val="both"/>
        <w:rPr>
          <w:rFonts w:hint="default" w:ascii="Times New Roman" w:hAnsi="Times New Roman" w:cs="Times New Roman"/>
          <w:b w:val="0"/>
          <w:i w:val="0"/>
          <w:color w:val="000000"/>
          <w:sz w:val="26"/>
          <w:szCs w:val="26"/>
          <w:lang w:val="en-GB"/>
        </w:rPr>
      </w:pPr>
      <m:oMath>
        <m:r>
          <m:rPr>
            <m:sty m:val="p"/>
          </m:rPr>
          <w:rPr>
            <w:rFonts w:hint="default" w:ascii="Cambria Math" w:hAnsi="Cambria Math" w:eastAsia="TimesNewRomanPSMT" w:cs="Times New Roman"/>
            <w:color w:val="000000"/>
            <w:sz w:val="26"/>
            <w:szCs w:val="26"/>
            <w:lang w:val="en-GB"/>
          </w:rPr>
          <m:t>Weight loss rate</m:t>
        </m:r>
        <m:r>
          <m:rPr>
            <m:sty m:val="p"/>
          </m:rPr>
          <w:rPr>
            <w:rFonts w:hint="default" w:ascii="Cambria Math" w:hAnsi="Cambria Math" w:eastAsia="TimesNewRomanPSMT" w:cs="Times New Roman"/>
            <w:color w:val="000000"/>
            <w:sz w:val="26"/>
            <w:szCs w:val="26"/>
          </w:rPr>
          <m:t xml:space="preserve"> </m:t>
        </m:r>
        <m:d>
          <m:dPr>
            <m:ctrlPr>
              <w:rPr>
                <w:rFonts w:hint="default" w:ascii="Cambria Math" w:hAnsi="Cambria Math" w:eastAsia="TimesNewRomanPSMT" w:cs="Times New Roman"/>
                <w:color w:val="000000"/>
                <w:sz w:val="26"/>
                <w:szCs w:val="26"/>
              </w:rPr>
            </m:ctrlPr>
          </m:dPr>
          <m:e>
            <m:f>
              <m:fPr>
                <m:ctrlPr>
                  <w:rPr>
                    <w:rFonts w:hint="default" w:ascii="Cambria Math" w:hAnsi="Cambria Math" w:eastAsia="TimesNewRomanPSMT" w:cs="Times New Roman"/>
                    <w:color w:val="000000"/>
                    <w:sz w:val="26"/>
                    <w:szCs w:val="26"/>
                  </w:rPr>
                </m:ctrlPr>
              </m:fPr>
              <m:num>
                <m:r>
                  <m:rPr>
                    <m:sty m:val="p"/>
                  </m:rPr>
                  <w:rPr>
                    <w:rFonts w:hint="default" w:ascii="Cambria Math" w:hAnsi="Cambria Math" w:eastAsia="TimesNewRomanPSMT" w:cs="Times New Roman"/>
                    <w:color w:val="000000"/>
                    <w:sz w:val="26"/>
                    <w:szCs w:val="26"/>
                    <w:lang w:val="en-GB"/>
                  </w:rPr>
                  <m:t>g</m:t>
                </m:r>
                <m:ctrlPr>
                  <w:rPr>
                    <w:rFonts w:hint="default" w:ascii="Cambria Math" w:hAnsi="Cambria Math" w:eastAsia="TimesNewRomanPSMT" w:cs="Times New Roman"/>
                    <w:color w:val="000000"/>
                    <w:sz w:val="26"/>
                    <w:szCs w:val="26"/>
                  </w:rPr>
                </m:ctrlPr>
              </m:num>
              <m:den>
                <m:r>
                  <m:rPr>
                    <m:sty m:val="p"/>
                  </m:rPr>
                  <w:rPr>
                    <w:rFonts w:hint="default" w:ascii="Cambria Math" w:hAnsi="Cambria Math" w:eastAsia="TimesNewRomanPSMT" w:cs="Times New Roman"/>
                    <w:color w:val="000000"/>
                    <w:sz w:val="26"/>
                    <w:szCs w:val="26"/>
                    <w:lang w:val="en-GB"/>
                  </w:rPr>
                  <m:t>day</m:t>
                </m:r>
                <m:ctrlPr>
                  <w:rPr>
                    <w:rFonts w:hint="default" w:ascii="Cambria Math" w:hAnsi="Cambria Math" w:eastAsia="TimesNewRomanPSMT" w:cs="Times New Roman"/>
                    <w:color w:val="000000"/>
                    <w:sz w:val="26"/>
                    <w:szCs w:val="26"/>
                  </w:rPr>
                </m:ctrlPr>
              </m:den>
            </m:f>
            <m:ctrlPr>
              <w:rPr>
                <w:rFonts w:hint="default" w:ascii="Cambria Math" w:hAnsi="Cambria Math" w:eastAsia="TimesNewRomanPSMT" w:cs="Times New Roman"/>
                <w:color w:val="000000"/>
                <w:sz w:val="26"/>
                <w:szCs w:val="26"/>
              </w:rPr>
            </m:ctrlPr>
          </m:e>
        </m:d>
        <m:r>
          <m:rPr>
            <m:sty m:val="p"/>
          </m:rPr>
          <w:rPr>
            <w:rFonts w:hint="default" w:ascii="Cambria Math" w:hAnsi="Cambria Math" w:eastAsia="TimesNewRomanPSMT" w:cs="Times New Roman"/>
            <w:color w:val="000000"/>
            <w:sz w:val="26"/>
            <w:szCs w:val="26"/>
          </w:rPr>
          <m:t>=</m:t>
        </m:r>
        <m:d>
          <m:dPr>
            <m:ctrlPr>
              <w:rPr>
                <w:rFonts w:hint="default" w:ascii="Cambria Math" w:hAnsi="Cambria Math" w:eastAsia="TimesNewRomanPSMT" w:cs="Times New Roman"/>
                <w:color w:val="000000"/>
                <w:sz w:val="26"/>
                <w:szCs w:val="26"/>
              </w:rPr>
            </m:ctrlPr>
          </m:dPr>
          <m:e>
            <m:f>
              <m:fPr>
                <m:ctrlPr>
                  <w:rPr>
                    <w:rFonts w:hint="default" w:ascii="Cambria Math" w:hAnsi="Cambria Math" w:eastAsia="TimesNewRomanPSMT" w:cs="Times New Roman"/>
                    <w:color w:val="000000"/>
                    <w:sz w:val="26"/>
                    <w:szCs w:val="26"/>
                  </w:rPr>
                </m:ctrlPr>
              </m:fPr>
              <m:num>
                <m:sSub>
                  <m:sSubPr>
                    <m:ctrlPr>
                      <w:rPr>
                        <w:rFonts w:hint="default" w:ascii="Cambria Math" w:hAnsi="Cambria Math" w:eastAsia="TimesNewRomanPSMT" w:cs="Times New Roman"/>
                        <w:color w:val="000000"/>
                        <w:sz w:val="26"/>
                        <w:szCs w:val="26"/>
                      </w:rPr>
                    </m:ctrlPr>
                  </m:sSubPr>
                  <m:e>
                    <m:r>
                      <m:rPr>
                        <m:sty m:val="p"/>
                      </m:rPr>
                      <w:rPr>
                        <w:rFonts w:hint="default" w:ascii="Cambria Math" w:hAnsi="Cambria Math" w:eastAsia="TimesNewRomanPSMT" w:cs="Times New Roman"/>
                        <w:color w:val="000000"/>
                        <w:sz w:val="26"/>
                        <w:szCs w:val="26"/>
                      </w:rPr>
                      <m:t>W</m:t>
                    </m:r>
                    <m:ctrlPr>
                      <w:rPr>
                        <w:rFonts w:hint="default" w:ascii="Cambria Math" w:hAnsi="Cambria Math" w:eastAsia="TimesNewRomanPSMT" w:cs="Times New Roman"/>
                        <w:color w:val="000000"/>
                        <w:sz w:val="26"/>
                        <w:szCs w:val="26"/>
                      </w:rPr>
                    </m:ctrlPr>
                  </m:e>
                  <m:sub>
                    <m:r>
                      <m:rPr>
                        <m:sty m:val="p"/>
                      </m:rPr>
                      <w:rPr>
                        <w:rFonts w:hint="default" w:ascii="Cambria Math" w:hAnsi="Cambria Math" w:eastAsia="TimesNewRomanPSMT" w:cs="Times New Roman"/>
                        <w:color w:val="000000"/>
                        <w:sz w:val="26"/>
                        <w:szCs w:val="26"/>
                      </w:rPr>
                      <m:t>1</m:t>
                    </m:r>
                    <m:ctrlPr>
                      <w:rPr>
                        <w:rFonts w:hint="default" w:ascii="Cambria Math" w:hAnsi="Cambria Math" w:eastAsia="TimesNewRomanPSMT" w:cs="Times New Roman"/>
                        <w:color w:val="000000"/>
                        <w:sz w:val="26"/>
                        <w:szCs w:val="26"/>
                      </w:rPr>
                    </m:ctrlPr>
                  </m:sub>
                </m:sSub>
                <m:r>
                  <m:rPr>
                    <m:sty m:val="p"/>
                  </m:rPr>
                  <w:rPr>
                    <w:rFonts w:hint="default" w:ascii="Cambria Math" w:hAnsi="Cambria Math" w:eastAsia="TimesNewRomanPSMT" w:cs="Times New Roman"/>
                    <w:color w:val="000000"/>
                    <w:sz w:val="26"/>
                    <w:szCs w:val="26"/>
                  </w:rPr>
                  <m:t>−</m:t>
                </m:r>
                <m:sSub>
                  <m:sSubPr>
                    <m:ctrlPr>
                      <w:rPr>
                        <w:rFonts w:hint="default" w:ascii="Cambria Math" w:hAnsi="Cambria Math" w:eastAsia="TimesNewRomanPSMT" w:cs="Times New Roman"/>
                        <w:color w:val="000000"/>
                        <w:sz w:val="26"/>
                        <w:szCs w:val="26"/>
                      </w:rPr>
                    </m:ctrlPr>
                  </m:sSubPr>
                  <m:e>
                    <m:r>
                      <m:rPr>
                        <m:sty m:val="p"/>
                      </m:rPr>
                      <w:rPr>
                        <w:rFonts w:hint="default" w:ascii="Cambria Math" w:hAnsi="Cambria Math" w:eastAsia="TimesNewRomanPSMT" w:cs="Times New Roman"/>
                        <w:color w:val="000000"/>
                        <w:sz w:val="26"/>
                        <w:szCs w:val="26"/>
                      </w:rPr>
                      <m:t>W</m:t>
                    </m:r>
                    <m:ctrlPr>
                      <w:rPr>
                        <w:rFonts w:hint="default" w:ascii="Cambria Math" w:hAnsi="Cambria Math" w:eastAsia="TimesNewRomanPSMT" w:cs="Times New Roman"/>
                        <w:color w:val="000000"/>
                        <w:sz w:val="26"/>
                        <w:szCs w:val="26"/>
                      </w:rPr>
                    </m:ctrlPr>
                  </m:e>
                  <m:sub>
                    <m:r>
                      <m:rPr>
                        <m:sty m:val="p"/>
                      </m:rPr>
                      <w:rPr>
                        <w:rFonts w:hint="default" w:ascii="Cambria Math" w:hAnsi="Cambria Math" w:eastAsia="TimesNewRomanPSMT" w:cs="Times New Roman"/>
                        <w:color w:val="000000"/>
                        <w:sz w:val="26"/>
                        <w:szCs w:val="26"/>
                      </w:rPr>
                      <m:t>2</m:t>
                    </m:r>
                    <m:ctrlPr>
                      <w:rPr>
                        <w:rFonts w:hint="default" w:ascii="Cambria Math" w:hAnsi="Cambria Math" w:eastAsia="TimesNewRomanPSMT" w:cs="Times New Roman"/>
                        <w:color w:val="000000"/>
                        <w:sz w:val="26"/>
                        <w:szCs w:val="26"/>
                      </w:rPr>
                    </m:ctrlPr>
                  </m:sub>
                </m:sSub>
                <m:ctrlPr>
                  <w:rPr>
                    <w:rFonts w:hint="default" w:ascii="Cambria Math" w:hAnsi="Cambria Math" w:eastAsia="TimesNewRomanPSMT" w:cs="Times New Roman"/>
                    <w:color w:val="000000"/>
                    <w:sz w:val="26"/>
                    <w:szCs w:val="26"/>
                  </w:rPr>
                </m:ctrlPr>
              </m:num>
              <m:den>
                <m:sSub>
                  <m:sSubPr>
                    <m:ctrlPr>
                      <w:rPr>
                        <w:rFonts w:hint="default" w:ascii="Cambria Math" w:hAnsi="Cambria Math" w:eastAsia="TimesNewRomanPSMT" w:cs="Times New Roman"/>
                        <w:color w:val="000000"/>
                        <w:sz w:val="26"/>
                        <w:szCs w:val="26"/>
                      </w:rPr>
                    </m:ctrlPr>
                  </m:sSubPr>
                  <m:e>
                    <m:r>
                      <m:rPr>
                        <m:sty m:val="p"/>
                      </m:rPr>
                      <w:rPr>
                        <w:rFonts w:hint="default" w:ascii="Cambria Math" w:hAnsi="Cambria Math" w:eastAsia="TimesNewRomanPSMT" w:cs="Times New Roman"/>
                        <w:color w:val="000000"/>
                        <w:sz w:val="26"/>
                        <w:szCs w:val="26"/>
                        <w:lang w:val="en-GB"/>
                      </w:rPr>
                      <m:t>t</m:t>
                    </m:r>
                    <m:ctrlPr>
                      <w:rPr>
                        <w:rFonts w:hint="default" w:ascii="Cambria Math" w:hAnsi="Cambria Math" w:eastAsia="TimesNewRomanPSMT" w:cs="Times New Roman"/>
                        <w:color w:val="000000"/>
                        <w:sz w:val="26"/>
                        <w:szCs w:val="26"/>
                      </w:rPr>
                    </m:ctrlPr>
                  </m:e>
                  <m:sub>
                    <m:r>
                      <m:rPr>
                        <m:sty m:val="p"/>
                      </m:rPr>
                      <w:rPr>
                        <w:rFonts w:hint="default" w:ascii="Cambria Math" w:hAnsi="Cambria Math" w:eastAsia="TimesNewRomanPSMT" w:cs="Times New Roman"/>
                        <w:color w:val="000000"/>
                        <w:sz w:val="26"/>
                        <w:szCs w:val="26"/>
                        <w:lang w:val="en-GB"/>
                      </w:rPr>
                      <m:t xml:space="preserve"> </m:t>
                    </m:r>
                    <m:ctrlPr>
                      <w:rPr>
                        <w:rFonts w:hint="default" w:ascii="Cambria Math" w:hAnsi="Cambria Math" w:eastAsia="TimesNewRomanPSMT" w:cs="Times New Roman"/>
                        <w:color w:val="000000"/>
                        <w:sz w:val="26"/>
                        <w:szCs w:val="26"/>
                      </w:rPr>
                    </m:ctrlPr>
                  </m:sub>
                </m:sSub>
                <m:ctrlPr>
                  <w:rPr>
                    <w:rFonts w:hint="default" w:ascii="Cambria Math" w:hAnsi="Cambria Math" w:eastAsia="TimesNewRomanPSMT" w:cs="Times New Roman"/>
                    <w:color w:val="000000"/>
                    <w:sz w:val="26"/>
                    <w:szCs w:val="26"/>
                  </w:rPr>
                </m:ctrlPr>
              </m:den>
            </m:f>
            <m:ctrlPr>
              <w:rPr>
                <w:rFonts w:hint="default" w:ascii="Cambria Math" w:hAnsi="Cambria Math" w:eastAsia="TimesNewRomanPSMT" w:cs="Times New Roman"/>
                <w:color w:val="000000"/>
                <w:sz w:val="26"/>
                <w:szCs w:val="26"/>
              </w:rPr>
            </m:ctrlPr>
          </m:e>
        </m:d>
      </m:oMath>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ab/>
      </w:r>
      <w:r>
        <w:rPr>
          <w:rFonts w:hint="default" w:ascii="Times New Roman" w:hAnsi="Times New Roman" w:cs="Times New Roman"/>
          <w:b w:val="0"/>
          <w:i w:val="0"/>
          <w:color w:val="000000"/>
          <w:sz w:val="26"/>
          <w:szCs w:val="26"/>
          <w:lang w:val="en-GB"/>
        </w:rPr>
        <w:t>(2)</w:t>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eastAsia="TimesNewRomanPSMT" w:cs="Times New Roman"/>
          <w:color w:val="000000"/>
          <w:sz w:val="26"/>
          <w:szCs w:val="26"/>
          <w:lang w:val="en-GB"/>
        </w:rPr>
      </w:pPr>
      <w:r>
        <w:rPr>
          <w:rFonts w:hint="default" w:ascii="Times New Roman" w:hAnsi="Times New Roman" w:eastAsia="TimesNewRomanPSMT" w:cs="Times New Roman"/>
          <w:color w:val="000000"/>
          <w:sz w:val="26"/>
          <w:szCs w:val="26"/>
          <w:lang w:val="en-GB"/>
        </w:rPr>
        <w:t xml:space="preserve">Where </w:t>
      </w:r>
      <w:r>
        <w:rPr>
          <w:rFonts w:ascii="Times New Roman" w:hAnsi="Times New Roman" w:eastAsia="TimesNewRomanPSMT" w:cs="Times New Roman"/>
          <w:color w:val="000000"/>
          <w:sz w:val="26"/>
          <w:szCs w:val="26"/>
          <w:lang w:val="en-GB"/>
        </w:rPr>
        <w:t>W</w:t>
      </w:r>
      <w:r>
        <w:rPr>
          <w:rFonts w:ascii="Times New Roman" w:hAnsi="Times New Roman" w:eastAsia="TimesNewRomanPSMT" w:cs="Times New Roman"/>
          <w:color w:val="000000"/>
          <w:sz w:val="26"/>
          <w:szCs w:val="26"/>
          <w:vertAlign w:val="subscript"/>
          <w:lang w:val="en-GB"/>
        </w:rPr>
        <w:t>1</w:t>
      </w:r>
      <w:r>
        <w:rPr>
          <w:rFonts w:ascii="Times New Roman" w:hAnsi="Times New Roman" w:eastAsia="TimesNewRomanPSMT" w:cs="Times New Roman"/>
          <w:color w:val="000000"/>
          <w:sz w:val="26"/>
          <w:szCs w:val="26"/>
          <w:lang w:val="en-GB"/>
        </w:rPr>
        <w:t xml:space="preserve"> </w:t>
      </w:r>
      <w:r>
        <w:rPr>
          <w:rFonts w:hint="default" w:ascii="Times New Roman" w:hAnsi="Times New Roman" w:eastAsia="TimesNewRomanPSMT" w:cs="Times New Roman"/>
          <w:color w:val="000000"/>
          <w:sz w:val="26"/>
          <w:szCs w:val="26"/>
          <w:lang w:val="en-GB"/>
        </w:rPr>
        <w:t xml:space="preserve">and </w:t>
      </w:r>
      <w:r>
        <w:rPr>
          <w:rFonts w:ascii="Times New Roman" w:hAnsi="Times New Roman" w:eastAsia="TimesNewRomanPSMT" w:cs="Times New Roman"/>
          <w:color w:val="000000"/>
          <w:sz w:val="26"/>
          <w:szCs w:val="26"/>
          <w:lang w:val="en-GB"/>
        </w:rPr>
        <w:t>W</w:t>
      </w:r>
      <w:r>
        <w:rPr>
          <w:rFonts w:hint="default" w:ascii="Times New Roman" w:hAnsi="Times New Roman" w:eastAsia="TimesNewRomanPSMT" w:cs="Times New Roman"/>
          <w:color w:val="000000"/>
          <w:sz w:val="26"/>
          <w:szCs w:val="26"/>
          <w:vertAlign w:val="subscript"/>
          <w:lang w:val="en-GB"/>
        </w:rPr>
        <w:t>2</w:t>
      </w:r>
      <w:r>
        <w:rPr>
          <w:rFonts w:hint="default" w:ascii="Times New Roman" w:hAnsi="Times New Roman" w:eastAsia="TimesNewRomanPSMT" w:cs="Times New Roman"/>
          <w:color w:val="000000"/>
          <w:sz w:val="26"/>
          <w:szCs w:val="26"/>
          <w:vertAlign w:val="baseline"/>
          <w:lang w:val="en-GB"/>
        </w:rPr>
        <w:t xml:space="preserve"> represent the initial and final weight (g) of tomato fruit</w:t>
      </w:r>
      <w:r>
        <w:rPr>
          <w:rFonts w:hint="default" w:ascii="Times New Roman" w:hAnsi="Times New Roman" w:eastAsia="TimesNewRomanPSMT" w:cs="Times New Roman"/>
          <w:color w:val="000000"/>
          <w:sz w:val="26"/>
          <w:szCs w:val="26"/>
          <w:lang w:val="en-GB"/>
        </w:rPr>
        <w:t xml:space="preserve"> at sampling time, while t denotes the sampling time (day). </w:t>
      </w:r>
    </w:p>
    <w:p>
      <w:pPr>
        <w:spacing w:line="480" w:lineRule="auto"/>
        <w:jc w:val="both"/>
        <w:rPr>
          <w:rFonts w:hint="default" w:ascii="Times New Roman" w:hAnsi="Times New Roman" w:eastAsia="TimesNewRomanPSMT" w:cs="Times New Roman"/>
          <w:color w:val="000000"/>
          <w:sz w:val="26"/>
          <w:szCs w:val="26"/>
          <w:lang w:val="en-GB"/>
        </w:rPr>
      </w:pPr>
      <m:oMath>
        <m:r>
          <m:rPr>
            <m:sty m:val="p"/>
          </m:rPr>
          <w:rPr>
            <w:rFonts w:hint="default" w:ascii="Cambria Math" w:hAnsi="Cambria Math" w:eastAsia="SimSun" w:cs="Times New Roman"/>
            <w:color w:val="000000"/>
            <w:sz w:val="26"/>
            <w:szCs w:val="26"/>
            <w:lang w:val="en-GB"/>
          </w:rPr>
          <m:t>TA</m:t>
        </m:r>
        <m:r>
          <m:rPr>
            <m:sty m:val="p"/>
          </m:rPr>
          <w:rPr>
            <w:rFonts w:hint="default" w:ascii="Cambria Math" w:hAnsi="Cambria Math" w:eastAsia="SimSun" w:cs="Times New Roman"/>
            <w:color w:val="000000"/>
            <w:sz w:val="26"/>
            <w:szCs w:val="26"/>
          </w:rPr>
          <m:t xml:space="preserve"> </m:t>
        </m:r>
        <m:d>
          <m:dPr>
            <m:ctrlPr>
              <w:rPr>
                <w:rFonts w:hint="default" w:ascii="Cambria Math" w:hAnsi="Cambria Math" w:eastAsia="SimSun" w:cs="Times New Roman"/>
                <w:color w:val="000000"/>
                <w:sz w:val="26"/>
                <w:szCs w:val="26"/>
              </w:rPr>
            </m:ctrlPr>
          </m:dPr>
          <m:e>
            <m:f>
              <m:fPr>
                <m:ctrlPr>
                  <w:rPr>
                    <w:rFonts w:hint="default" w:ascii="Cambria Math" w:hAnsi="Cambria Math" w:eastAsia="SimSun" w:cs="Times New Roman"/>
                    <w:color w:val="000000"/>
                    <w:sz w:val="26"/>
                    <w:szCs w:val="26"/>
                  </w:rPr>
                </m:ctrlPr>
              </m:fPr>
              <m:num>
                <m:r>
                  <m:rPr>
                    <m:sty m:val="p"/>
                  </m:rPr>
                  <w:rPr>
                    <w:rFonts w:hint="default" w:ascii="Cambria Math" w:hAnsi="Cambria Math" w:eastAsia="SimSun" w:cs="Times New Roman"/>
                    <w:color w:val="000000"/>
                    <w:sz w:val="26"/>
                    <w:szCs w:val="26"/>
                    <w:lang w:val="en-GB"/>
                  </w:rPr>
                  <m:t>g citric acid</m:t>
                </m:r>
                <m:ctrlPr>
                  <w:rPr>
                    <w:rFonts w:hint="default" w:ascii="Cambria Math" w:hAnsi="Cambria Math" w:eastAsia="SimSun" w:cs="Times New Roman"/>
                    <w:color w:val="000000"/>
                    <w:sz w:val="26"/>
                    <w:szCs w:val="26"/>
                  </w:rPr>
                </m:ctrlPr>
              </m:num>
              <m:den>
                <m:r>
                  <m:rPr>
                    <m:sty m:val="p"/>
                  </m:rPr>
                  <w:rPr>
                    <w:rFonts w:hint="default" w:ascii="Cambria Math" w:hAnsi="Cambria Math" w:eastAsia="SimSun" w:cs="Times New Roman"/>
                    <w:color w:val="000000"/>
                    <w:sz w:val="26"/>
                    <w:szCs w:val="26"/>
                    <w:lang w:val="en-GB"/>
                  </w:rPr>
                  <m:t>kg of tomato</m:t>
                </m:r>
                <m:ctrlPr>
                  <w:rPr>
                    <w:rFonts w:hint="default" w:ascii="Cambria Math" w:hAnsi="Cambria Math" w:eastAsia="SimSun" w:cs="Times New Roman"/>
                    <w:color w:val="000000"/>
                    <w:sz w:val="26"/>
                    <w:szCs w:val="26"/>
                  </w:rPr>
                </m:ctrlPr>
              </m:den>
            </m:f>
            <m:ctrlPr>
              <w:rPr>
                <w:rFonts w:hint="default" w:ascii="Cambria Math" w:hAnsi="Cambria Math" w:eastAsia="SimSun" w:cs="Times New Roman"/>
                <w:color w:val="000000"/>
                <w:sz w:val="26"/>
                <w:szCs w:val="26"/>
              </w:rPr>
            </m:ctrlPr>
          </m:e>
        </m:d>
        <m:r>
          <m:rPr>
            <m:sty m:val="p"/>
          </m:rPr>
          <w:rPr>
            <w:rFonts w:hint="default" w:ascii="Cambria Math" w:hAnsi="Cambria Math" w:eastAsia="SimSun" w:cs="Times New Roman"/>
            <w:color w:val="000000"/>
            <w:sz w:val="26"/>
            <w:szCs w:val="26"/>
          </w:rPr>
          <m:t xml:space="preserve"> = </m:t>
        </m:r>
        <m:d>
          <m:dPr>
            <m:ctrlPr>
              <w:rPr>
                <w:rFonts w:hint="default" w:ascii="Cambria Math" w:hAnsi="Cambria Math" w:eastAsia="SimSun" w:cs="Times New Roman"/>
                <w:color w:val="000000"/>
                <w:sz w:val="26"/>
                <w:szCs w:val="26"/>
              </w:rPr>
            </m:ctrlPr>
          </m:dPr>
          <m:e>
            <m:f>
              <m:fPr>
                <m:ctrlPr>
                  <w:rPr>
                    <w:rFonts w:hint="default" w:ascii="Cambria Math" w:hAnsi="Cambria Math" w:eastAsia="SimSun" w:cs="Times New Roman"/>
                    <w:color w:val="000000"/>
                    <w:sz w:val="26"/>
                    <w:szCs w:val="26"/>
                  </w:rPr>
                </m:ctrlPr>
              </m:fPr>
              <m:num>
                <m:r>
                  <m:rPr>
                    <m:sty m:val="p"/>
                  </m:rPr>
                  <w:rPr>
                    <w:rFonts w:hint="default" w:ascii="Cambria Math" w:hAnsi="Cambria Math" w:eastAsia="SimSun" w:cs="Times New Roman"/>
                    <w:color w:val="000000"/>
                    <w:sz w:val="26"/>
                    <w:szCs w:val="26"/>
                    <w:lang w:val="en-GB"/>
                  </w:rPr>
                  <m:t>V×0.1×1000×0.064</m:t>
                </m:r>
                <m:ctrlPr>
                  <w:rPr>
                    <w:rFonts w:hint="default" w:ascii="Cambria Math" w:hAnsi="Cambria Math" w:eastAsia="SimSun" w:cs="Times New Roman"/>
                    <w:color w:val="000000"/>
                    <w:sz w:val="26"/>
                    <w:szCs w:val="26"/>
                  </w:rPr>
                </m:ctrlPr>
              </m:num>
              <m:den>
                <m:r>
                  <m:rPr>
                    <m:sty m:val="p"/>
                  </m:rPr>
                  <w:rPr>
                    <w:rFonts w:hint="default" w:ascii="Cambria Math" w:hAnsi="Cambria Math" w:eastAsia="SimSun" w:cs="Times New Roman"/>
                    <w:color w:val="000000"/>
                    <w:sz w:val="26"/>
                    <w:szCs w:val="26"/>
                  </w:rPr>
                  <m:t>m</m:t>
                </m:r>
                <m:ctrlPr>
                  <w:rPr>
                    <w:rFonts w:hint="default" w:ascii="Cambria Math" w:hAnsi="Cambria Math" w:eastAsia="SimSun" w:cs="Times New Roman"/>
                    <w:color w:val="000000"/>
                    <w:sz w:val="26"/>
                    <w:szCs w:val="26"/>
                  </w:rPr>
                </m:ctrlPr>
              </m:den>
            </m:f>
            <m:ctrlPr>
              <w:rPr>
                <w:rFonts w:hint="default" w:ascii="Cambria Math" w:hAnsi="Cambria Math" w:eastAsia="SimSun" w:cs="Times New Roman"/>
                <w:color w:val="000000"/>
                <w:sz w:val="26"/>
                <w:szCs w:val="26"/>
              </w:rPr>
            </m:ctrlPr>
          </m:e>
        </m:d>
      </m:oMath>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ab/>
      </w:r>
      <w:r>
        <w:rPr>
          <w:rFonts w:hint="default" w:ascii="Times New Roman" w:hAnsi="Times New Roman" w:eastAsia="SimSun" w:cs="Times New Roman"/>
          <w:i w:val="0"/>
          <w:color w:val="000000"/>
          <w:sz w:val="26"/>
          <w:szCs w:val="26"/>
          <w:lang w:val="en-GB"/>
        </w:rPr>
        <w:t>(3)</w:t>
      </w:r>
    </w:p>
    <w:p>
      <w:pPr>
        <w:keepNext w:val="0"/>
        <w:keepLines w:val="0"/>
        <w:pageBreakBefore w:val="0"/>
        <w:widowControl/>
        <w:kinsoku/>
        <w:wordWrap/>
        <w:overflowPunct/>
        <w:topLinePunct w:val="0"/>
        <w:autoSpaceDE/>
        <w:autoSpaceDN/>
        <w:bidi w:val="0"/>
        <w:adjustRightInd/>
        <w:snapToGrid/>
        <w:spacing w:after="361" w:afterLines="100" w:line="240" w:lineRule="auto"/>
        <w:jc w:val="both"/>
        <w:textAlignment w:val="auto"/>
        <w:rPr>
          <w:rFonts w:hint="default" w:ascii="Times New Roman" w:hAnsi="Times New Roman" w:eastAsia="SimSun" w:cs="Times New Roman"/>
          <w:color w:val="000000"/>
          <w:sz w:val="26"/>
          <w:szCs w:val="26"/>
          <w:lang w:val="en-GB"/>
        </w:rPr>
      </w:pPr>
      <w:r>
        <w:rPr>
          <w:rFonts w:ascii="Times New Roman" w:hAnsi="Times New Roman" w:eastAsia="SimSun" w:cs="Times New Roman"/>
          <w:color w:val="000000"/>
          <w:sz w:val="26"/>
          <w:szCs w:val="26"/>
          <w:lang w:val="en-GB"/>
        </w:rPr>
        <w:t xml:space="preserve">Where 0.1 is the normality of NaOH (N), 0.064 is the conversion factor from sucrose acid to citric acid, V is the volume of NaOH required for the </w:t>
      </w:r>
      <w:r>
        <w:rPr>
          <w:rFonts w:hint="default" w:ascii="Times New Roman" w:hAnsi="Times New Roman" w:eastAsia="SimSun" w:cs="Times New Roman"/>
          <w:color w:val="000000"/>
          <w:sz w:val="26"/>
          <w:szCs w:val="26"/>
          <w:lang w:val="en-GB"/>
        </w:rPr>
        <w:t>titra</w:t>
      </w:r>
      <w:r>
        <w:rPr>
          <w:rFonts w:ascii="Times New Roman" w:hAnsi="Times New Roman" w:eastAsia="SimSun" w:cs="Times New Roman"/>
          <w:color w:val="000000"/>
          <w:sz w:val="26"/>
          <w:szCs w:val="26"/>
          <w:lang w:val="en-GB"/>
        </w:rPr>
        <w:t>tion (ml)</w:t>
      </w:r>
      <w:r>
        <w:rPr>
          <w:rFonts w:hint="default" w:ascii="Times New Roman" w:hAnsi="Times New Roman" w:eastAsia="SimSun" w:cs="Times New Roman"/>
          <w:color w:val="000000"/>
          <w:sz w:val="26"/>
          <w:szCs w:val="26"/>
          <w:lang w:val="en-GB"/>
        </w:rPr>
        <w:t>,</w:t>
      </w:r>
      <w:r>
        <w:rPr>
          <w:rFonts w:ascii="Times New Roman" w:hAnsi="Times New Roman" w:eastAsia="SimSun" w:cs="Times New Roman"/>
          <w:color w:val="000000"/>
          <w:sz w:val="26"/>
          <w:szCs w:val="26"/>
          <w:lang w:val="en-GB"/>
        </w:rPr>
        <w:t xml:space="preserve"> </w:t>
      </w:r>
      <w:r>
        <w:rPr>
          <w:rFonts w:hint="default" w:ascii="Times New Roman" w:hAnsi="Times New Roman" w:eastAsia="SimSun" w:cs="Times New Roman"/>
          <w:color w:val="000000"/>
          <w:sz w:val="26"/>
          <w:szCs w:val="26"/>
          <w:lang w:val="en-GB"/>
        </w:rPr>
        <w:t>while</w:t>
      </w:r>
      <w:r>
        <w:rPr>
          <w:rFonts w:ascii="Times New Roman" w:hAnsi="Times New Roman" w:eastAsia="SimSun" w:cs="Times New Roman"/>
          <w:color w:val="000000"/>
          <w:sz w:val="26"/>
          <w:szCs w:val="26"/>
          <w:lang w:val="en-GB"/>
        </w:rPr>
        <w:t xml:space="preserve"> m is the mass of </w:t>
      </w:r>
      <w:r>
        <w:rPr>
          <w:rFonts w:hint="default" w:ascii="Times New Roman" w:hAnsi="Times New Roman" w:eastAsia="SimSun" w:cs="Times New Roman"/>
          <w:color w:val="000000"/>
          <w:sz w:val="26"/>
          <w:szCs w:val="26"/>
          <w:lang w:val="en-GB"/>
        </w:rPr>
        <w:t>tomato juice</w:t>
      </w:r>
      <w:r>
        <w:rPr>
          <w:rFonts w:ascii="Times New Roman" w:hAnsi="Times New Roman" w:eastAsia="SimSun" w:cs="Times New Roman"/>
          <w:color w:val="000000"/>
          <w:sz w:val="26"/>
          <w:szCs w:val="26"/>
          <w:lang w:val="en-GB"/>
        </w:rPr>
        <w:t xml:space="preserve"> (g)</w:t>
      </w:r>
      <w:r>
        <w:rPr>
          <w:rFonts w:hint="default" w:ascii="Times New Roman" w:hAnsi="Times New Roman" w:eastAsia="SimSun" w:cs="Times New Roman"/>
          <w:color w:val="000000"/>
          <w:sz w:val="26"/>
          <w:szCs w:val="26"/>
          <w:lang w:val="en-GB"/>
        </w:rPr>
        <w:t xml:space="preserve">, (AOAC, 2000). </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2.2.3 Characterization</w:t>
      </w:r>
    </w:p>
    <w:p>
      <w:pPr>
        <w:spacing w:line="360" w:lineRule="auto"/>
        <w:jc w:val="both"/>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The physicochemical characterization to determine the properties of MOLE, chitosan and MOCEB biofilm were carried out accor</w:t>
      </w:r>
      <w:r>
        <w:rPr>
          <w:rFonts w:hint="default" w:ascii="Times New Roman" w:hAnsi="Times New Roman" w:cs="Times New Roman"/>
          <w:b w:val="0"/>
          <w:bCs w:val="0"/>
          <w:sz w:val="26"/>
          <w:szCs w:val="26"/>
          <w:highlight w:val="none"/>
          <w:lang w:val="en-GB"/>
        </w:rPr>
        <w:t>ding to AOAC st</w:t>
      </w:r>
      <w:r>
        <w:rPr>
          <w:rFonts w:hint="default" w:ascii="Times New Roman" w:hAnsi="Times New Roman" w:cs="Times New Roman"/>
          <w:b w:val="0"/>
          <w:bCs w:val="0"/>
          <w:sz w:val="26"/>
          <w:szCs w:val="26"/>
          <w:lang w:val="en-GB"/>
        </w:rPr>
        <w:t>andard</w:t>
      </w:r>
      <w:r>
        <w:rPr>
          <w:rFonts w:hint="default" w:ascii="Times New Roman" w:hAnsi="Times New Roman" w:cs="Times New Roman"/>
          <w:b w:val="0"/>
          <w:bCs w:val="0"/>
          <w:sz w:val="26"/>
          <w:szCs w:val="26"/>
          <w:lang w:val="en-US"/>
        </w:rPr>
        <w:t xml:space="preserve"> </w:t>
      </w:r>
      <w:r>
        <w:rPr>
          <w:rFonts w:hint="default" w:ascii="Times New Roman" w:hAnsi="Times New Roman" w:cs="Times New Roman"/>
          <w:b w:val="0"/>
          <w:bCs w:val="0"/>
          <w:sz w:val="26"/>
          <w:szCs w:val="26"/>
          <w:lang w:val="en-US"/>
        </w:rPr>
        <w:fldChar w:fldCharType="begin"/>
      </w:r>
      <w:r>
        <w:rPr>
          <w:rFonts w:hint="default" w:ascii="Times New Roman" w:hAnsi="Times New Roman" w:cs="Times New Roman"/>
          <w:b w:val="0"/>
          <w:bCs w:val="0"/>
          <w:sz w:val="26"/>
          <w:szCs w:val="26"/>
          <w:lang w:val="en-US"/>
        </w:rPr>
        <w:instrText xml:space="preserve"> ADDIN EN.CITE &lt;EndNote&gt;&lt;Cite&gt;&lt;Author&gt;Ohale&lt;/Author&gt;&lt;Year&gt;2022&lt;/Year&gt;&lt;RecNum&gt;432&lt;/RecNum&gt;&lt;DisplayText&gt;(Ohale et al., 2022, Feldsine et al., 2002)&lt;/DisplayText&gt;&lt;record&gt;&lt;rec-number&gt;432&lt;/rec-number&gt;&lt;foreign-keys&gt;&lt;key app="EN" db-id="edvassfwttpfsqe0xsop2wwg2f05wx552500" timestamp="1705211790"&gt;432&lt;/key&gt;&lt;/foreign-keys&gt;&lt;ref-type name="Journal Article"&gt;17&lt;/ref-type&gt;&lt;contributors&gt;&lt;authors&gt;&lt;author&gt;Ohale, Paschal Enyinnaya&lt;/author&gt;&lt;author&gt;Nwajiobi, Ogonna Joachin&lt;/author&gt;&lt;author&gt;Onu, Chijioke Elijah&lt;/author&gt;&lt;author&gt;Madiebo, Emeka Michael&lt;/author&gt;&lt;author&gt;Ohale, Nonye Jennifer&lt;/author&gt;&lt;/authors&gt;&lt;/contributors&gt;&lt;titles&gt;&lt;title&gt;Solvent extraction of oil from three cultivars of Nigerian mango seed kernel: Process modeling, GA-optimization, nonlinear kinetics and comparative characterization&lt;/title&gt;&lt;secondary-title&gt;Applied Food Research&lt;/secondary-title&gt;&lt;/titles&gt;&lt;periodical&gt;&lt;full-title&gt;Applied Food Research&lt;/full-title&gt;&lt;/periodical&gt;&lt;pages&gt;100227&lt;/pages&gt;&lt;volume&gt;2&lt;/volume&gt;&lt;number&gt;2&lt;/number&gt;&lt;dates&gt;&lt;year&gt;2022&lt;/year&gt;&lt;/dates&gt;&lt;isbn&gt;2772-5022&lt;/isbn&gt;&lt;urls&gt;&lt;/urls&gt;&lt;/record&gt;&lt;/Cite&gt;&lt;Cite&gt;&lt;Author&gt;Feldsine&lt;/Author&gt;&lt;Year&gt;2002&lt;/Year&gt;&lt;RecNum&gt;440&lt;/RecNum&gt;&lt;record&gt;&lt;rec-number&gt;440&lt;/rec-number&gt;&lt;foreign-keys&gt;&lt;key app="EN" db-id="edvassfwttpfsqe0xsop2wwg2f05wx552500" timestamp="1705217304"&gt;440&lt;/key&gt;&lt;/foreign-keys&gt;&lt;ref-type name="Journal Article"&gt;17&lt;/ref-type&gt;&lt;contributors&gt;&lt;authors&gt;&lt;author&gt;Feldsine, Philip&lt;/author&gt;&lt;author&gt;Abeyta, Carlos&lt;/author&gt;&lt;author&gt;Andrews, Wallace H&lt;/author&gt;&lt;/authors&gt;&lt;/contributors&gt;&lt;titles&gt;&lt;title&gt;AOAC International methods committee guidelines for validation of qualitative and quantitative food microbiological official methods of analysis&lt;/title&gt;&lt;secondary-title&gt;Journal of AOAC international&lt;/secondary-title&gt;&lt;/titles&gt;&lt;periodical&gt;&lt;full-title&gt;Journal of AOAC International&lt;/full-title&gt;&lt;/periodical&gt;&lt;pages&gt;1187-1200&lt;/pages&gt;&lt;volume&gt;85&lt;/volume&gt;&lt;number&gt;5&lt;/number&gt;&lt;dates&gt;&lt;year&gt;2002&lt;/year&gt;&lt;/dates&gt;&lt;isbn&gt;1060-3271&lt;/isbn&gt;&lt;urls&gt;&lt;/urls&gt;&lt;/record&gt;&lt;/Cite&gt;&lt;/EndNote&gt;</w:instrText>
      </w:r>
      <w:r>
        <w:rPr>
          <w:rFonts w:hint="default" w:ascii="Times New Roman" w:hAnsi="Times New Roman" w:cs="Times New Roman"/>
          <w:b w:val="0"/>
          <w:bCs w:val="0"/>
          <w:sz w:val="26"/>
          <w:szCs w:val="26"/>
          <w:lang w:val="en-US"/>
        </w:rPr>
        <w:fldChar w:fldCharType="separate"/>
      </w:r>
      <w:r>
        <w:rPr>
          <w:rFonts w:hint="default" w:ascii="Times New Roman" w:hAnsi="Times New Roman" w:cs="Times New Roman" w:eastAsiaTheme="minorEastAsia"/>
          <w:b w:val="0"/>
          <w:bCs w:val="0"/>
          <w:sz w:val="26"/>
          <w:szCs w:val="26"/>
          <w:lang w:val="en-US" w:eastAsia="zh-CN" w:bidi="ar-SA"/>
        </w:rPr>
        <w:t>(Ohale et al., 2022, Feldsine et al., 2002)</w:t>
      </w:r>
      <w:r>
        <w:rPr>
          <w:rFonts w:hint="default" w:ascii="Times New Roman" w:hAnsi="Times New Roman" w:cs="Times New Roman"/>
          <w:b w:val="0"/>
          <w:bCs w:val="0"/>
          <w:sz w:val="26"/>
          <w:szCs w:val="26"/>
          <w:lang w:val="en-US"/>
        </w:rPr>
        <w:fldChar w:fldCharType="end"/>
      </w:r>
      <w:r>
        <w:rPr>
          <w:rFonts w:hint="default" w:ascii="Times New Roman" w:hAnsi="Times New Roman" w:cs="Times New Roman"/>
          <w:b w:val="0"/>
          <w:bCs w:val="0"/>
          <w:sz w:val="26"/>
          <w:szCs w:val="26"/>
          <w:lang w:val="en-GB"/>
        </w:rPr>
        <w:t>.</w:t>
      </w:r>
    </w:p>
    <w:p>
      <w:pPr>
        <w:keepNext w:val="0"/>
        <w:keepLines w:val="0"/>
        <w:pageBreakBefore w:val="0"/>
        <w:widowControl/>
        <w:suppressLineNumbers w:val="0"/>
        <w:kinsoku/>
        <w:wordWrap/>
        <w:overflowPunct/>
        <w:topLinePunct w:val="0"/>
        <w:autoSpaceDE/>
        <w:autoSpaceDN/>
        <w:bidi w:val="0"/>
        <w:adjustRightInd/>
        <w:snapToGrid/>
        <w:spacing w:after="541" w:afterLines="150" w:line="360" w:lineRule="auto"/>
        <w:jc w:val="both"/>
        <w:textAlignment w:val="auto"/>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 xml:space="preserve">The detailed procedures for ascertaining the phenolic compounds, flavonoids, alkaloids, tannins, </w:t>
      </w:r>
      <w:r>
        <w:rPr>
          <w:rFonts w:hint="default" w:ascii="Times New Roman" w:hAnsi="Times New Roman" w:eastAsia="MinionPro-Regular" w:cs="Times New Roman"/>
          <w:color w:val="231F20"/>
          <w:sz w:val="26"/>
          <w:szCs w:val="26"/>
          <w:lang w:val="en-GB"/>
        </w:rPr>
        <w:t>styrene</w:t>
      </w:r>
      <w:r>
        <w:rPr>
          <w:rFonts w:ascii="Times New Roman" w:hAnsi="Times New Roman" w:eastAsia="MinionPro-Regular" w:cs="Times New Roman"/>
          <w:color w:val="231F20"/>
          <w:sz w:val="26"/>
          <w:szCs w:val="26"/>
        </w:rPr>
        <w:t xml:space="preserve">, </w:t>
      </w:r>
      <w:r>
        <w:rPr>
          <w:rFonts w:hint="default" w:ascii="Times New Roman" w:hAnsi="Times New Roman" w:eastAsia="MinionPro-Regular" w:cs="Times New Roman"/>
          <w:color w:val="231F20"/>
          <w:sz w:val="26"/>
          <w:szCs w:val="26"/>
          <w:lang w:val="en-GB"/>
        </w:rPr>
        <w:t>and benzoic acid, were reported in</w:t>
      </w:r>
      <w:r>
        <w:rPr>
          <w:rFonts w:hint="default" w:ascii="Times New Roman" w:hAnsi="Times New Roman" w:eastAsia="MinionPro-Regular" w:cs="Times New Roman"/>
          <w:color w:val="231F20"/>
          <w:sz w:val="26"/>
          <w:szCs w:val="26"/>
          <w:highlight w:val="none"/>
          <w:lang w:val="en-GB"/>
        </w:rPr>
        <w:t xml:space="preserve"> section S1 o</w:t>
      </w:r>
      <w:r>
        <w:rPr>
          <w:rFonts w:hint="default" w:ascii="Times New Roman" w:hAnsi="Times New Roman" w:eastAsia="MinionPro-Regular" w:cs="Times New Roman"/>
          <w:color w:val="231F20"/>
          <w:sz w:val="26"/>
          <w:szCs w:val="26"/>
          <w:lang w:val="en-GB"/>
        </w:rPr>
        <w:t>f the supplementary material. The hydrocarbon and the phytochemical constituents of the substrates were carried with SHIMADZU GC-</w:t>
      </w:r>
      <w:r>
        <w:rPr>
          <w:rFonts w:hint="default" w:ascii="Times New Roman" w:hAnsi="Times New Roman" w:eastAsia="MinionPro-Regular" w:cs="Times New Roman"/>
          <w:color w:val="231F20"/>
          <w:sz w:val="26"/>
          <w:szCs w:val="26"/>
          <w:lang w:val="en-US"/>
        </w:rPr>
        <w:t>M</w:t>
      </w:r>
      <w:r>
        <w:rPr>
          <w:rFonts w:hint="default" w:ascii="Times New Roman" w:hAnsi="Times New Roman" w:eastAsia="MinionPro-Regular" w:cs="Times New Roman"/>
          <w:color w:val="231F20"/>
          <w:sz w:val="26"/>
          <w:szCs w:val="26"/>
          <w:lang w:val="en-GB"/>
        </w:rPr>
        <w:t>S equipment (model QP2010), follow</w:t>
      </w:r>
      <w:r>
        <w:rPr>
          <w:rFonts w:hint="default" w:ascii="Times New Roman" w:hAnsi="Times New Roman" w:eastAsia="MinionPro-Regular" w:cs="Times New Roman"/>
          <w:color w:val="231F20"/>
          <w:sz w:val="26"/>
          <w:szCs w:val="26"/>
          <w:highlight w:val="none"/>
          <w:lang w:val="en-GB"/>
        </w:rPr>
        <w:t>ing AOAC g</w:t>
      </w:r>
      <w:r>
        <w:rPr>
          <w:rFonts w:hint="default" w:ascii="Times New Roman" w:hAnsi="Times New Roman" w:eastAsia="MinionPro-Regular" w:cs="Times New Roman"/>
          <w:color w:val="231F20"/>
          <w:sz w:val="26"/>
          <w:szCs w:val="26"/>
          <w:lang w:val="en-GB"/>
        </w:rPr>
        <w:t>uidelines</w:t>
      </w:r>
      <w:r>
        <w:rPr>
          <w:rFonts w:hint="default" w:ascii="Times New Roman" w:hAnsi="Times New Roman" w:eastAsia="MinionPro-Regular" w:cs="Times New Roman"/>
          <w:color w:val="231F20"/>
          <w:sz w:val="26"/>
          <w:szCs w:val="26"/>
          <w:lang w:val="en-US"/>
        </w:rPr>
        <w:t xml:space="preserve"> </w:t>
      </w:r>
      <w:r>
        <w:rPr>
          <w:rFonts w:hint="default" w:ascii="Times New Roman" w:hAnsi="Times New Roman" w:eastAsia="MinionPro-Regular" w:cs="Times New Roman"/>
          <w:color w:val="231F20"/>
          <w:sz w:val="26"/>
          <w:szCs w:val="26"/>
          <w:lang w:val="en-US"/>
        </w:rPr>
        <w:fldChar w:fldCharType="begin"/>
      </w:r>
      <w:r>
        <w:rPr>
          <w:rFonts w:hint="default" w:ascii="Times New Roman" w:hAnsi="Times New Roman" w:eastAsia="MinionPro-Regular" w:cs="Times New Roman"/>
          <w:color w:val="231F20"/>
          <w:sz w:val="26"/>
          <w:szCs w:val="26"/>
          <w:lang w:val="en-US"/>
        </w:rPr>
        <w:instrText xml:space="preserve"> ADDIN EN.CITE &lt;EndNote&gt;&lt;Cite&gt;&lt;Author&gt;Feldsine&lt;/Author&gt;&lt;Year&gt;2002&lt;/Year&gt;&lt;RecNum&gt;440&lt;/RecNum&gt;&lt;DisplayText&gt;(Feldsine et al., 2002)&lt;/DisplayText&gt;&lt;record&gt;&lt;rec-number&gt;440&lt;/rec-number&gt;&lt;foreign-keys&gt;&lt;key app="EN" db-id="edvassfwttpfsqe0xsop2wwg2f05wx552500" timestamp="1705217304"&gt;440&lt;/key&gt;&lt;/foreign-keys&gt;&lt;ref-type name="Journal Article"&gt;17&lt;/ref-type&gt;&lt;contributors&gt;&lt;authors&gt;&lt;author&gt;Feldsine, Philip&lt;/author&gt;&lt;author&gt;Abeyta, Carlos&lt;/author&gt;&lt;author&gt;Andrews, Wallace H&lt;/author&gt;&lt;/authors&gt;&lt;/contributors&gt;&lt;titles&gt;&lt;title&gt;AOAC International methods committee guidelines for validation of qualitative and quantitative food microbiological official methods of analysis&lt;/title&gt;&lt;secondary-title&gt;Journal of AOAC international&lt;/secondary-title&gt;&lt;/titles&gt;&lt;periodical&gt;&lt;full-title&gt;Journal of AOAC International&lt;/full-title&gt;&lt;/periodical&gt;&lt;pages&gt;1187-1200&lt;/pages&gt;&lt;volume&gt;85&lt;/volume&gt;&lt;number&gt;5&lt;/number&gt;&lt;dates&gt;&lt;year&gt;2002&lt;/year&gt;&lt;/dates&gt;&lt;isbn&gt;1060-3271&lt;/isbn&gt;&lt;urls&gt;&lt;/urls&gt;&lt;/record&gt;&lt;/Cite&gt;&lt;/EndNote&gt;</w:instrText>
      </w:r>
      <w:r>
        <w:rPr>
          <w:rFonts w:hint="default" w:ascii="Times New Roman" w:hAnsi="Times New Roman" w:eastAsia="MinionPro-Regular" w:cs="Times New Roman"/>
          <w:color w:val="231F20"/>
          <w:sz w:val="26"/>
          <w:szCs w:val="26"/>
          <w:lang w:val="en-US"/>
        </w:rPr>
        <w:fldChar w:fldCharType="separate"/>
      </w:r>
      <w:r>
        <w:rPr>
          <w:rFonts w:hint="default" w:ascii="Times New Roman" w:hAnsi="Times New Roman" w:eastAsia="MinionPro-Regular" w:cs="Times New Roman"/>
          <w:color w:val="231F20"/>
          <w:sz w:val="26"/>
          <w:szCs w:val="26"/>
          <w:lang w:val="en-US" w:eastAsia="zh-CN" w:bidi="ar-SA"/>
        </w:rPr>
        <w:t>(Feldsine et al., 2002)</w:t>
      </w:r>
      <w:r>
        <w:rPr>
          <w:rFonts w:hint="default" w:ascii="Times New Roman" w:hAnsi="Times New Roman" w:eastAsia="MinionPro-Regular" w:cs="Times New Roman"/>
          <w:color w:val="231F20"/>
          <w:sz w:val="26"/>
          <w:szCs w:val="26"/>
          <w:lang w:val="en-US"/>
        </w:rPr>
        <w:fldChar w:fldCharType="end"/>
      </w:r>
      <w:r>
        <w:rPr>
          <w:rFonts w:hint="default" w:ascii="Times New Roman" w:hAnsi="Times New Roman" w:eastAsia="MinionPro-Regular" w:cs="Times New Roman"/>
          <w:color w:val="231F20"/>
          <w:sz w:val="26"/>
          <w:szCs w:val="26"/>
          <w:lang w:val="en-GB"/>
        </w:rPr>
        <w:t>. Furthermore, the chemical functional groups were determined with Buck scientific infrared spectrophotometer (</w:t>
      </w:r>
      <w:r>
        <w:rPr>
          <w:rFonts w:hint="default" w:ascii="Times New Roman" w:hAnsi="Times New Roman" w:eastAsia="MinionPro-Regular" w:cs="Times New Roman"/>
          <w:color w:val="231F20"/>
          <w:sz w:val="26"/>
          <w:szCs w:val="26"/>
          <w:lang w:val="en-US"/>
        </w:rPr>
        <w:t>M</w:t>
      </w:r>
      <w:r>
        <w:rPr>
          <w:rFonts w:hint="default" w:ascii="Times New Roman" w:hAnsi="Times New Roman" w:eastAsia="MinionPro-Regular" w:cs="Times New Roman"/>
          <w:color w:val="231F20"/>
          <w:sz w:val="26"/>
          <w:szCs w:val="26"/>
          <w:lang w:val="en-GB"/>
        </w:rPr>
        <w:t>odel 530).</w:t>
      </w:r>
    </w:p>
    <w:p>
      <w:pPr>
        <w:keepNext w:val="0"/>
        <w:keepLines w:val="0"/>
        <w:pageBreakBefore w:val="0"/>
        <w:widowControl/>
        <w:kinsoku/>
        <w:wordWrap/>
        <w:overflowPunct/>
        <w:topLinePunct w:val="0"/>
        <w:autoSpaceDE/>
        <w:autoSpaceDN/>
        <w:bidi w:val="0"/>
        <w:adjustRightInd/>
        <w:snapToGrid/>
        <w:spacing w:after="361" w:afterLines="100" w:line="360" w:lineRule="auto"/>
        <w:jc w:val="left"/>
        <w:textAlignment w:val="auto"/>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2.2.5 Kinetic studies</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SimSun" w:cs="Times New Roman"/>
          <w:color w:val="000000"/>
          <w:position w:val="-38"/>
          <w:sz w:val="26"/>
          <w:szCs w:val="26"/>
          <w:lang w:val="en-US"/>
        </w:rPr>
      </w:pPr>
      <w:r>
        <w:rPr>
          <w:rFonts w:hint="default" w:ascii="Times New Roman" w:hAnsi="Times New Roman" w:eastAsia="SimSun" w:cs="Times New Roman"/>
          <w:color w:val="000000"/>
          <w:position w:val="-38"/>
          <w:sz w:val="26"/>
          <w:szCs w:val="26"/>
          <w:lang w:val="en-GB"/>
        </w:rPr>
        <w:t>To determine the physicochemical dynamics of the tomato fruits during storage at ambient temperature 25</w:t>
      </w:r>
      <w:r>
        <w:rPr>
          <w:rFonts w:hint="default" w:ascii="Times New Roman" w:hAnsi="Times New Roman" w:eastAsia="SimSun" w:cs="Times New Roman"/>
          <w:color w:val="000000"/>
          <w:position w:val="-38"/>
          <w:sz w:val="26"/>
          <w:szCs w:val="26"/>
          <w:lang w:val="en-US"/>
        </w:rPr>
        <w:t xml:space="preserve"> </w:t>
      </w:r>
      <w:r>
        <w:rPr>
          <w:rFonts w:hint="default" w:ascii="Times New Roman" w:hAnsi="Times New Roman" w:eastAsia="SimSun" w:cs="Times New Roman"/>
          <w:color w:val="000000"/>
          <w:position w:val="-38"/>
          <w:sz w:val="26"/>
          <w:szCs w:val="26"/>
          <w:vertAlign w:val="superscript"/>
          <w:lang w:val="en-GB"/>
        </w:rPr>
        <w:t>o</w:t>
      </w:r>
      <w:r>
        <w:rPr>
          <w:rFonts w:hint="default" w:ascii="Times New Roman" w:hAnsi="Times New Roman" w:eastAsia="SimSun" w:cs="Times New Roman"/>
          <w:color w:val="000000"/>
          <w:position w:val="-38"/>
          <w:sz w:val="26"/>
          <w:szCs w:val="26"/>
          <w:lang w:val="en-GB"/>
        </w:rPr>
        <w:t>C, the kinetic data of the quality parameters were tested on established kinetic models outline in Eqs. (4) - (6)</w:t>
      </w:r>
      <w:r>
        <w:rPr>
          <w:rFonts w:hint="default" w:ascii="Times New Roman" w:hAnsi="Times New Roman" w:eastAsia="SimSun" w:cs="Times New Roman"/>
          <w:color w:val="000000"/>
          <w:position w:val="-38"/>
          <w:sz w:val="26"/>
          <w:szCs w:val="26"/>
          <w:lang w:val="en-US"/>
        </w:rPr>
        <w:t>.</w:t>
      </w:r>
    </w:p>
    <w:p>
      <w:pPr>
        <w:spacing w:line="480" w:lineRule="auto"/>
        <w:jc w:val="both"/>
        <w:rPr>
          <w:rFonts w:hint="default" w:ascii="Times New Roman" w:hAnsi="Times New Roman" w:eastAsia="SimSun" w:cs="Times New Roman"/>
          <w:color w:val="000000"/>
          <w:position w:val="-38"/>
          <w:sz w:val="26"/>
          <w:szCs w:val="26"/>
          <w:lang w:val="en-GB"/>
        </w:rPr>
      </w:pPr>
      <w:r>
        <w:rPr>
          <w:rFonts w:hint="default" w:ascii="Times New Roman" w:hAnsi="Times New Roman" w:eastAsia="SimSun" w:cs="Times New Roman"/>
          <w:color w:val="000000"/>
          <w:position w:val="-38"/>
          <w:sz w:val="26"/>
          <w:szCs w:val="26"/>
          <w:lang w:val="en-GB"/>
        </w:rPr>
        <w:t xml:space="preserve">Zero order model </w:t>
      </w:r>
    </w:p>
    <w:p>
      <w:pPr>
        <w:spacing w:line="480" w:lineRule="auto"/>
        <w:jc w:val="both"/>
        <w:rPr>
          <w:rFonts w:hint="default" w:ascii="Times New Roman" w:hAnsi="Times New Roman" w:cs="Times New Roman"/>
          <w:sz w:val="26"/>
          <w:szCs w:val="26"/>
          <w:lang w:val="en-GB"/>
        </w:rPr>
      </w:pPr>
      <m:oMath>
        <m:r>
          <m:rPr>
            <m:sty m:val="p"/>
          </m:rPr>
          <w:rPr>
            <w:rFonts w:hint="default" w:ascii="Cambria Math" w:hAnsi="Times New Roman" w:cs="Times New Roman"/>
            <w:sz w:val="26"/>
            <w:szCs w:val="26"/>
            <w:lang w:val="en-US"/>
          </w:rPr>
          <m:t>C=</m:t>
        </m:r>
        <m:sSub>
          <m:sSubPr>
            <m:ctrlPr>
              <w:rPr>
                <w:rFonts w:ascii="Cambria Math" w:hAnsi="Cambria Math" w:cs="Times New Roman"/>
                <w:i/>
                <w:sz w:val="26"/>
                <w:szCs w:val="26"/>
                <w:lang w:val="en-GB"/>
              </w:rPr>
            </m:ctrlPr>
          </m:sSubPr>
          <m:e>
            <m:r>
              <m:rPr/>
              <w:rPr>
                <w:rFonts w:hint="default" w:ascii="Cambria Math" w:hAnsi="Cambria Math" w:cs="Times New Roman"/>
                <w:sz w:val="26"/>
                <w:szCs w:val="26"/>
                <w:lang w:val="en-US"/>
              </w:rPr>
              <m:t>C</m:t>
            </m:r>
            <m:ctrlPr>
              <w:rPr>
                <w:rFonts w:ascii="Cambria Math" w:hAnsi="Cambria Math" w:cs="Times New Roman"/>
                <w:i/>
                <w:sz w:val="26"/>
                <w:szCs w:val="26"/>
                <w:lang w:val="en-GB"/>
              </w:rPr>
            </m:ctrlPr>
          </m:e>
          <m:sub>
            <m:r>
              <m:rPr/>
              <w:rPr>
                <w:rFonts w:hint="default" w:ascii="Cambria Math" w:hAnsi="Cambria Math" w:cs="Times New Roman"/>
                <w:sz w:val="26"/>
                <w:szCs w:val="26"/>
                <w:lang w:val="en-US"/>
              </w:rPr>
              <m:t>o</m:t>
            </m:r>
            <m:ctrlPr>
              <w:rPr>
                <w:rFonts w:ascii="Cambria Math" w:hAnsi="Cambria Math" w:cs="Times New Roman"/>
                <w:i/>
                <w:sz w:val="26"/>
                <w:szCs w:val="26"/>
                <w:lang w:val="en-GB"/>
              </w:rPr>
            </m:ctrlPr>
          </m:sub>
        </m:sSub>
        <m:r>
          <m:rPr/>
          <w:rPr>
            <w:rFonts w:hint="default" w:ascii="Cambria Math" w:hAnsi="Cambria Math" w:cs="Times New Roman"/>
            <w:sz w:val="26"/>
            <w:szCs w:val="26"/>
            <w:lang w:val="en-US"/>
          </w:rPr>
          <m:t>−Kt</m:t>
        </m:r>
      </m:oMath>
      <w:r>
        <w:rPr>
          <w:rFonts w:hint="default" w:ascii="Times New Roman" w:hAnsi="Times New Roman" w:cs="Times New Roman"/>
          <w:sz w:val="26"/>
          <w:szCs w:val="26"/>
          <w:lang w:val="en-GB"/>
        </w:rPr>
        <w:t xml:space="preserve">   </w:t>
      </w:r>
      <w:r>
        <w:rPr>
          <w:rFonts w:hint="default" w:ascii="Times New Roman" w:hAnsi="Times New Roman" w:cs="Times New Roman"/>
          <w:sz w:val="26"/>
          <w:szCs w:val="26"/>
          <w:lang w:val="en-US"/>
        </w:rPr>
        <w:tab/>
      </w:r>
      <w:r>
        <w:rPr>
          <w:rFonts w:hint="default" w:ascii="Times New Roman" w:hAnsi="Times New Roman" w:cs="Times New Roman"/>
          <w:sz w:val="26"/>
          <w:szCs w:val="26"/>
          <w:lang w:val="en-GB"/>
        </w:rPr>
        <w:t xml:space="preserve">                                         </w:t>
      </w:r>
      <w:r>
        <w:rPr>
          <w:rFonts w:hint="default" w:ascii="Times New Roman" w:hAnsi="Times New Roman" w:cs="Times New Roman"/>
          <w:sz w:val="26"/>
          <w:szCs w:val="26"/>
          <w:lang w:val="en-US"/>
        </w:rPr>
        <w:tab/>
      </w:r>
      <w:r>
        <w:rPr>
          <w:rFonts w:hint="default" w:ascii="Times New Roman" w:hAnsi="Times New Roman" w:cs="Times New Roman"/>
          <w:sz w:val="26"/>
          <w:szCs w:val="26"/>
          <w:lang w:val="en-US"/>
        </w:rPr>
        <w:tab/>
      </w:r>
      <w:r>
        <w:rPr>
          <w:rFonts w:hint="default" w:ascii="Times New Roman" w:hAnsi="Times New Roman" w:cs="Times New Roman"/>
          <w:sz w:val="26"/>
          <w:szCs w:val="26"/>
          <w:lang w:val="en-GB"/>
        </w:rPr>
        <w:t>(4)</w:t>
      </w:r>
    </w:p>
    <w:p>
      <w:pPr>
        <w:spacing w:line="480" w:lineRule="auto"/>
        <w:jc w:val="both"/>
        <w:rPr>
          <w:rFonts w:hint="default" w:ascii="Times New Roman" w:hAnsi="Times New Roman" w:cs="Times New Roman"/>
          <w:sz w:val="26"/>
          <w:szCs w:val="26"/>
          <w:lang w:val="en-GB"/>
        </w:rPr>
      </w:pPr>
      <w:r>
        <w:rPr>
          <w:rFonts w:hint="default" w:ascii="Times New Roman" w:hAnsi="Times New Roman" w:cs="Times New Roman"/>
          <w:sz w:val="26"/>
          <w:szCs w:val="26"/>
          <w:lang w:val="en-GB"/>
        </w:rPr>
        <w:t>Nonlinear first order</w:t>
      </w:r>
    </w:p>
    <w:p>
      <w:pPr>
        <w:spacing w:line="480" w:lineRule="auto"/>
        <w:jc w:val="both"/>
        <w:rPr>
          <w:rFonts w:hint="default" w:ascii="Times New Roman" w:hAnsi="Times New Roman" w:cs="Times New Roman"/>
          <w:sz w:val="26"/>
          <w:szCs w:val="26"/>
          <w:lang w:val="en-GB"/>
        </w:rPr>
      </w:pPr>
      <m:oMath>
        <m:r>
          <m:rPr>
            <m:sty m:val="p"/>
          </m:rPr>
          <w:rPr>
            <w:rFonts w:hint="default" w:ascii="Cambria Math" w:hAnsi="Cambria Math" w:cs="Times New Roman"/>
            <w:sz w:val="26"/>
            <w:szCs w:val="26"/>
            <w:lang w:val="en-US"/>
          </w:rPr>
          <m:t>C=</m:t>
        </m:r>
        <m:sSub>
          <m:sSubPr>
            <m:ctrlPr>
              <w:rPr>
                <w:rFonts w:ascii="Cambria Math" w:hAnsi="Cambria Math" w:cs="Times New Roman"/>
                <w:i/>
                <w:sz w:val="26"/>
                <w:szCs w:val="26"/>
                <w:lang w:val="en-GB"/>
              </w:rPr>
            </m:ctrlPr>
          </m:sSubPr>
          <m:e>
            <m:r>
              <m:rPr/>
              <w:rPr>
                <w:rFonts w:hint="default" w:ascii="Cambria Math" w:hAnsi="Cambria Math" w:cs="Times New Roman"/>
                <w:sz w:val="26"/>
                <w:szCs w:val="26"/>
                <w:lang w:val="en-US"/>
              </w:rPr>
              <m:t>C</m:t>
            </m:r>
            <m:ctrlPr>
              <w:rPr>
                <w:rFonts w:ascii="Cambria Math" w:hAnsi="Cambria Math" w:cs="Times New Roman"/>
                <w:i/>
                <w:sz w:val="26"/>
                <w:szCs w:val="26"/>
                <w:lang w:val="en-GB"/>
              </w:rPr>
            </m:ctrlPr>
          </m:e>
          <m:sub>
            <m:r>
              <m:rPr/>
              <w:rPr>
                <w:rFonts w:hint="default" w:ascii="Cambria Math" w:hAnsi="Cambria Math" w:cs="Times New Roman"/>
                <w:sz w:val="26"/>
                <w:szCs w:val="26"/>
                <w:lang w:val="en-US"/>
              </w:rPr>
              <m:t>o</m:t>
            </m:r>
            <m:ctrlPr>
              <w:rPr>
                <w:rFonts w:ascii="Cambria Math" w:hAnsi="Cambria Math" w:cs="Times New Roman"/>
                <w:i/>
                <w:sz w:val="26"/>
                <w:szCs w:val="26"/>
                <w:lang w:val="en-GB"/>
              </w:rPr>
            </m:ctrlPr>
          </m:sub>
        </m:sSub>
        <m:sSup>
          <m:sSupPr>
            <m:ctrlPr>
              <w:rPr>
                <w:rFonts w:ascii="Cambria Math" w:hAnsi="Cambria Math" w:cs="Times New Roman"/>
                <w:i/>
                <w:sz w:val="26"/>
                <w:szCs w:val="26"/>
                <w:lang w:val="en-GB"/>
              </w:rPr>
            </m:ctrlPr>
          </m:sSupPr>
          <m:e>
            <m:r>
              <m:rPr/>
              <w:rPr>
                <w:rFonts w:hint="default" w:ascii="Cambria Math" w:hAnsi="Cambria Math" w:cs="Times New Roman"/>
                <w:sz w:val="26"/>
                <w:szCs w:val="26"/>
                <w:lang w:val="en-US"/>
              </w:rPr>
              <m:t>e</m:t>
            </m:r>
            <m:ctrlPr>
              <w:rPr>
                <w:rFonts w:ascii="Cambria Math" w:hAnsi="Cambria Math" w:cs="Times New Roman"/>
                <w:i/>
                <w:sz w:val="26"/>
                <w:szCs w:val="26"/>
                <w:lang w:val="en-GB"/>
              </w:rPr>
            </m:ctrlPr>
          </m:e>
          <m:sup>
            <m:r>
              <m:rPr/>
              <w:rPr>
                <w:rFonts w:ascii="Cambria Math" w:hAnsi="Cambria Math" w:cs="Times New Roman"/>
                <w:sz w:val="26"/>
                <w:szCs w:val="26"/>
                <w:lang w:val="en-GB"/>
              </w:rPr>
              <m:t>±</m:t>
            </m:r>
            <m:r>
              <m:rPr/>
              <w:rPr>
                <w:rFonts w:hint="default" w:ascii="Cambria Math" w:hAnsi="Cambria Math" w:cs="Times New Roman"/>
                <w:sz w:val="26"/>
                <w:szCs w:val="26"/>
                <w:lang w:val="en-US"/>
              </w:rPr>
              <m:t>Kt</m:t>
            </m:r>
            <m:ctrlPr>
              <w:rPr>
                <w:rFonts w:ascii="Cambria Math" w:hAnsi="Cambria Math" w:cs="Times New Roman"/>
                <w:i/>
                <w:sz w:val="26"/>
                <w:szCs w:val="26"/>
                <w:lang w:val="en-GB"/>
              </w:rPr>
            </m:ctrlPr>
          </m:sup>
        </m:sSup>
      </m:oMath>
      <w:r>
        <w:rPr>
          <w:rFonts w:hint="default" w:ascii="Times New Roman" w:hAnsi="Times New Roman" w:cs="Times New Roman"/>
          <w:sz w:val="26"/>
          <w:szCs w:val="26"/>
          <w:lang w:val="en-GB"/>
        </w:rPr>
        <w:t xml:space="preserve">                                         </w:t>
      </w:r>
      <w:r>
        <w:rPr>
          <w:rFonts w:hint="default" w:ascii="Times New Roman" w:hAnsi="Times New Roman" w:cs="Times New Roman"/>
          <w:sz w:val="26"/>
          <w:szCs w:val="26"/>
          <w:lang w:val="en-US"/>
        </w:rPr>
        <w:tab/>
      </w:r>
      <w:r>
        <w:rPr>
          <w:rFonts w:hint="default" w:ascii="Times New Roman" w:hAnsi="Times New Roman" w:cs="Times New Roman"/>
          <w:sz w:val="26"/>
          <w:szCs w:val="26"/>
          <w:lang w:val="en-US"/>
        </w:rPr>
        <w:tab/>
      </w:r>
      <w:r>
        <w:rPr>
          <w:rFonts w:hint="default" w:ascii="Times New Roman" w:hAnsi="Times New Roman" w:cs="Times New Roman"/>
          <w:sz w:val="26"/>
          <w:szCs w:val="26"/>
          <w:lang w:val="en-US"/>
        </w:rPr>
        <w:tab/>
      </w:r>
      <w:r>
        <w:rPr>
          <w:rFonts w:hint="default" w:ascii="Times New Roman" w:hAnsi="Times New Roman" w:cs="Times New Roman"/>
          <w:sz w:val="26"/>
          <w:szCs w:val="26"/>
          <w:lang w:val="en-US"/>
        </w:rPr>
        <w:tab/>
      </w:r>
      <w:r>
        <w:rPr>
          <w:rFonts w:hint="default" w:ascii="Times New Roman" w:hAnsi="Times New Roman" w:cs="Times New Roman"/>
          <w:sz w:val="26"/>
          <w:szCs w:val="26"/>
          <w:lang w:val="en-GB"/>
        </w:rPr>
        <w:t>(5)</w:t>
      </w:r>
    </w:p>
    <w:p>
      <w:pPr>
        <w:spacing w:line="480" w:lineRule="auto"/>
        <w:jc w:val="both"/>
        <w:rPr>
          <w:rFonts w:hint="default" w:ascii="Times New Roman" w:hAnsi="Times New Roman" w:cs="Times New Roman"/>
          <w:sz w:val="26"/>
          <w:szCs w:val="26"/>
          <w:lang w:val="en-GB"/>
        </w:rPr>
      </w:pPr>
      <w:r>
        <w:rPr>
          <w:rFonts w:hint="default" w:ascii="Times New Roman" w:hAnsi="Times New Roman" w:cs="Times New Roman"/>
          <w:sz w:val="26"/>
          <w:szCs w:val="26"/>
          <w:lang w:val="en-GB"/>
        </w:rPr>
        <w:t>Linear first order</w:t>
      </w:r>
    </w:p>
    <w:p>
      <w:pPr>
        <w:spacing w:line="480" w:lineRule="auto"/>
        <w:jc w:val="both"/>
        <w:rPr>
          <w:rFonts w:hint="default" w:ascii="Times New Roman" w:hAnsi="Times New Roman" w:cs="Times New Roman"/>
          <w:sz w:val="26"/>
          <w:szCs w:val="26"/>
          <w:lang w:val="en-GB"/>
        </w:rPr>
      </w:pPr>
      <m:oMath>
        <m:r>
          <m:rPr>
            <m:sty m:val="p"/>
          </m:rPr>
          <w:rPr>
            <w:rFonts w:hint="default" w:ascii="Cambria Math" w:hAnsi="Times New Roman" w:cs="Times New Roman"/>
            <w:sz w:val="26"/>
            <w:szCs w:val="26"/>
            <w:lang w:val="en-US"/>
          </w:rPr>
          <m:t>Ln(C)=</m:t>
        </m:r>
        <m:sSub>
          <m:sSubPr>
            <m:ctrlPr>
              <w:rPr>
                <w:rFonts w:ascii="Cambria Math" w:hAnsi="Cambria Math" w:cs="Times New Roman"/>
                <w:i/>
                <w:sz w:val="26"/>
                <w:szCs w:val="26"/>
                <w:lang w:val="en-GB"/>
              </w:rPr>
            </m:ctrlPr>
          </m:sSubPr>
          <m:e>
            <m:r>
              <m:rPr/>
              <w:rPr>
                <w:rFonts w:hint="default" w:ascii="Cambria Math" w:hAnsi="Cambria Math" w:cs="Times New Roman"/>
                <w:sz w:val="26"/>
                <w:szCs w:val="26"/>
                <w:lang w:val="en-US"/>
              </w:rPr>
              <m:t>Ln(C</m:t>
            </m:r>
            <m:ctrlPr>
              <w:rPr>
                <w:rFonts w:ascii="Cambria Math" w:hAnsi="Cambria Math" w:cs="Times New Roman"/>
                <w:i/>
                <w:sz w:val="26"/>
                <w:szCs w:val="26"/>
                <w:lang w:val="en-GB"/>
              </w:rPr>
            </m:ctrlPr>
          </m:e>
          <m:sub>
            <m:r>
              <m:rPr/>
              <w:rPr>
                <w:rFonts w:hint="default" w:ascii="Cambria Math" w:hAnsi="Cambria Math" w:cs="Times New Roman"/>
                <w:sz w:val="26"/>
                <w:szCs w:val="26"/>
                <w:lang w:val="en-US"/>
              </w:rPr>
              <m:t>o</m:t>
            </m:r>
            <m:ctrlPr>
              <w:rPr>
                <w:rFonts w:ascii="Cambria Math" w:hAnsi="Cambria Math" w:cs="Times New Roman"/>
                <w:i/>
                <w:sz w:val="26"/>
                <w:szCs w:val="26"/>
                <w:lang w:val="en-GB"/>
              </w:rPr>
            </m:ctrlPr>
          </m:sub>
        </m:sSub>
        <m:r>
          <m:rPr/>
          <w:rPr>
            <w:rFonts w:hint="default" w:ascii="Cambria Math" w:hAnsi="Cambria Math" w:cs="Times New Roman"/>
            <w:sz w:val="26"/>
            <w:szCs w:val="26"/>
            <w:lang w:val="en-US"/>
          </w:rPr>
          <m:t>)</m:t>
        </m:r>
        <m:r>
          <m:rPr/>
          <w:rPr>
            <w:rFonts w:ascii="Cambria Math" w:hAnsi="Cambria Math" w:cs="Times New Roman"/>
            <w:sz w:val="26"/>
            <w:szCs w:val="26"/>
            <w:lang w:val="en-US"/>
          </w:rPr>
          <m:t>±</m:t>
        </m:r>
        <m:r>
          <m:rPr/>
          <w:rPr>
            <w:rFonts w:hint="default" w:ascii="Cambria Math" w:hAnsi="Cambria Math" w:cs="Times New Roman"/>
            <w:sz w:val="26"/>
            <w:szCs w:val="26"/>
            <w:lang w:val="en-US"/>
          </w:rPr>
          <m:t>Kt</m:t>
        </m:r>
      </m:oMath>
      <w:r>
        <w:rPr>
          <w:rFonts w:hint="default" w:ascii="Times New Roman" w:hAnsi="Times New Roman" w:cs="Times New Roman"/>
          <w:sz w:val="26"/>
          <w:szCs w:val="26"/>
          <w:lang w:val="en-GB"/>
        </w:rPr>
        <w:t xml:space="preserve">                                         </w:t>
      </w:r>
      <w:r>
        <w:rPr>
          <w:rFonts w:hint="default" w:ascii="Times New Roman" w:hAnsi="Times New Roman" w:cs="Times New Roman"/>
          <w:sz w:val="26"/>
          <w:szCs w:val="26"/>
          <w:lang w:val="en-US"/>
        </w:rPr>
        <w:tab/>
      </w:r>
      <w:r>
        <w:rPr>
          <w:rFonts w:hint="default" w:ascii="Times New Roman" w:hAnsi="Times New Roman" w:cs="Times New Roman"/>
          <w:sz w:val="26"/>
          <w:szCs w:val="26"/>
          <w:lang w:val="en-GB"/>
        </w:rPr>
        <w:t xml:space="preserve">(6) </w:t>
      </w:r>
    </w:p>
    <w:p>
      <w:pPr>
        <w:keepNext w:val="0"/>
        <w:keepLines w:val="0"/>
        <w:pageBreakBefore w:val="0"/>
        <w:widowControl/>
        <w:kinsoku/>
        <w:wordWrap/>
        <w:overflowPunct/>
        <w:topLinePunct w:val="0"/>
        <w:autoSpaceDE/>
        <w:autoSpaceDN/>
        <w:bidi w:val="0"/>
        <w:adjustRightInd/>
        <w:snapToGrid/>
        <w:spacing w:after="361" w:afterLines="100" w:line="240" w:lineRule="auto"/>
        <w:jc w:val="both"/>
        <w:textAlignment w:val="auto"/>
        <w:rPr>
          <w:rFonts w:hint="default" w:ascii="Times New Roman" w:hAnsi="Times New Roman" w:cs="Times New Roman"/>
          <w:sz w:val="26"/>
          <w:szCs w:val="26"/>
          <w:lang w:val="en-GB"/>
        </w:rPr>
      </w:pPr>
      <w:r>
        <w:rPr>
          <w:rFonts w:hint="default" w:ascii="Times New Roman" w:hAnsi="Times New Roman" w:cs="Times New Roman"/>
          <w:sz w:val="26"/>
          <w:szCs w:val="26"/>
          <w:lang w:val="en-GB"/>
        </w:rPr>
        <w:t>Where C is the measured quality parameter at sampling time (day), Co denoted the initial value of the quality parameter, while K and t represent the model rate constant and sampling time, respectively. A plot of C (or</w:t>
      </w:r>
      <w:r>
        <w:rPr>
          <w:rFonts w:hint="default" w:ascii="Times New Roman" w:hAnsi="Times New Roman" w:cs="Times New Roman"/>
          <w:sz w:val="26"/>
          <w:szCs w:val="26"/>
          <w:lang w:val="en-US"/>
        </w:rPr>
        <w:t xml:space="preserve"> </w:t>
      </w:r>
      <m:oMath>
        <m:r>
          <m:rPr>
            <m:sty m:val="p"/>
          </m:rPr>
          <w:rPr>
            <w:rFonts w:hint="default" w:ascii="Cambria Math" w:hAnsi="Times New Roman" w:cs="Times New Roman"/>
            <w:sz w:val="26"/>
            <w:szCs w:val="26"/>
            <w:lang w:val="en-US"/>
          </w:rPr>
          <m:t>Ln</m:t>
        </m:r>
        <m:d>
          <m:dPr>
            <m:ctrlPr>
              <w:rPr>
                <w:rFonts w:ascii="Cambria Math" w:hAnsi="Cambria Math" w:cs="Times New Roman"/>
                <w:i/>
                <w:sz w:val="26"/>
                <w:szCs w:val="26"/>
                <w:lang w:val="en-US"/>
              </w:rPr>
            </m:ctrlPr>
          </m:dPr>
          <m:e>
            <m:r>
              <m:rPr/>
              <w:rPr>
                <w:rFonts w:hint="default" w:ascii="Cambria Math" w:hAnsi="Cambria Math" w:cs="Times New Roman"/>
                <w:sz w:val="26"/>
                <w:szCs w:val="26"/>
                <w:lang w:val="en-US"/>
              </w:rPr>
              <m:t>C</m:t>
            </m:r>
            <m:ctrlPr>
              <w:rPr>
                <w:rFonts w:ascii="Cambria Math" w:hAnsi="Cambria Math" w:cs="Times New Roman"/>
                <w:i/>
                <w:sz w:val="26"/>
                <w:szCs w:val="26"/>
                <w:lang w:val="en-US"/>
              </w:rPr>
            </m:ctrlPr>
          </m:e>
        </m:d>
      </m:oMath>
      <w:r>
        <w:rPr>
          <w:rFonts w:hint="default" w:ascii="Times New Roman" w:hAnsi="Times New Roman" w:cs="Times New Roman"/>
          <w:sz w:val="26"/>
          <w:szCs w:val="26"/>
          <w:lang w:val="en-GB"/>
        </w:rPr>
        <w:t xml:space="preserve">) vs time will produce K as the slope and Co as intercept </w:t>
      </w:r>
      <w:r>
        <w:rPr>
          <w:rFonts w:hint="default" w:ascii="Times New Roman" w:hAnsi="Times New Roman" w:cs="Times New Roman"/>
          <w:sz w:val="26"/>
          <w:szCs w:val="26"/>
          <w:lang w:val="en-GB"/>
        </w:rPr>
        <w:fldChar w:fldCharType="begin"/>
      </w:r>
      <w:r>
        <w:rPr>
          <w:rFonts w:hint="default" w:ascii="Times New Roman" w:hAnsi="Times New Roman" w:cs="Times New Roman"/>
          <w:sz w:val="26"/>
          <w:szCs w:val="26"/>
          <w:lang w:val="en-US"/>
        </w:rPr>
        <w:instrText xml:space="preserve"> ADDIN EN.CITE &lt;EndNote&gt;&lt;Cite&gt;&lt;Author&gt;Al-Dairi&lt;/Author&gt;&lt;Year&gt;2023&lt;/Year&gt;&lt;RecNum&gt;323&lt;/RecNum&gt;&lt;DisplayText&gt;(Al-Dairi et al., 2023)&lt;/DisplayText&gt;&lt;record&gt;&lt;rec-number&gt;323&lt;/rec-number&gt;&lt;foreign-keys&gt;&lt;key app="EN" db-id="edvassfwttpfsqe0xsop2wwg2f05wx552500" timestamp="1703839390"&gt;323&lt;/key&gt;&lt;/foreign-keys&gt;&lt;ref-type name="Journal Article"&gt;17&lt;/ref-type&gt;&lt;contributors&gt;&lt;authors&gt;&lt;author&gt;Al-Dairi, Mai&lt;/author&gt;&lt;author&gt;Pathare, Pankaj B&lt;/author&gt;&lt;author&gt;Al-Yahyai, Rashid&lt;/author&gt;&lt;author&gt;Jayasuriya, Hemantha&lt;/author&gt;&lt;author&gt;Al-Attabi, Zahir&lt;/author&gt;&lt;/authors&gt;&lt;/contributors&gt;&lt;titles&gt;&lt;title&gt;Postharvest quality, technologies, and strategies to reduce losses along the supply chain of banana: A review&lt;/title&gt;&lt;secondary-title&gt;Trends in Food Science &amp;amp; Technology&lt;/secondary-title&gt;&lt;/titles&gt;&lt;periodical&gt;&lt;full-title&gt;Trends in Food Science &amp;amp; Technology&lt;/full-title&gt;&lt;/periodical&gt;&lt;dates&gt;&lt;year&gt;2023&lt;/year&gt;&lt;/dates&gt;&lt;isbn&gt;0924-2244&lt;/isbn&gt;&lt;urls&gt;&lt;/urls&gt;&lt;/record&gt;&lt;/Cite&gt;&lt;/EndNote&gt;</w:instrText>
      </w:r>
      <w:r>
        <w:rPr>
          <w:rFonts w:hint="default" w:ascii="Times New Roman" w:hAnsi="Times New Roman" w:cs="Times New Roman"/>
          <w:sz w:val="26"/>
          <w:szCs w:val="26"/>
          <w:lang w:val="en-GB"/>
        </w:rPr>
        <w:fldChar w:fldCharType="separate"/>
      </w:r>
      <w:r>
        <w:rPr>
          <w:rFonts w:hint="default" w:ascii="Times New Roman" w:hAnsi="Times New Roman" w:cs="Times New Roman" w:eastAsiaTheme="minorEastAsia"/>
          <w:sz w:val="26"/>
          <w:szCs w:val="26"/>
          <w:lang w:val="en-US" w:eastAsia="zh-CN" w:bidi="ar-SA"/>
        </w:rPr>
        <w:t>(Al-Dairi et al., 2023)</w:t>
      </w:r>
      <w:r>
        <w:rPr>
          <w:rFonts w:hint="default" w:ascii="Times New Roman" w:hAnsi="Times New Roman" w:cs="Times New Roman"/>
          <w:sz w:val="26"/>
          <w:szCs w:val="26"/>
          <w:lang w:val="en-GB"/>
        </w:rPr>
        <w:fldChar w:fldCharType="end"/>
      </w:r>
      <w:r>
        <w:rPr>
          <w:rFonts w:hint="default" w:ascii="Times New Roman" w:hAnsi="Times New Roman" w:cs="Times New Roman"/>
          <w:sz w:val="26"/>
          <w:szCs w:val="26"/>
          <w:lang w:val="en-GB"/>
        </w:rPr>
        <w:t>.</w:t>
      </w:r>
    </w:p>
    <w:p>
      <w:pPr>
        <w:spacing w:line="360" w:lineRule="auto"/>
        <w:jc w:val="both"/>
        <w:rPr>
          <w:rFonts w:hint="default" w:ascii="Times New Roman" w:hAnsi="Times New Roman" w:eastAsia="SimSun" w:cs="Times New Roman"/>
          <w:color w:val="000000"/>
          <w:position w:val="-38"/>
          <w:sz w:val="26"/>
          <w:szCs w:val="26"/>
          <w:lang w:val="en-GB"/>
        </w:rPr>
      </w:pPr>
      <w:r>
        <w:rPr>
          <w:rFonts w:hint="default" w:ascii="Times New Roman" w:hAnsi="Times New Roman" w:cs="Times New Roman"/>
          <w:sz w:val="26"/>
          <w:szCs w:val="26"/>
          <w:lang w:val="en-GB"/>
        </w:rPr>
        <w:t>The fitness of the kinetic data on each kinetic model was appraised using error function models outlined in Eqs (7) - (10),</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lang w:val="en-US"/>
        </w:rPr>
        <w:fldChar w:fldCharType="begin"/>
      </w:r>
      <w:r>
        <w:rPr>
          <w:rFonts w:hint="default" w:ascii="Times New Roman" w:hAnsi="Times New Roman" w:cs="Times New Roman"/>
          <w:sz w:val="26"/>
          <w:szCs w:val="26"/>
          <w:lang w:val="en-US"/>
        </w:rPr>
        <w:instrText xml:space="preserve"> ADDIN EN.CITE </w:instrText>
      </w:r>
      <w:r>
        <w:rPr>
          <w:rFonts w:hint="default" w:ascii="Times New Roman" w:hAnsi="Times New Roman" w:cs="Times New Roman"/>
          <w:sz w:val="26"/>
          <w:szCs w:val="26"/>
          <w:lang w:val="en-US"/>
        </w:rPr>
        <w:fldChar w:fldCharType="begin">
          <w:fldData xml:space="preserve">PEVuZE5vdGU+PENpdGU+PEF1dGhvcj5PaGFsZTwvQXV0aG9yPjxZZWFyPjIwMjM8L1llYXI+PFJl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</w:fldData>
        </w:fldChar>
      </w:r>
      <w:r>
        <w:rPr>
          <w:rFonts w:hint="default" w:ascii="Times New Roman" w:hAnsi="Times New Roman" w:cs="Times New Roman"/>
          <w:sz w:val="26"/>
          <w:szCs w:val="26"/>
          <w:lang w:val="en-US"/>
        </w:rPr>
        <w:instrText xml:space="preserve"> ADDIN EN.CITE.DATA </w:instrText>
      </w:r>
      <w:r>
        <w:rPr>
          <w:rFonts w:hint="default" w:ascii="Times New Roman" w:hAnsi="Times New Roman" w:cs="Times New Roman"/>
          <w:sz w:val="26"/>
          <w:szCs w:val="26"/>
          <w:lang w:val="en-US"/>
        </w:rPr>
        <w:fldChar w:fldCharType="separate"/>
      </w:r>
      <w:r>
        <w:rPr>
          <w:rFonts w:hint="default" w:ascii="Times New Roman" w:hAnsi="Times New Roman" w:cs="Times New Roman"/>
          <w:sz w:val="26"/>
          <w:szCs w:val="26"/>
          <w:lang w:val="en-US"/>
        </w:rPr>
        <w:fldChar w:fldCharType="end"/>
      </w:r>
      <w:r>
        <w:rPr>
          <w:rFonts w:hint="default" w:ascii="Times New Roman" w:hAnsi="Times New Roman" w:cs="Times New Roman"/>
          <w:sz w:val="26"/>
          <w:szCs w:val="26"/>
          <w:lang w:val="en-US"/>
        </w:rPr>
        <w:fldChar w:fldCharType="separate"/>
      </w:r>
      <w:r>
        <w:rPr>
          <w:rFonts w:hint="default" w:ascii="Times New Roman" w:hAnsi="Times New Roman" w:cs="Times New Roman" w:eastAsiaTheme="minorEastAsia"/>
          <w:sz w:val="26"/>
          <w:szCs w:val="26"/>
          <w:lang w:val="en-US" w:eastAsia="zh-CN" w:bidi="ar-SA"/>
        </w:rPr>
        <w:t>(Ohale et al., 2023, Abonyi et al., 2023)</w:t>
      </w:r>
      <w:r>
        <w:rPr>
          <w:rFonts w:hint="default" w:ascii="Times New Roman" w:hAnsi="Times New Roman" w:cs="Times New Roman"/>
          <w:sz w:val="26"/>
          <w:szCs w:val="26"/>
          <w:lang w:val="en-US"/>
        </w:rPr>
        <w:fldChar w:fldCharType="end"/>
      </w:r>
      <w:r>
        <w:rPr>
          <w:rFonts w:hint="default" w:ascii="Times New Roman" w:hAnsi="Times New Roman" w:cs="Times New Roman"/>
          <w:sz w:val="26"/>
          <w:szCs w:val="26"/>
          <w:lang w:val="en-US"/>
        </w:rPr>
        <w:t>.</w:t>
      </w:r>
    </w:p>
    <w:p>
      <w:pPr>
        <w:spacing w:line="480" w:lineRule="auto"/>
        <w:jc w:val="both"/>
        <w:rPr>
          <w:rFonts w:ascii="Times New Roman" w:hAnsi="Times New Roman" w:eastAsia="SimSun" w:cs="Times New Roman"/>
          <w:color w:val="000000"/>
          <w:sz w:val="24"/>
          <w:szCs w:val="24"/>
          <w:lang w:val="en-GB"/>
        </w:rPr>
      </w:pPr>
      <w:r>
        <w:rPr>
          <w:rFonts w:ascii="Times New Roman" w:hAnsi="Times New Roman" w:eastAsia="SimSun" w:cs="Times New Roman"/>
          <w:color w:val="000000"/>
          <w:position w:val="-38"/>
          <w:sz w:val="24"/>
          <w:szCs w:val="24"/>
          <w:lang w:val="en-GB"/>
        </w:rPr>
        <w:object>
          <v:shape id="_x0000_i1025" o:spt="75" type="#_x0000_t75" style="height:43.8pt;width:156pt;" o:ole="t" filled="f" o:preferrelative="t" stroked="f" coordsize="21600,21600">
            <v:path/>
            <v:fill on="f" focussize="0,0"/>
            <v:stroke on="f"/>
            <v:imagedata r:id="rId5" o:title=""/>
            <o:lock v:ext="edit" aspectratio="t"/>
            <w10:wrap type="none"/>
            <w10:anchorlock/>
          </v:shape>
          <o:OLEObject Type="Embed" ProgID="Equation.3" ShapeID="_x0000_i1025" DrawAspect="Content" ObjectID="_1468075725" r:id="rId4">
            <o:LockedField>false</o:LockedField>
          </o:OLEObject>
        </w:object>
      </w:r>
      <w:r>
        <w:rPr>
          <w:rFonts w:ascii="Times New Roman" w:hAnsi="Times New Roman" w:eastAsia="SimSun" w:cs="Times New Roman"/>
          <w:color w:val="000000"/>
          <w:sz w:val="24"/>
          <w:szCs w:val="24"/>
          <w:lang w:val="en-GB"/>
        </w:rPr>
        <w:t xml:space="preserve">                                  </w:t>
      </w:r>
      <w:r>
        <w:rPr>
          <w:rFonts w:hint="default" w:ascii="Times New Roman" w:hAnsi="Times New Roman" w:eastAsia="SimSun" w:cs="Times New Roman"/>
          <w:color w:val="000000"/>
          <w:sz w:val="24"/>
          <w:szCs w:val="24"/>
          <w:lang w:val="en-US"/>
        </w:rPr>
        <w:tab/>
      </w:r>
      <w:r>
        <w:rPr>
          <w:rFonts w:ascii="Times New Roman" w:hAnsi="Times New Roman" w:eastAsia="SimSun" w:cs="Times New Roman"/>
          <w:color w:val="000000"/>
          <w:sz w:val="24"/>
          <w:szCs w:val="24"/>
          <w:lang w:val="en-GB"/>
        </w:rPr>
        <w:t>(7)</w:t>
      </w:r>
    </w:p>
    <w:p>
      <w:pPr>
        <w:spacing w:line="480" w:lineRule="auto"/>
        <w:jc w:val="both"/>
        <w:rPr>
          <w:rFonts w:ascii="Times New Roman" w:hAnsi="Times New Roman" w:eastAsia="SimSun" w:cs="Times New Roman"/>
          <w:color w:val="000000"/>
          <w:sz w:val="24"/>
          <w:szCs w:val="24"/>
          <w:lang w:val="en-GB"/>
        </w:rPr>
      </w:pPr>
      <w:r>
        <w:rPr>
          <w:rFonts w:ascii="Times New Roman" w:hAnsi="Times New Roman" w:eastAsia="SimSun" w:cs="Times New Roman"/>
          <w:color w:val="000000"/>
          <w:position w:val="-26"/>
          <w:sz w:val="24"/>
          <w:szCs w:val="24"/>
          <w:lang w:val="en-GB"/>
        </w:rPr>
        <w:object>
          <v:shape id="_x0000_i1026" o:spt="75" type="#_x0000_t75" style="height:39.6pt;width:166.2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6" r:id="rId6">
            <o:LockedField>false</o:LockedField>
          </o:OLEObject>
        </w:object>
      </w:r>
      <w:r>
        <w:rPr>
          <w:rFonts w:ascii="Times New Roman" w:hAnsi="Times New Roman" w:eastAsia="SimSun" w:cs="Times New Roman"/>
          <w:color w:val="000000"/>
          <w:sz w:val="24"/>
          <w:szCs w:val="24"/>
          <w:lang w:val="en-GB"/>
        </w:rPr>
        <w:t xml:space="preserve">                               </w:t>
      </w:r>
      <w:r>
        <w:rPr>
          <w:rFonts w:ascii="Times New Roman" w:hAnsi="Times New Roman" w:eastAsia="SimSun" w:cs="Times New Roman"/>
          <w:color w:val="000000"/>
          <w:sz w:val="24"/>
          <w:szCs w:val="24"/>
        </w:rPr>
        <w:tab/>
      </w:r>
      <w:r>
        <w:rPr>
          <w:rFonts w:hint="default" w:ascii="Times New Roman" w:hAnsi="Times New Roman" w:eastAsia="SimSun" w:cs="Times New Roman"/>
          <w:color w:val="000000"/>
          <w:sz w:val="24"/>
          <w:szCs w:val="24"/>
          <w:lang w:val="en-US"/>
        </w:rPr>
        <w:tab/>
      </w:r>
      <w:r>
        <w:rPr>
          <w:rFonts w:ascii="Times New Roman" w:hAnsi="Times New Roman" w:eastAsia="SimSun" w:cs="Times New Roman"/>
          <w:color w:val="000000"/>
          <w:sz w:val="24"/>
          <w:szCs w:val="24"/>
          <w:lang w:val="en-GB"/>
        </w:rPr>
        <w:t>(8)</w:t>
      </w:r>
    </w:p>
    <w:p>
      <w:pPr>
        <w:spacing w:line="480" w:lineRule="auto"/>
        <w:jc w:val="both"/>
        <w:rPr>
          <w:rFonts w:ascii="Times New Roman" w:hAnsi="Times New Roman" w:cs="Times New Roman"/>
          <w:sz w:val="24"/>
          <w:szCs w:val="24"/>
        </w:rPr>
      </w:pPr>
      <m:oMath>
        <m:sSup>
          <m:sSupPr>
            <m:ctrlPr>
              <w:rPr>
                <w:rFonts w:ascii="Cambria Math" w:hAnsi="Cambria Math" w:cs="Times New Roman"/>
                <w:i/>
                <w:sz w:val="24"/>
                <w:szCs w:val="24"/>
              </w:rPr>
            </m:ctrlPr>
          </m:sSupPr>
          <m:e>
            <m:r>
              <m:rPr/>
              <w:rPr>
                <w:rFonts w:ascii="Cambria Math" w:hAnsi="Cambria Math" w:cs="Times New Roman"/>
                <w:sz w:val="24"/>
                <w:szCs w:val="24"/>
              </w:rPr>
              <m:t>Adjusted R</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 xml:space="preserve">= 1−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w:rPr>
                        <w:rFonts w:ascii="Cambria Math" w:hAnsi="Cambria Math" w:cs="Times New Roman"/>
                        <w:sz w:val="24"/>
                        <w:szCs w:val="24"/>
                      </w:rPr>
                      <m:t>R</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d>
            <m:r>
              <m:rPr/>
              <w:rPr>
                <w:rFonts w:ascii="Cambria Math" w:hAnsi="Cambria Math" w:cs="Times New Roman"/>
                <w:sz w:val="24"/>
                <w:szCs w:val="24"/>
              </w:rPr>
              <m:t xml:space="preserve"> </m:t>
            </m:r>
            <m:r>
              <m:rPr>
                <m:sty m:val="p"/>
              </m:rPr>
              <w:rPr>
                <w:rFonts w:ascii="Cambria Math" w:hAnsi="Cambria Math" w:cs="Times New Roman"/>
                <w:sz w:val="24"/>
                <w:szCs w:val="24"/>
              </w:rPr>
              <m:t>x</m:t>
            </m:r>
            <m:r>
              <m:rPr/>
              <w:rPr>
                <w:rFonts w:ascii="Cambria Math" w:hAnsi="Cambria Math" w:cs="Times New Roman"/>
                <w:sz w:val="24"/>
                <w:szCs w:val="24"/>
              </w:rPr>
              <m:t xml:space="preserve"> </m:t>
            </m:r>
            <m:f>
              <m:fPr>
                <m:ctrlPr>
                  <w:rPr>
                    <w:rFonts w:ascii="Cambria Math" w:hAnsi="Cambria Math" w:cs="Times New Roman"/>
                    <w:i/>
                    <w:sz w:val="24"/>
                    <w:szCs w:val="24"/>
                  </w:rPr>
                </m:ctrlPr>
              </m:fPr>
              <m:num>
                <m:r>
                  <m:rPr/>
                  <w:rPr>
                    <w:rFonts w:ascii="Cambria Math" w:hAnsi="Cambria Math" w:cs="Times New Roman"/>
                    <w:sz w:val="24"/>
                    <w:szCs w:val="24"/>
                  </w:rPr>
                  <m:t>N−1</m:t>
                </m:r>
                <m:ctrlPr>
                  <w:rPr>
                    <w:rFonts w:ascii="Cambria Math" w:hAnsi="Cambria Math" w:cs="Times New Roman"/>
                    <w:i/>
                    <w:sz w:val="24"/>
                    <w:szCs w:val="24"/>
                  </w:rPr>
                </m:ctrlPr>
              </m:num>
              <m:den>
                <m:r>
                  <m:rPr/>
                  <w:rPr>
                    <w:rFonts w:ascii="Cambria Math" w:hAnsi="Cambria Math" w:cs="Times New Roman"/>
                    <w:sz w:val="24"/>
                    <w:szCs w:val="24"/>
                  </w:rPr>
                  <m:t>N−P−1</m:t>
                </m:r>
                <m:ctrlPr>
                  <w:rPr>
                    <w:rFonts w:ascii="Cambria Math" w:hAnsi="Cambria Math" w:cs="Times New Roman"/>
                    <w:i/>
                    <w:sz w:val="24"/>
                    <w:szCs w:val="24"/>
                  </w:rPr>
                </m:ctrlPr>
              </m:den>
            </m:f>
            <m:ctrlPr>
              <w:rPr>
                <w:rFonts w:ascii="Cambria Math" w:hAnsi="Cambria Math" w:cs="Times New Roman"/>
                <w:i/>
                <w:sz w:val="24"/>
                <w:szCs w:val="24"/>
              </w:rPr>
            </m:ctrlPr>
          </m:e>
        </m:d>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hint="default" w:ascii="Times New Roman" w:hAnsi="Times New Roman" w:cs="Times New Roman"/>
          <w:sz w:val="24"/>
          <w:szCs w:val="24"/>
          <w:lang w:val="en-US"/>
        </w:rPr>
        <w:tab/>
      </w:r>
      <w:r>
        <w:rPr>
          <w:rFonts w:ascii="Times New Roman" w:hAnsi="Times New Roman" w:cs="Times New Roman"/>
          <w:sz w:val="24"/>
          <w:szCs w:val="24"/>
        </w:rPr>
        <w:t>(</w:t>
      </w:r>
      <w:r>
        <w:rPr>
          <w:rFonts w:hint="default" w:ascii="Times New Roman" w:hAnsi="Times New Roman" w:cs="Times New Roman"/>
          <w:sz w:val="24"/>
          <w:szCs w:val="24"/>
          <w:lang w:val="en-GB"/>
        </w:rPr>
        <w:t>9</w:t>
      </w:r>
      <w:r>
        <w:rPr>
          <w:rFonts w:ascii="Times New Roman" w:hAnsi="Times New Roman" w:cs="Times New Roman"/>
          <w:sz w:val="24"/>
          <w:szCs w:val="24"/>
        </w:rPr>
        <w:t>)</w:t>
      </w:r>
    </w:p>
    <w:p>
      <w:pPr>
        <w:spacing w:line="480" w:lineRule="auto"/>
        <w:jc w:val="both"/>
        <w:rPr>
          <w:rFonts w:ascii="Times New Roman" w:hAnsi="Times New Roman" w:eastAsia="SimSun" w:cs="Times New Roman"/>
          <w:color w:val="000000"/>
          <w:sz w:val="24"/>
          <w:szCs w:val="24"/>
          <w:lang w:val="en-GB"/>
        </w:rPr>
      </w:pPr>
      <m:oMath>
        <m:r>
          <m:rPr>
            <m:sty m:val="p"/>
          </m:rPr>
          <w:rPr>
            <w:rFonts w:ascii="Cambria Math" w:hAnsi="Cambria Math" w:cs="Times New Roman"/>
            <w:sz w:val="24"/>
            <w:szCs w:val="24"/>
          </w:rPr>
          <m:t xml:space="preserve">SSE = </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y</m:t>
                        </m:r>
                        <m:ctrlPr>
                          <w:rPr>
                            <w:rFonts w:ascii="Cambria Math" w:hAnsi="Cambria Math" w:cs="Times New Roman"/>
                            <w:sz w:val="24"/>
                            <w:szCs w:val="24"/>
                          </w:rPr>
                        </m:ctrlPr>
                      </m:e>
                      <m:sub>
                        <m:r>
                          <m:rPr>
                            <m:sty m:val="p"/>
                          </m:rPr>
                          <w:rPr>
                            <w:rFonts w:ascii="Cambria Math" w:hAnsi="Cambria Math" w:cs="Times New Roman"/>
                            <w:sz w:val="24"/>
                            <w:szCs w:val="24"/>
                          </w:rPr>
                          <m:t>exp.</m:t>
                        </m:r>
                        <m:ctrlPr>
                          <w:rPr>
                            <w:rFonts w:ascii="Cambria Math" w:hAnsi="Cambria Math" w:cs="Times New Roman"/>
                            <w:sz w:val="24"/>
                            <w:szCs w:val="24"/>
                          </w:rPr>
                        </m:ctrlP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ctrlPr>
                          <w:rPr>
                            <w:rFonts w:ascii="Cambria Math" w:hAnsi="Cambria Math" w:cs="Times New Roman"/>
                            <w:sz w:val="24"/>
                            <w:szCs w:val="24"/>
                          </w:rPr>
                        </m:ctrlPr>
                      </m:e>
                    </m:acc>
                    <m:ctrlPr>
                      <w:rPr>
                        <w:rFonts w:ascii="Cambria Math" w:hAnsi="Cambria Math" w:cs="Times New Roman"/>
                        <w:sz w:val="24"/>
                        <w:szCs w:val="24"/>
                      </w:rPr>
                    </m:ctrlPr>
                  </m:e>
                </m:d>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ctrlPr>
              <w:rPr>
                <w:rFonts w:ascii="Cambria Math" w:hAnsi="Cambria Math" w:cs="Times New Roman"/>
                <w:sz w:val="24"/>
                <w:szCs w:val="24"/>
              </w:rPr>
            </m:ctrlPr>
          </m:e>
        </m:nary>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ascii="Times New Roman" w:hAnsi="Times New Roman" w:cs="Times New Roman"/>
          <w:sz w:val="24"/>
          <w:szCs w:val="24"/>
        </w:rPr>
        <w:t>(</w:t>
      </w:r>
      <w:r>
        <w:rPr>
          <w:rFonts w:hint="default" w:ascii="Times New Roman" w:hAnsi="Times New Roman" w:cs="Times New Roman"/>
          <w:sz w:val="24"/>
          <w:szCs w:val="24"/>
          <w:lang w:val="en-GB"/>
        </w:rPr>
        <w:t>10</w:t>
      </w:r>
      <w:r>
        <w:rPr>
          <w:rFonts w:ascii="Times New Roman" w:hAnsi="Times New Roman" w:cs="Times New Roman"/>
          <w:sz w:val="24"/>
          <w:szCs w:val="24"/>
        </w:rPr>
        <w:t>)</w:t>
      </w:r>
    </w:p>
    <w:p>
      <w:pPr>
        <w:spacing w:line="240" w:lineRule="auto"/>
        <w:jc w:val="both"/>
        <w:rPr>
          <w:rFonts w:hint="default" w:ascii="Times New Roman" w:hAnsi="Times New Roman" w:cs="Times New Roman"/>
          <w:b w:val="0"/>
          <w:bCs w:val="0"/>
          <w:sz w:val="26"/>
          <w:szCs w:val="26"/>
          <w:lang w:val="en-US"/>
        </w:rPr>
      </w:pPr>
      <w:r>
        <w:rPr>
          <w:rFonts w:ascii="Times New Roman" w:hAnsi="Times New Roman" w:eastAsia="SimSun" w:cs="Times New Roman"/>
          <w:color w:val="000000"/>
          <w:sz w:val="26"/>
          <w:szCs w:val="26"/>
          <w:lang w:val="en-GB"/>
        </w:rPr>
        <w:t>Where R is regression analysis</w:t>
      </w:r>
      <w:r>
        <w:rPr>
          <w:rFonts w:hint="default" w:ascii="Times New Roman" w:hAnsi="Times New Roman" w:eastAsia="SimSun" w:cs="Times New Roman"/>
          <w:color w:val="000000"/>
          <w:sz w:val="26"/>
          <w:szCs w:val="26"/>
          <w:lang w:val="en-GB"/>
        </w:rPr>
        <w:t xml:space="preserve">, </w:t>
      </w:r>
      <w:r>
        <w:rPr>
          <w:rFonts w:ascii="Times New Roman" w:hAnsi="Times New Roman" w:eastAsia="SimSun" w:cs="Times New Roman"/>
          <w:color w:val="000000"/>
          <w:sz w:val="26"/>
          <w:szCs w:val="26"/>
          <w:lang w:val="en-GB"/>
        </w:rPr>
        <w:t xml:space="preserve">RMSE is </w:t>
      </w:r>
      <w:r>
        <w:rPr>
          <w:rFonts w:hint="default" w:ascii="Times New Roman" w:hAnsi="Times New Roman" w:eastAsia="SimSun" w:cs="Times New Roman"/>
          <w:color w:val="000000"/>
          <w:sz w:val="26"/>
          <w:szCs w:val="26"/>
          <w:lang w:val="en-GB"/>
        </w:rPr>
        <w:t xml:space="preserve">the </w:t>
      </w:r>
      <w:r>
        <w:rPr>
          <w:rFonts w:ascii="Times New Roman" w:hAnsi="Times New Roman" w:eastAsia="SimSun" w:cs="Times New Roman"/>
          <w:color w:val="000000"/>
          <w:sz w:val="26"/>
          <w:szCs w:val="26"/>
          <w:lang w:val="en-GB"/>
        </w:rPr>
        <w:t>root mean square error</w:t>
      </w:r>
      <w:r>
        <w:rPr>
          <w:rFonts w:hint="default" w:ascii="Times New Roman" w:hAnsi="Times New Roman" w:eastAsia="SimSun" w:cs="Times New Roman"/>
          <w:color w:val="000000"/>
          <w:sz w:val="26"/>
          <w:szCs w:val="26"/>
          <w:lang w:val="en-GB"/>
        </w:rPr>
        <w:t>, SSE represent the sum of square error,</w:t>
      </w:r>
      <w:r>
        <w:rPr>
          <w:rFonts w:ascii="Times New Roman" w:hAnsi="Times New Roman" w:eastAsia="SimSun" w:cs="Times New Roman"/>
          <w:color w:val="000000"/>
          <w:sz w:val="26"/>
          <w:szCs w:val="26"/>
          <w:lang w:val="en-GB"/>
        </w:rPr>
        <w:t xml:space="preserve"> N </w:t>
      </w:r>
      <w:r>
        <w:rPr>
          <w:rFonts w:hint="default" w:ascii="Times New Roman" w:hAnsi="Times New Roman" w:eastAsia="SimSun" w:cs="Times New Roman"/>
          <w:color w:val="000000"/>
          <w:sz w:val="26"/>
          <w:szCs w:val="26"/>
          <w:lang w:val="en-GB"/>
        </w:rPr>
        <w:t>denotes</w:t>
      </w:r>
      <w:r>
        <w:rPr>
          <w:rFonts w:ascii="Times New Roman" w:hAnsi="Times New Roman" w:eastAsia="SimSun" w:cs="Times New Roman"/>
          <w:color w:val="000000"/>
          <w:sz w:val="26"/>
          <w:szCs w:val="26"/>
          <w:lang w:val="en-GB"/>
        </w:rPr>
        <w:t xml:space="preserve"> the number of data points</w:t>
      </w:r>
      <w:r>
        <w:rPr>
          <w:rFonts w:hint="default" w:ascii="Times New Roman" w:hAnsi="Times New Roman" w:eastAsia="SimSun" w:cs="Times New Roman"/>
          <w:color w:val="000000"/>
          <w:sz w:val="26"/>
          <w:szCs w:val="26"/>
          <w:lang w:val="en-GB"/>
        </w:rPr>
        <w:t xml:space="preserve">, P is the number of variables, while </w:t>
      </w:r>
      <w:r>
        <w:rPr>
          <w:rFonts w:ascii="Times New Roman" w:hAnsi="Times New Roman" w:eastAsia="SimSun" w:cs="Times New Roman"/>
          <w:color w:val="000000"/>
          <w:sz w:val="26"/>
          <w:szCs w:val="26"/>
          <w:lang w:val="en-GB"/>
        </w:rPr>
        <w:t>y</w:t>
      </w:r>
      <w:r>
        <w:rPr>
          <w:rFonts w:ascii="Times New Roman" w:hAnsi="Times New Roman" w:eastAsia="SimSun" w:cs="Times New Roman"/>
          <w:i/>
          <w:color w:val="000000"/>
          <w:sz w:val="26"/>
          <w:szCs w:val="26"/>
          <w:vertAlign w:val="subscript"/>
          <w:lang w:val="en-GB"/>
        </w:rPr>
        <w:t>pred.(i</w:t>
      </w:r>
      <w:r>
        <w:rPr>
          <w:rFonts w:ascii="Times New Roman" w:hAnsi="Times New Roman" w:eastAsia="SimSun" w:cs="Times New Roman"/>
          <w:color w:val="000000"/>
          <w:sz w:val="26"/>
          <w:szCs w:val="26"/>
          <w:vertAlign w:val="subscript"/>
          <w:lang w:val="en-GB"/>
        </w:rPr>
        <w:t xml:space="preserve">) </w:t>
      </w:r>
      <w:r>
        <w:rPr>
          <w:rFonts w:ascii="Times New Roman" w:hAnsi="Times New Roman" w:eastAsia="SimSun" w:cs="Times New Roman"/>
          <w:color w:val="000000"/>
          <w:sz w:val="26"/>
          <w:szCs w:val="26"/>
          <w:lang w:val="en-GB"/>
        </w:rPr>
        <w:t xml:space="preserve">is the </w:t>
      </w:r>
      <w:r>
        <w:rPr>
          <w:rFonts w:hint="default" w:ascii="Times New Roman" w:hAnsi="Times New Roman" w:eastAsia="SimSun" w:cs="Times New Roman"/>
          <w:color w:val="000000"/>
          <w:sz w:val="26"/>
          <w:szCs w:val="26"/>
          <w:lang w:val="en-US"/>
        </w:rPr>
        <w:t>model</w:t>
      </w:r>
      <w:r>
        <w:rPr>
          <w:rFonts w:ascii="Times New Roman" w:hAnsi="Times New Roman" w:eastAsia="SimSun" w:cs="Times New Roman"/>
          <w:color w:val="000000"/>
          <w:sz w:val="26"/>
          <w:szCs w:val="26"/>
          <w:lang w:val="en-GB"/>
        </w:rPr>
        <w:t xml:space="preserve"> prediction</w:t>
      </w:r>
      <w:r>
        <w:rPr>
          <w:rFonts w:hint="default" w:ascii="Times New Roman" w:hAnsi="Times New Roman" w:eastAsia="SimSun" w:cs="Times New Roman"/>
          <w:color w:val="000000"/>
          <w:sz w:val="26"/>
          <w:szCs w:val="26"/>
          <w:lang w:val="en-GB"/>
        </w:rPr>
        <w:t xml:space="preserve">, </w:t>
      </w:r>
      <w:r>
        <w:rPr>
          <w:rFonts w:ascii="Times New Roman" w:hAnsi="Times New Roman" w:eastAsia="SimSun" w:cs="Times New Roman"/>
          <w:color w:val="000000"/>
          <w:sz w:val="26"/>
          <w:szCs w:val="26"/>
          <w:lang w:val="en-GB"/>
        </w:rPr>
        <w:t>y</w:t>
      </w:r>
      <w:r>
        <w:rPr>
          <w:rFonts w:ascii="Times New Roman" w:hAnsi="Times New Roman" w:eastAsia="SimSun" w:cs="Times New Roman"/>
          <w:i/>
          <w:iCs/>
          <w:color w:val="000000"/>
          <w:sz w:val="26"/>
          <w:szCs w:val="26"/>
          <w:vertAlign w:val="subscript"/>
          <w:lang w:val="en-GB"/>
        </w:rPr>
        <w:t>exp.</w:t>
      </w:r>
      <w:r>
        <w:rPr>
          <w:rFonts w:ascii="Times New Roman" w:hAnsi="Times New Roman" w:eastAsia="SimSun" w:cs="Times New Roman"/>
          <w:color w:val="000000"/>
          <w:sz w:val="26"/>
          <w:szCs w:val="26"/>
          <w:vertAlign w:val="subscript"/>
          <w:lang w:val="en-GB"/>
        </w:rPr>
        <w:t>(i)</w:t>
      </w:r>
      <w:r>
        <w:rPr>
          <w:rFonts w:ascii="Times New Roman" w:hAnsi="Times New Roman" w:eastAsia="SimSun" w:cs="Times New Roman"/>
          <w:color w:val="000000"/>
          <w:sz w:val="26"/>
          <w:szCs w:val="26"/>
          <w:lang w:val="en-GB"/>
        </w:rPr>
        <w:t xml:space="preserve"> is the actual experimental response</w:t>
      </w:r>
      <w:r>
        <w:rPr>
          <w:rFonts w:hint="default" w:ascii="Times New Roman" w:hAnsi="Times New Roman" w:eastAsia="SimSun" w:cs="Times New Roman"/>
          <w:color w:val="000000"/>
          <w:sz w:val="26"/>
          <w:szCs w:val="26"/>
          <w:lang w:val="en-GB"/>
        </w:rPr>
        <w:t xml:space="preserve">, </w:t>
      </w:r>
      <w:r>
        <w:rPr>
          <w:rFonts w:ascii="Times New Roman" w:hAnsi="Times New Roman" w:eastAsia="SimSun" w:cs="Times New Roman"/>
          <w:color w:val="000000"/>
          <w:sz w:val="26"/>
          <w:szCs w:val="26"/>
          <w:lang w:val="en-GB"/>
        </w:rPr>
        <w:t>y</w:t>
      </w:r>
      <w:r>
        <w:rPr>
          <w:rFonts w:ascii="Times New Roman" w:hAnsi="Times New Roman" w:eastAsia="SimSun" w:cs="Times New Roman"/>
          <w:i/>
          <w:iCs/>
          <w:color w:val="000000"/>
          <w:sz w:val="26"/>
          <w:szCs w:val="26"/>
          <w:vertAlign w:val="subscript"/>
          <w:lang w:val="en-GB"/>
        </w:rPr>
        <w:t>exp.ave.</w:t>
      </w:r>
      <w:r>
        <w:rPr>
          <w:rFonts w:ascii="Times New Roman" w:hAnsi="Times New Roman" w:eastAsia="SimSun" w:cs="Times New Roman"/>
          <w:color w:val="000000"/>
          <w:sz w:val="26"/>
          <w:szCs w:val="26"/>
          <w:lang w:val="en-GB"/>
        </w:rPr>
        <w:t xml:space="preserve"> is the mean value of experimental data</w:t>
      </w:r>
      <w:r>
        <w:rPr>
          <w:rFonts w:hint="default" w:ascii="Times New Roman" w:hAnsi="Times New Roman" w:eastAsia="SimSun" w:cs="Times New Roman"/>
          <w:color w:val="000000"/>
          <w:sz w:val="26"/>
          <w:szCs w:val="26"/>
          <w:lang w:val="en-GB"/>
        </w:rPr>
        <w:t xml:space="preserve">, and </w:t>
      </w:r>
      <w:r>
        <w:rPr>
          <w:rFonts w:ascii="Times New Roman" w:hAnsi="Times New Roman" w:eastAsia="SimSun" w:cs="Times New Roman"/>
          <w:color w:val="000000"/>
          <w:sz w:val="26"/>
          <w:szCs w:val="26"/>
          <w:lang w:val="en-GB"/>
        </w:rPr>
        <w:t>i is the data index</w:t>
      </w:r>
      <w:r>
        <w:rPr>
          <w:rFonts w:hint="default" w:ascii="Times New Roman" w:hAnsi="Times New Roman" w:eastAsia="SimSun" w:cs="Times New Roman"/>
          <w:color w:val="000000"/>
          <w:sz w:val="26"/>
          <w:szCs w:val="26"/>
          <w:lang w:val="en-US"/>
        </w:rPr>
        <w:t>.</w:t>
      </w:r>
    </w:p>
    <w:p>
      <w:pPr>
        <w:keepNext w:val="0"/>
        <w:keepLines w:val="0"/>
        <w:pageBreakBefore w:val="0"/>
        <w:widowControl/>
        <w:kinsoku/>
        <w:wordWrap/>
        <w:overflowPunct/>
        <w:topLinePunct w:val="0"/>
        <w:autoSpaceDE/>
        <w:autoSpaceDN/>
        <w:bidi w:val="0"/>
        <w:adjustRightInd/>
        <w:snapToGrid/>
        <w:spacing w:before="541" w:beforeLines="150" w:after="541" w:afterLines="150" w:line="240" w:lineRule="auto"/>
        <w:jc w:val="left"/>
        <w:textAlignment w:val="auto"/>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2.2.6 Assay Studies</w:t>
      </w:r>
    </w:p>
    <w:p>
      <w:pPr>
        <w:keepNext w:val="0"/>
        <w:keepLines w:val="0"/>
        <w:pageBreakBefore w:val="0"/>
        <w:widowControl/>
        <w:kinsoku/>
        <w:wordWrap/>
        <w:overflowPunct/>
        <w:topLinePunct w:val="0"/>
        <w:autoSpaceDE/>
        <w:autoSpaceDN/>
        <w:bidi w:val="0"/>
        <w:adjustRightInd/>
        <w:snapToGrid/>
        <w:spacing w:before="541" w:beforeLines="150" w:after="181" w:afterLines="50" w:line="360" w:lineRule="auto"/>
        <w:jc w:val="left"/>
        <w:textAlignment w:val="auto"/>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The assay studies was done to determine the antimicrobial inhibition of the biofilm on tomato juice.</w:t>
      </w:r>
    </w:p>
    <w:p>
      <w:pPr>
        <w:keepNext w:val="0"/>
        <w:keepLines w:val="0"/>
        <w:pageBreakBefore w:val="0"/>
        <w:widowControl/>
        <w:kinsoku/>
        <w:wordWrap/>
        <w:overflowPunct/>
        <w:topLinePunct w:val="0"/>
        <w:autoSpaceDE/>
        <w:autoSpaceDN/>
        <w:bidi w:val="0"/>
        <w:adjustRightInd/>
        <w:snapToGrid/>
        <w:spacing w:after="361" w:afterLines="100" w:line="360" w:lineRule="auto"/>
        <w:jc w:val="left"/>
        <w:textAlignment w:val="auto"/>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2.2.6.1 Agar well diffusion</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 xml:space="preserve">The antimicrobial activity of chitosan, </w:t>
      </w:r>
      <w:r>
        <w:rPr>
          <w:rFonts w:hint="default" w:ascii="Times New Roman" w:hAnsi="Times New Roman" w:cs="Times New Roman"/>
          <w:b w:val="0"/>
          <w:bCs w:val="0"/>
          <w:i/>
          <w:iCs/>
          <w:sz w:val="26"/>
          <w:szCs w:val="26"/>
          <w:lang w:val="en-GB"/>
        </w:rPr>
        <w:t>MOLE</w:t>
      </w:r>
      <w:r>
        <w:rPr>
          <w:rFonts w:hint="default" w:ascii="Times New Roman" w:hAnsi="Times New Roman" w:cs="Times New Roman"/>
          <w:b w:val="0"/>
          <w:bCs w:val="0"/>
          <w:sz w:val="26"/>
          <w:szCs w:val="26"/>
          <w:lang w:val="en-GB"/>
        </w:rPr>
        <w:t xml:space="preserve"> and </w:t>
      </w:r>
      <w:r>
        <w:rPr>
          <w:rFonts w:hint="default" w:ascii="Times New Roman" w:hAnsi="Times New Roman" w:cs="Times New Roman"/>
          <w:b w:val="0"/>
          <w:bCs w:val="0"/>
          <w:i/>
          <w:iCs/>
          <w:sz w:val="26"/>
          <w:szCs w:val="26"/>
          <w:lang w:val="en-GB"/>
        </w:rPr>
        <w:t>MOCEB</w:t>
      </w:r>
      <w:r>
        <w:rPr>
          <w:rFonts w:hint="default" w:ascii="Times New Roman" w:hAnsi="Times New Roman" w:cs="Times New Roman"/>
          <w:b w:val="0"/>
          <w:bCs w:val="0"/>
          <w:sz w:val="26"/>
          <w:szCs w:val="26"/>
          <w:lang w:val="en-GB"/>
        </w:rPr>
        <w:t xml:space="preserve"> were accessed using agar well diffusion method. The procedure a</w:t>
      </w:r>
      <w:r>
        <w:rPr>
          <w:rFonts w:hint="default" w:ascii="Times New Roman" w:hAnsi="Times New Roman" w:cs="Times New Roman"/>
          <w:b w:val="0"/>
          <w:bCs w:val="0"/>
          <w:sz w:val="26"/>
          <w:szCs w:val="26"/>
          <w:lang w:val="en-US"/>
        </w:rPr>
        <w:t>dopted</w:t>
      </w:r>
      <w:r>
        <w:rPr>
          <w:rFonts w:hint="default" w:ascii="Times New Roman" w:hAnsi="Times New Roman" w:cs="Times New Roman"/>
          <w:b w:val="0"/>
          <w:bCs w:val="0"/>
          <w:sz w:val="26"/>
          <w:szCs w:val="26"/>
          <w:lang w:val="en-GB"/>
        </w:rPr>
        <w:t xml:space="preserve"> in the work has been previously reported by other researchers</w:t>
      </w:r>
      <w:r>
        <w:rPr>
          <w:rFonts w:hint="default" w:ascii="Times New Roman" w:hAnsi="Times New Roman" w:cs="Times New Roman"/>
          <w:b w:val="0"/>
          <w:bCs w:val="0"/>
          <w:sz w:val="26"/>
          <w:szCs w:val="26"/>
          <w:lang w:val="en-US"/>
        </w:rPr>
        <w:t xml:space="preserve"> </w:t>
      </w:r>
      <w:r>
        <w:rPr>
          <w:rFonts w:hint="default" w:ascii="Times New Roman" w:hAnsi="Times New Roman" w:cs="Times New Roman"/>
          <w:b w:val="0"/>
          <w:bCs w:val="0"/>
          <w:sz w:val="26"/>
          <w:szCs w:val="26"/>
          <w:lang w:val="en-US"/>
        </w:rPr>
        <w:fldChar w:fldCharType="begin"/>
      </w:r>
      <w:r>
        <w:rPr>
          <w:rFonts w:hint="default" w:ascii="Times New Roman" w:hAnsi="Times New Roman" w:cs="Times New Roman"/>
          <w:b w:val="0"/>
          <w:bCs w:val="0"/>
          <w:sz w:val="26"/>
          <w:szCs w:val="26"/>
          <w:lang w:val="en-US"/>
        </w:rPr>
        <w:instrText xml:space="preserve"> ADDIN EN.CITE </w:instrText>
      </w:r>
      <w:r>
        <w:rPr>
          <w:rFonts w:hint="default" w:ascii="Times New Roman" w:hAnsi="Times New Roman" w:cs="Times New Roman"/>
          <w:b w:val="0"/>
          <w:bCs w:val="0"/>
          <w:sz w:val="26"/>
          <w:szCs w:val="26"/>
          <w:lang w:val="en-US"/>
        </w:rPr>
        <w:fldChar w:fldCharType="begin">
          <w:fldData xml:space="preserve">PEVuZE5vdGU+PENpdGU+PEF1dGhvcj5BaG1hZHBvdXIgS2VybWFuaTwvQXV0aG9yPjxZZWFyPjIw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==
</w:fldData>
        </w:fldChar>
      </w:r>
      <w:r>
        <w:rPr>
          <w:rFonts w:hint="default" w:ascii="Times New Roman" w:hAnsi="Times New Roman" w:cs="Times New Roman"/>
          <w:b w:val="0"/>
          <w:bCs w:val="0"/>
          <w:sz w:val="26"/>
          <w:szCs w:val="26"/>
          <w:lang w:val="en-US"/>
        </w:rPr>
        <w:instrText xml:space="preserve"> ADDIN EN.CITE.DATA </w:instrText>
      </w:r>
      <w:r>
        <w:rPr>
          <w:rFonts w:hint="default" w:ascii="Times New Roman" w:hAnsi="Times New Roman" w:cs="Times New Roman"/>
          <w:b w:val="0"/>
          <w:bCs w:val="0"/>
          <w:sz w:val="26"/>
          <w:szCs w:val="26"/>
          <w:lang w:val="en-US"/>
        </w:rPr>
        <w:fldChar w:fldCharType="separate"/>
      </w:r>
      <w:r>
        <w:rPr>
          <w:rFonts w:hint="default" w:ascii="Times New Roman" w:hAnsi="Times New Roman" w:cs="Times New Roman"/>
          <w:b w:val="0"/>
          <w:bCs w:val="0"/>
          <w:sz w:val="26"/>
          <w:szCs w:val="26"/>
          <w:lang w:val="en-US"/>
        </w:rPr>
        <w:fldChar w:fldCharType="end"/>
      </w:r>
      <w:r>
        <w:rPr>
          <w:rFonts w:hint="default" w:ascii="Times New Roman" w:hAnsi="Times New Roman" w:cs="Times New Roman"/>
          <w:b w:val="0"/>
          <w:bCs w:val="0"/>
          <w:sz w:val="26"/>
          <w:szCs w:val="26"/>
          <w:lang w:val="en-US"/>
        </w:rPr>
        <w:fldChar w:fldCharType="separate"/>
      </w:r>
      <w:r>
        <w:rPr>
          <w:rFonts w:hint="default" w:ascii="Times New Roman" w:hAnsi="Times New Roman" w:cs="Times New Roman" w:eastAsiaTheme="minorEastAsia"/>
          <w:b w:val="0"/>
          <w:bCs w:val="0"/>
          <w:sz w:val="26"/>
          <w:szCs w:val="26"/>
          <w:lang w:val="en-US" w:eastAsia="zh-CN" w:bidi="ar-SA"/>
        </w:rPr>
        <w:t>(Ahmadpour Kermani et al., 2021, Vijayakumar et al., 2020, Walia et al., 2020)</w:t>
      </w:r>
      <w:r>
        <w:rPr>
          <w:rFonts w:hint="default" w:ascii="Times New Roman" w:hAnsi="Times New Roman" w:cs="Times New Roman"/>
          <w:b w:val="0"/>
          <w:bCs w:val="0"/>
          <w:sz w:val="26"/>
          <w:szCs w:val="26"/>
          <w:lang w:val="en-US"/>
        </w:rPr>
        <w:fldChar w:fldCharType="end"/>
      </w:r>
      <w:r>
        <w:rPr>
          <w:rFonts w:hint="default" w:ascii="Times New Roman" w:hAnsi="Times New Roman" w:cs="Times New Roman"/>
          <w:b w:val="0"/>
          <w:bCs w:val="0"/>
          <w:sz w:val="26"/>
          <w:szCs w:val="26"/>
          <w:lang w:val="en-GB"/>
        </w:rPr>
        <w:t>. The microbial cultures used were two gram positive species (</w:t>
      </w:r>
      <w:r>
        <w:rPr>
          <w:rFonts w:hint="default" w:ascii="Times New Roman" w:hAnsi="Times New Roman" w:cs="Times New Roman"/>
          <w:b w:val="0"/>
          <w:bCs w:val="0"/>
          <w:i/>
          <w:iCs/>
          <w:sz w:val="26"/>
          <w:szCs w:val="26"/>
          <w:lang w:val="en-US"/>
        </w:rPr>
        <w:t>S. aureus and B. cereus</w:t>
      </w:r>
      <w:r>
        <w:rPr>
          <w:rFonts w:hint="default" w:ascii="Times New Roman" w:hAnsi="Times New Roman" w:cs="Times New Roman"/>
          <w:b w:val="0"/>
          <w:bCs w:val="0"/>
          <w:sz w:val="26"/>
          <w:szCs w:val="26"/>
          <w:lang w:val="en-GB"/>
        </w:rPr>
        <w:t>) and two gram negative (</w:t>
      </w:r>
      <w:r>
        <w:rPr>
          <w:rFonts w:hint="default" w:ascii="Times New Roman" w:hAnsi="Times New Roman" w:cs="Times New Roman"/>
          <w:b w:val="0"/>
          <w:bCs w:val="0"/>
          <w:i/>
          <w:iCs/>
          <w:sz w:val="26"/>
          <w:szCs w:val="26"/>
          <w:lang w:val="en-US"/>
        </w:rPr>
        <w:t>E. coli and S. typhi</w:t>
      </w:r>
      <w:r>
        <w:rPr>
          <w:rFonts w:hint="default" w:ascii="Times New Roman" w:hAnsi="Times New Roman" w:cs="Times New Roman"/>
          <w:b w:val="0"/>
          <w:bCs w:val="0"/>
          <w:sz w:val="26"/>
          <w:szCs w:val="26"/>
          <w:lang w:val="en-GB"/>
        </w:rPr>
        <w:t>)</w:t>
      </w:r>
      <w:r>
        <w:rPr>
          <w:rFonts w:hint="default" w:ascii="Times New Roman" w:hAnsi="Times New Roman" w:cs="Times New Roman"/>
          <w:b w:val="0"/>
          <w:bCs w:val="0"/>
          <w:sz w:val="26"/>
          <w:szCs w:val="26"/>
          <w:lang w:val="en-US"/>
        </w:rPr>
        <w:t xml:space="preserve"> species</w:t>
      </w:r>
      <w:r>
        <w:rPr>
          <w:rFonts w:hint="default" w:ascii="Times New Roman" w:hAnsi="Times New Roman" w:cs="Times New Roman"/>
          <w:b w:val="0"/>
          <w:bCs w:val="0"/>
          <w:sz w:val="26"/>
          <w:szCs w:val="26"/>
          <w:lang w:val="en-GB"/>
        </w:rPr>
        <w:t>. A suspension containing 1.6</w:t>
      </w:r>
      <w:r>
        <w:rPr>
          <w:rFonts w:hint="default" w:ascii="Arial" w:hAnsi="Arial" w:cs="Arial"/>
          <w:b w:val="0"/>
          <w:bCs w:val="0"/>
          <w:sz w:val="26"/>
          <w:szCs w:val="26"/>
          <w:lang w:val="en-GB"/>
        </w:rPr>
        <w:t>×</w:t>
      </w:r>
      <w:r>
        <w:rPr>
          <w:rFonts w:hint="default" w:ascii="Times New Roman" w:hAnsi="Times New Roman" w:cs="Times New Roman"/>
          <w:b w:val="0"/>
          <w:bCs w:val="0"/>
          <w:sz w:val="26"/>
          <w:szCs w:val="26"/>
          <w:lang w:val="en-GB"/>
        </w:rPr>
        <w:t>10</w:t>
      </w:r>
      <w:r>
        <w:rPr>
          <w:rFonts w:hint="default" w:ascii="Times New Roman" w:hAnsi="Times New Roman" w:cs="Times New Roman"/>
          <w:b w:val="0"/>
          <w:bCs w:val="0"/>
          <w:sz w:val="26"/>
          <w:szCs w:val="26"/>
          <w:vertAlign w:val="superscript"/>
          <w:lang w:val="en-GB"/>
        </w:rPr>
        <w:t>3</w:t>
      </w:r>
      <w:r>
        <w:rPr>
          <w:rFonts w:hint="default" w:ascii="Times New Roman" w:hAnsi="Times New Roman" w:cs="Times New Roman"/>
          <w:b w:val="0"/>
          <w:bCs w:val="0"/>
          <w:sz w:val="26"/>
          <w:szCs w:val="26"/>
          <w:lang w:val="en-GB"/>
        </w:rPr>
        <w:t xml:space="preserve"> cells/m of each bacteria species was cultured on the tomato agar medium. Then, six millimetre walls were created in the agar medium using sterile cork borer. Equal volume (30µl) of </w:t>
      </w:r>
      <w:r>
        <w:rPr>
          <w:rFonts w:hint="default" w:ascii="Times New Roman" w:hAnsi="Times New Roman" w:cs="Times New Roman"/>
          <w:b w:val="0"/>
          <w:bCs w:val="0"/>
          <w:sz w:val="26"/>
          <w:szCs w:val="26"/>
          <w:lang w:val="en-US"/>
        </w:rPr>
        <w:t>varying</w:t>
      </w:r>
      <w:r>
        <w:rPr>
          <w:rFonts w:hint="default" w:ascii="Times New Roman" w:hAnsi="Times New Roman" w:cs="Times New Roman"/>
          <w:b w:val="0"/>
          <w:bCs w:val="0"/>
          <w:sz w:val="26"/>
          <w:szCs w:val="26"/>
          <w:lang w:val="en-GB"/>
        </w:rPr>
        <w:t xml:space="preserve"> concentration (25, 50, 75 100</w:t>
      </w:r>
      <w:r>
        <w:rPr>
          <w:rFonts w:hint="default" w:ascii="Times New Roman" w:hAnsi="Times New Roman" w:cs="Times New Roman"/>
          <w:b w:val="0"/>
          <w:bCs w:val="0"/>
          <w:sz w:val="26"/>
          <w:szCs w:val="26"/>
          <w:lang w:val="en-US"/>
        </w:rPr>
        <w:t xml:space="preserve"> </w:t>
      </w:r>
      <w:r>
        <w:rPr>
          <w:rFonts w:hint="default" w:ascii="Times New Roman" w:hAnsi="Times New Roman" w:cs="Times New Roman"/>
          <w:b w:val="0"/>
          <w:bCs w:val="0"/>
          <w:sz w:val="26"/>
          <w:szCs w:val="26"/>
          <w:lang w:val="en-GB"/>
        </w:rPr>
        <w:t>mg/m</w:t>
      </w:r>
      <w:r>
        <w:rPr>
          <w:rFonts w:hint="default" w:ascii="Times New Roman" w:hAnsi="Times New Roman" w:cs="Times New Roman"/>
          <w:b w:val="0"/>
          <w:bCs w:val="0"/>
          <w:sz w:val="26"/>
          <w:szCs w:val="26"/>
          <w:lang w:val="en-US"/>
        </w:rPr>
        <w:t>L</w:t>
      </w:r>
      <w:r>
        <w:rPr>
          <w:rFonts w:hint="default" w:ascii="Times New Roman" w:hAnsi="Times New Roman" w:cs="Times New Roman"/>
          <w:b w:val="0"/>
          <w:bCs w:val="0"/>
          <w:sz w:val="26"/>
          <w:szCs w:val="26"/>
          <w:lang w:val="en-GB"/>
        </w:rPr>
        <w:t>) of the inhibitors and positive control (gentimicin) were delivered into the wells. The medium was incubated for 24hr at 37 ± 0.5</w:t>
      </w:r>
      <w:r>
        <w:rPr>
          <w:rFonts w:hint="default" w:ascii="Times New Roman" w:hAnsi="Times New Roman" w:cs="Times New Roman"/>
          <w:b w:val="0"/>
          <w:bCs w:val="0"/>
          <w:sz w:val="26"/>
          <w:szCs w:val="26"/>
          <w:lang w:val="en-US"/>
        </w:rPr>
        <w:t xml:space="preserve"> </w:t>
      </w:r>
      <w:r>
        <w:rPr>
          <w:rFonts w:hint="default" w:ascii="Times New Roman" w:hAnsi="Times New Roman" w:cs="Times New Roman"/>
          <w:b w:val="0"/>
          <w:bCs w:val="0"/>
          <w:sz w:val="26"/>
          <w:szCs w:val="26"/>
          <w:vertAlign w:val="superscript"/>
          <w:lang w:val="en-GB"/>
        </w:rPr>
        <w:t>o</w:t>
      </w:r>
      <w:r>
        <w:rPr>
          <w:rFonts w:hint="default" w:ascii="Times New Roman" w:hAnsi="Times New Roman" w:cs="Times New Roman"/>
          <w:b w:val="0"/>
          <w:bCs w:val="0"/>
          <w:sz w:val="26"/>
          <w:szCs w:val="26"/>
          <w:lang w:val="en-GB"/>
        </w:rPr>
        <w:t xml:space="preserve">C to allow for full development bacteria growth and inhibition zone. </w:t>
      </w:r>
      <w:r>
        <w:rPr>
          <w:rFonts w:hint="default" w:ascii="Times New Roman" w:hAnsi="Times New Roman" w:cs="Times New Roman"/>
          <w:b w:val="0"/>
          <w:bCs w:val="0"/>
          <w:sz w:val="26"/>
          <w:szCs w:val="26"/>
          <w:lang w:val="en-US"/>
        </w:rPr>
        <w:t>I</w:t>
      </w:r>
      <w:r>
        <w:rPr>
          <w:rFonts w:hint="default" w:ascii="Times New Roman" w:hAnsi="Times New Roman" w:cs="Times New Roman"/>
          <w:b w:val="0"/>
          <w:bCs w:val="0"/>
          <w:sz w:val="26"/>
          <w:szCs w:val="26"/>
          <w:lang w:val="en-GB"/>
        </w:rPr>
        <w:t xml:space="preserve">nhibitory efficiency was determined by measuring the annular diameter (inhibition zone) to get a reflection of the inhibition potency of each inhibitor (chitosan, </w:t>
      </w:r>
      <w:r>
        <w:rPr>
          <w:rFonts w:hint="default" w:ascii="Times New Roman" w:hAnsi="Times New Roman" w:cs="Times New Roman"/>
          <w:b w:val="0"/>
          <w:bCs w:val="0"/>
          <w:i/>
          <w:iCs/>
          <w:sz w:val="26"/>
          <w:szCs w:val="26"/>
          <w:lang w:val="en-GB"/>
        </w:rPr>
        <w:t>MOLE</w:t>
      </w:r>
      <w:r>
        <w:rPr>
          <w:rFonts w:hint="default" w:ascii="Times New Roman" w:hAnsi="Times New Roman" w:cs="Times New Roman"/>
          <w:b w:val="0"/>
          <w:bCs w:val="0"/>
          <w:sz w:val="26"/>
          <w:szCs w:val="26"/>
          <w:lang w:val="en-GB"/>
        </w:rPr>
        <w:t xml:space="preserve">, </w:t>
      </w:r>
      <w:r>
        <w:rPr>
          <w:rFonts w:hint="default" w:ascii="Times New Roman" w:hAnsi="Times New Roman" w:cs="Times New Roman"/>
          <w:b w:val="0"/>
          <w:bCs w:val="0"/>
          <w:i/>
          <w:iCs/>
          <w:sz w:val="26"/>
          <w:szCs w:val="26"/>
          <w:lang w:val="en-GB"/>
        </w:rPr>
        <w:t>MOCEB</w:t>
      </w:r>
      <w:r>
        <w:rPr>
          <w:rFonts w:hint="default" w:ascii="Times New Roman" w:hAnsi="Times New Roman" w:cs="Times New Roman"/>
          <w:b w:val="0"/>
          <w:bCs w:val="0"/>
          <w:sz w:val="26"/>
          <w:szCs w:val="26"/>
          <w:lang w:val="en-GB"/>
        </w:rPr>
        <w:t>) and the gentimicin positive control. The report of this antimicrobial assay was discussed in details (s</w:t>
      </w:r>
      <w:r>
        <w:rPr>
          <w:rFonts w:hint="default" w:ascii="Times New Roman" w:hAnsi="Times New Roman" w:cs="Times New Roman"/>
          <w:b w:val="0"/>
          <w:bCs w:val="0"/>
          <w:sz w:val="26"/>
          <w:szCs w:val="26"/>
          <w:lang w:val="en-US"/>
        </w:rPr>
        <w:t>e</w:t>
      </w:r>
      <w:r>
        <w:rPr>
          <w:rFonts w:hint="default" w:ascii="Times New Roman" w:hAnsi="Times New Roman" w:cs="Times New Roman"/>
          <w:b w:val="0"/>
          <w:bCs w:val="0"/>
          <w:sz w:val="26"/>
          <w:szCs w:val="26"/>
          <w:lang w:val="en-GB"/>
        </w:rPr>
        <w:t>e section</w:t>
      </w:r>
      <w:r>
        <w:rPr>
          <w:rFonts w:hint="default" w:ascii="Times New Roman" w:hAnsi="Times New Roman" w:cs="Times New Roman"/>
          <w:b w:val="0"/>
          <w:bCs w:val="0"/>
          <w:sz w:val="26"/>
          <w:szCs w:val="26"/>
          <w:lang w:val="en-US"/>
        </w:rPr>
        <w:t xml:space="preserve"> 3.41</w:t>
      </w:r>
      <w:r>
        <w:rPr>
          <w:rFonts w:hint="default" w:ascii="Times New Roman" w:hAnsi="Times New Roman" w:cs="Times New Roman"/>
          <w:b w:val="0"/>
          <w:bCs w:val="0"/>
          <w:sz w:val="26"/>
          <w:szCs w:val="26"/>
          <w:lang w:val="en-GB"/>
        </w:rPr>
        <w:t xml:space="preserve">).   </w:t>
      </w:r>
    </w:p>
    <w:p>
      <w:pPr>
        <w:keepNext w:val="0"/>
        <w:keepLines w:val="0"/>
        <w:pageBreakBefore w:val="0"/>
        <w:widowControl/>
        <w:kinsoku/>
        <w:wordWrap/>
        <w:overflowPunct/>
        <w:topLinePunct w:val="0"/>
        <w:autoSpaceDE/>
        <w:autoSpaceDN/>
        <w:bidi w:val="0"/>
        <w:adjustRightInd/>
        <w:snapToGrid/>
        <w:spacing w:after="361" w:afterLines="100" w:line="360" w:lineRule="auto"/>
        <w:jc w:val="left"/>
        <w:textAlignment w:val="auto"/>
        <w:rPr>
          <w:rFonts w:hint="default" w:ascii="Times New Roman" w:hAnsi="Times New Roman" w:cs="Times New Roman"/>
          <w:b w:val="0"/>
          <w:bCs w:val="0"/>
          <w:sz w:val="26"/>
          <w:szCs w:val="26"/>
          <w:lang w:val="en-GB"/>
        </w:rPr>
      </w:pPr>
      <w:r>
        <w:rPr>
          <w:rFonts w:hint="default" w:ascii="Times New Roman" w:hAnsi="Times New Roman" w:cs="Times New Roman"/>
          <w:b w:val="0"/>
          <w:bCs w:val="0"/>
          <w:sz w:val="26"/>
          <w:szCs w:val="26"/>
          <w:lang w:val="en-GB"/>
        </w:rPr>
        <w:t>2.2.6.2 Antioxidant studies</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eastAsia="E-BZ" w:cs="Times New Roman"/>
          <w:color w:val="000000"/>
          <w:sz w:val="26"/>
          <w:szCs w:val="26"/>
          <w:lang w:val="en-US"/>
        </w:rPr>
      </w:pPr>
      <w:r>
        <w:rPr>
          <w:rFonts w:ascii="Times New Roman" w:hAnsi="Times New Roman" w:eastAsia="MinionPro-Regular" w:cs="Times New Roman"/>
          <w:color w:val="231F20"/>
          <w:sz w:val="26"/>
          <w:szCs w:val="26"/>
          <w:lang w:val="en-GB"/>
        </w:rPr>
        <w:t>Antioxidant activity by DPPH (</w:t>
      </w:r>
      <w:r>
        <w:rPr>
          <w:rFonts w:ascii="Times New Roman" w:hAnsi="Times New Roman" w:eastAsia="E-BZ"/>
          <w:color w:val="000000"/>
          <w:sz w:val="26"/>
          <w:szCs w:val="26"/>
        </w:rPr>
        <w:t>2,2-diphenyl-1-picrylhydrazyl</w:t>
      </w:r>
      <w:r>
        <w:rPr>
          <w:rFonts w:ascii="Times New Roman" w:hAnsi="Times New Roman" w:eastAsia="E-BZ" w:cs="Times New Roman"/>
          <w:color w:val="000000"/>
          <w:sz w:val="26"/>
          <w:szCs w:val="26"/>
          <w:lang w:val="en-GB"/>
        </w:rPr>
        <w:t xml:space="preserve">) </w:t>
      </w:r>
      <w:r>
        <w:rPr>
          <w:rFonts w:ascii="Times New Roman" w:hAnsi="Times New Roman" w:eastAsia="MinionPro-Regular" w:cs="Times New Roman"/>
          <w:color w:val="231F20"/>
          <w:sz w:val="26"/>
          <w:szCs w:val="26"/>
          <w:lang w:val="en-GB"/>
        </w:rPr>
        <w:t>radical scavenging assay</w:t>
      </w:r>
      <w:r>
        <w:rPr>
          <w:rFonts w:ascii="Times New Roman" w:hAnsi="Times New Roman" w:eastAsia="MinionPro-Regular" w:cs="Times New Roman"/>
          <w:color w:val="231F20"/>
          <w:sz w:val="26"/>
          <w:szCs w:val="26"/>
        </w:rPr>
        <w:t>.</w:t>
      </w:r>
      <w:r>
        <w:rPr>
          <w:rFonts w:hint="default" w:ascii="Times New Roman" w:hAnsi="Times New Roman" w:eastAsia="MinionPro-Regular" w:cs="Times New Roman"/>
          <w:color w:val="231F20"/>
          <w:sz w:val="26"/>
          <w:szCs w:val="26"/>
          <w:lang w:val="en-GB"/>
        </w:rPr>
        <w:t xml:space="preserve"> </w:t>
      </w:r>
      <w:r>
        <w:rPr>
          <w:rFonts w:ascii="Times New Roman" w:hAnsi="Times New Roman" w:eastAsia="E-BZ" w:cs="Times New Roman"/>
          <w:color w:val="000000"/>
          <w:sz w:val="26"/>
          <w:szCs w:val="26"/>
        </w:rPr>
        <w:t xml:space="preserve">The free radical scavenging activity of the </w:t>
      </w:r>
      <w:r>
        <w:rPr>
          <w:rFonts w:hint="default" w:ascii="Times New Roman" w:hAnsi="Times New Roman" w:eastAsia="E-BZ" w:cs="Times New Roman"/>
          <w:color w:val="000000"/>
          <w:sz w:val="26"/>
          <w:szCs w:val="26"/>
          <w:lang w:val="en-US"/>
        </w:rPr>
        <w:t>antioxidants</w:t>
      </w:r>
      <w:r>
        <w:rPr>
          <w:rFonts w:ascii="Times New Roman" w:hAnsi="Times New Roman" w:eastAsia="E-BZ" w:cs="Times New Roman"/>
          <w:color w:val="000000"/>
          <w:sz w:val="26"/>
          <w:szCs w:val="26"/>
          <w:lang w:val="en-GB"/>
        </w:rPr>
        <w:t xml:space="preserve"> was</w:t>
      </w:r>
      <w:r>
        <w:rPr>
          <w:rFonts w:hint="default" w:ascii="Times New Roman" w:hAnsi="Times New Roman" w:eastAsia="E-BZ" w:cs="Times New Roman"/>
          <w:color w:val="000000"/>
          <w:sz w:val="26"/>
          <w:szCs w:val="26"/>
          <w:lang w:val="en-GB"/>
        </w:rPr>
        <w:t xml:space="preserve"> </w:t>
      </w:r>
      <w:r>
        <w:rPr>
          <w:rFonts w:ascii="Times New Roman" w:hAnsi="Times New Roman" w:eastAsia="E-BZ" w:cs="Times New Roman"/>
          <w:color w:val="000000"/>
          <w:sz w:val="26"/>
          <w:szCs w:val="26"/>
        </w:rPr>
        <w:t>investigated using DPPH radical scavenging method</w:t>
      </w:r>
      <w:r>
        <w:rPr>
          <w:rFonts w:ascii="Times New Roman" w:hAnsi="Times New Roman" w:eastAsia="E-BZ" w:cs="Times New Roman"/>
          <w:color w:val="000000"/>
          <w:sz w:val="26"/>
          <w:szCs w:val="26"/>
          <w:lang w:val="en-GB"/>
        </w:rPr>
        <w:t>,</w:t>
      </w:r>
      <w:r>
        <w:rPr>
          <w:rFonts w:ascii="Times New Roman" w:hAnsi="Times New Roman" w:eastAsia="E-BZ" w:cs="Times New Roman"/>
          <w:color w:val="FF0000"/>
          <w:sz w:val="26"/>
          <w:szCs w:val="26"/>
        </w:rPr>
        <w:t xml:space="preserve"> </w:t>
      </w:r>
      <w:r>
        <w:rPr>
          <w:rFonts w:ascii="Times New Roman" w:hAnsi="Times New Roman" w:eastAsia="E-BZ" w:cs="Times New Roman"/>
          <w:color w:val="000000"/>
          <w:sz w:val="26"/>
          <w:szCs w:val="26"/>
        </w:rPr>
        <w:t xml:space="preserve">as reported </w:t>
      </w:r>
      <w:r>
        <w:rPr>
          <w:rFonts w:ascii="Times New Roman" w:hAnsi="Times New Roman" w:eastAsia="E-BZ" w:cs="Times New Roman"/>
          <w:color w:val="000000"/>
          <w:sz w:val="26"/>
          <w:szCs w:val="26"/>
          <w:lang w:val="en-GB"/>
        </w:rPr>
        <w:t>by</w:t>
      </w:r>
      <w:r>
        <w:rPr>
          <w:rFonts w:hint="default" w:ascii="Times New Roman" w:hAnsi="Times New Roman" w:eastAsia="E-BZ" w:cs="Times New Roman"/>
          <w:color w:val="000000"/>
          <w:sz w:val="26"/>
          <w:szCs w:val="26"/>
          <w:lang w:val="en-US"/>
        </w:rPr>
        <w:t xml:space="preserve"> Karadag et al., </w:t>
      </w:r>
      <w:r>
        <w:rPr>
          <w:rFonts w:hint="default" w:ascii="Times New Roman" w:hAnsi="Times New Roman" w:eastAsia="E-BZ" w:cs="Times New Roman"/>
          <w:color w:val="000000"/>
          <w:sz w:val="26"/>
          <w:szCs w:val="26"/>
          <w:lang w:val="en-US"/>
        </w:rPr>
        <w:fldChar w:fldCharType="begin"/>
      </w:r>
      <w:r>
        <w:rPr>
          <w:rFonts w:hint="default" w:ascii="Times New Roman" w:hAnsi="Times New Roman" w:eastAsia="E-BZ" w:cs="Times New Roman"/>
          <w:color w:val="000000"/>
          <w:sz w:val="26"/>
          <w:szCs w:val="26"/>
          <w:lang w:val="en-US"/>
        </w:rPr>
        <w:instrText xml:space="preserve"> ADDIN EN.CITE &lt;EndNote&gt;&lt;Cite&gt;&lt;Author&gt;Karadag&lt;/Author&gt;&lt;Year&gt;2009&lt;/Year&gt;&lt;RecNum&gt;441&lt;/RecNum&gt;&lt;DisplayText&gt;(Karadag et al., 2009)&lt;/DisplayText&gt;&lt;record&gt;&lt;rec-number&gt;441&lt;/rec-number&gt;&lt;foreign-keys&gt;&lt;key app="EN" db-id="edvassfwttpfsqe0xsop2wwg2f05wx552500" timestamp="1705222280"&gt;441&lt;/key&gt;&lt;/foreign-keys&gt;&lt;ref-type name="Journal Article"&gt;17&lt;/ref-type&gt;&lt;contributors&gt;&lt;authors&gt;&lt;author&gt;Karadag, Ayse&lt;/author&gt;&lt;author&gt;Ozcelik, Beraat&lt;/author&gt;&lt;author&gt;Saner, Samim&lt;/author&gt;&lt;/authors&gt;&lt;/contributors&gt;&lt;titles&gt;&lt;title&gt;Review of methods to determine antioxidant capacities&lt;/title&gt;&lt;secondary-title&gt;Food analytical methods&lt;/secondary-title&gt;&lt;/titles&gt;&lt;periodical&gt;&lt;full-title&gt;Food Analytical Methods&lt;/full-title&gt;&lt;/periodical&gt;&lt;pages&gt;41-60&lt;/pages&gt;&lt;volume&gt;2&lt;/volume&gt;&lt;dates&gt;&lt;year&gt;2009&lt;/year&gt;&lt;/dates&gt;&lt;isbn&gt;1936-9751&lt;/isbn&gt;&lt;urls&gt;&lt;/urls&gt;&lt;/record&gt;&lt;/Cite&gt;&lt;/EndNote&gt;</w:instrText>
      </w:r>
      <w:r>
        <w:rPr>
          <w:rFonts w:hint="default" w:ascii="Times New Roman" w:hAnsi="Times New Roman" w:eastAsia="E-BZ" w:cs="Times New Roman"/>
          <w:color w:val="000000"/>
          <w:sz w:val="26"/>
          <w:szCs w:val="26"/>
          <w:lang w:val="en-US"/>
        </w:rPr>
        <w:fldChar w:fldCharType="separate"/>
      </w:r>
      <w:r>
        <w:rPr>
          <w:rFonts w:hint="default" w:ascii="Times New Roman" w:hAnsi="Times New Roman" w:eastAsia="E-BZ" w:cs="Times New Roman"/>
          <w:color w:val="000000"/>
          <w:sz w:val="26"/>
          <w:szCs w:val="26"/>
          <w:lang w:val="en-US" w:eastAsia="zh-CN" w:bidi="ar-SA"/>
        </w:rPr>
        <w:t>(Karadag et al., 2009)</w:t>
      </w:r>
      <w:r>
        <w:rPr>
          <w:rFonts w:hint="default" w:ascii="Times New Roman" w:hAnsi="Times New Roman" w:eastAsia="E-BZ" w:cs="Times New Roman"/>
          <w:color w:val="000000"/>
          <w:sz w:val="26"/>
          <w:szCs w:val="26"/>
          <w:lang w:val="en-US"/>
        </w:rPr>
        <w:fldChar w:fldCharType="end"/>
      </w:r>
      <w:r>
        <w:rPr>
          <w:rFonts w:hint="default" w:ascii="Times New Roman" w:hAnsi="Times New Roman" w:eastAsia="E-BZ" w:cs="Times New Roman"/>
          <w:color w:val="000000"/>
          <w:sz w:val="26"/>
          <w:szCs w:val="26"/>
          <w:lang w:val="en-US"/>
        </w:rPr>
        <w:t xml:space="preserve"> </w:t>
      </w:r>
      <w:r>
        <w:rPr>
          <w:rFonts w:hint="default" w:ascii="Times New Roman" w:hAnsi="Times New Roman" w:eastAsia="E-BZ" w:cs="Times New Roman"/>
          <w:color w:val="000000"/>
          <w:sz w:val="26"/>
          <w:szCs w:val="26"/>
          <w:lang w:val="en-GB"/>
        </w:rPr>
        <w:t xml:space="preserve">with slight modification. </w:t>
      </w:r>
      <w:r>
        <w:rPr>
          <w:rFonts w:hint="default" w:ascii="Times New Roman" w:hAnsi="Times New Roman" w:eastAsia="E-BZ" w:cs="Times New Roman"/>
          <w:color w:val="000000"/>
          <w:sz w:val="26"/>
          <w:szCs w:val="26"/>
          <w:lang w:val="en-US"/>
        </w:rPr>
        <w:t>One</w:t>
      </w:r>
      <w:r>
        <w:rPr>
          <w:rFonts w:hint="default" w:ascii="Times New Roman" w:hAnsi="Times New Roman" w:eastAsia="E-BZ" w:cs="Times New Roman"/>
          <w:color w:val="000000"/>
          <w:sz w:val="26"/>
          <w:szCs w:val="26"/>
          <w:lang w:val="en-GB"/>
        </w:rPr>
        <w:t xml:space="preserve"> m</w:t>
      </w:r>
      <w:r>
        <w:rPr>
          <w:rFonts w:hint="default" w:ascii="Times New Roman" w:hAnsi="Times New Roman" w:eastAsia="E-BZ" w:cs="Times New Roman"/>
          <w:color w:val="000000"/>
          <w:sz w:val="26"/>
          <w:szCs w:val="26"/>
          <w:lang w:val="en-US"/>
        </w:rPr>
        <w:t>illiliter</w:t>
      </w:r>
      <w:r>
        <w:rPr>
          <w:rFonts w:hint="default" w:ascii="Times New Roman" w:hAnsi="Times New Roman" w:eastAsia="E-BZ" w:cs="Times New Roman"/>
          <w:color w:val="000000"/>
          <w:sz w:val="26"/>
          <w:szCs w:val="26"/>
          <w:lang w:val="en-GB"/>
        </w:rPr>
        <w:t xml:space="preserve"> of </w:t>
      </w:r>
      <w:r>
        <w:rPr>
          <w:rFonts w:hint="default" w:ascii="Times New Roman" w:hAnsi="Times New Roman" w:eastAsia="E-BZ" w:cs="Times New Roman"/>
          <w:color w:val="000000"/>
          <w:sz w:val="26"/>
          <w:szCs w:val="26"/>
          <w:lang w:val="en-US"/>
        </w:rPr>
        <w:t>each antioxidant</w:t>
      </w:r>
      <w:r>
        <w:rPr>
          <w:rFonts w:hint="default" w:ascii="Times New Roman" w:hAnsi="Times New Roman" w:eastAsia="E-BZ" w:cs="Times New Roman"/>
          <w:color w:val="000000"/>
          <w:sz w:val="26"/>
          <w:szCs w:val="26"/>
          <w:lang w:val="en-GB"/>
        </w:rPr>
        <w:t xml:space="preserve"> (at 1.0</w:t>
      </w:r>
      <w:r>
        <w:rPr>
          <w:rFonts w:hint="default" w:ascii="Times New Roman" w:hAnsi="Times New Roman" w:eastAsia="E-BZ" w:cs="Times New Roman"/>
          <w:color w:val="000000"/>
          <w:sz w:val="26"/>
          <w:szCs w:val="26"/>
          <w:lang w:val="en-US"/>
        </w:rPr>
        <w:t xml:space="preserve"> </w:t>
      </w:r>
      <w:r>
        <w:rPr>
          <w:rFonts w:hint="default" w:ascii="Times New Roman" w:hAnsi="Times New Roman" w:eastAsia="E-BZ" w:cs="Times New Roman"/>
          <w:color w:val="000000"/>
          <w:sz w:val="26"/>
          <w:szCs w:val="26"/>
          <w:lang w:val="en-GB"/>
        </w:rPr>
        <w:t>mg/ml conc.) was prepared in triplicate and mixed with 1 ml DPPH (</w:t>
      </w:r>
      <w:r>
        <w:rPr>
          <w:rFonts w:hint="default" w:ascii="Times New Roman" w:hAnsi="Times New Roman" w:eastAsia="E-BZ" w:cs="Times New Roman"/>
          <w:color w:val="000000"/>
          <w:sz w:val="26"/>
          <w:szCs w:val="26"/>
          <w:lang w:val="en-US"/>
        </w:rPr>
        <w:t>0</w:t>
      </w:r>
      <w:r>
        <w:rPr>
          <w:rFonts w:hint="default" w:ascii="Times New Roman" w:hAnsi="Times New Roman" w:eastAsia="E-BZ" w:cs="Times New Roman"/>
          <w:color w:val="000000"/>
          <w:sz w:val="26"/>
          <w:szCs w:val="26"/>
          <w:lang w:val="en-GB"/>
        </w:rPr>
        <w:t>.135</w:t>
      </w:r>
      <w:r>
        <w:rPr>
          <w:rFonts w:hint="default" w:ascii="Times New Roman" w:hAnsi="Times New Roman" w:eastAsia="E-BZ" w:cs="Times New Roman"/>
          <w:color w:val="000000"/>
          <w:sz w:val="26"/>
          <w:szCs w:val="26"/>
          <w:lang w:val="en-US"/>
        </w:rPr>
        <w:t xml:space="preserve"> </w:t>
      </w:r>
      <w:r>
        <w:rPr>
          <w:rFonts w:hint="default" w:ascii="Times New Roman" w:hAnsi="Times New Roman" w:eastAsia="E-BZ" w:cs="Times New Roman"/>
          <w:color w:val="000000"/>
          <w:sz w:val="26"/>
          <w:szCs w:val="26"/>
          <w:lang w:val="en-GB"/>
        </w:rPr>
        <w:t xml:space="preserve">mM). The mixture was further mixed with in 1 ml methanol. </w:t>
      </w:r>
      <w:r>
        <w:rPr>
          <w:rFonts w:hint="default" w:ascii="Times New Roman" w:hAnsi="Times New Roman" w:eastAsia="E-BZ" w:cs="Times New Roman"/>
          <w:color w:val="000000"/>
          <w:sz w:val="26"/>
          <w:szCs w:val="26"/>
          <w:lang w:val="en-US"/>
        </w:rPr>
        <w:t>Afterwards</w:t>
      </w:r>
      <w:r>
        <w:rPr>
          <w:rFonts w:hint="default" w:ascii="Times New Roman" w:hAnsi="Times New Roman" w:eastAsia="E-BZ" w:cs="Times New Roman"/>
          <w:color w:val="000000"/>
          <w:sz w:val="26"/>
          <w:szCs w:val="26"/>
          <w:lang w:val="en-GB"/>
        </w:rPr>
        <w:t>, the sample mixture was carefully vortexed and kept to rest for 30 min at room temperature. The mixture absorbance was measured at 517</w:t>
      </w:r>
      <w:r>
        <w:rPr>
          <w:rFonts w:hint="default" w:ascii="Times New Roman" w:hAnsi="Times New Roman" w:eastAsia="E-BZ" w:cs="Times New Roman"/>
          <w:color w:val="000000"/>
          <w:sz w:val="26"/>
          <w:szCs w:val="26"/>
          <w:lang w:val="en-US"/>
        </w:rPr>
        <w:t xml:space="preserve"> </w:t>
      </w:r>
      <w:r>
        <w:rPr>
          <w:rFonts w:hint="default" w:ascii="Times New Roman" w:hAnsi="Times New Roman" w:eastAsia="E-BZ" w:cs="Times New Roman"/>
          <w:color w:val="000000"/>
          <w:sz w:val="26"/>
          <w:szCs w:val="26"/>
          <w:lang w:val="en-GB"/>
        </w:rPr>
        <w:t xml:space="preserve">nm using UV/Vis spectrophotometer and the percentage of the DPPH radical scavenging was expressed using Eq. </w:t>
      </w:r>
      <w:r>
        <w:rPr>
          <w:rFonts w:hint="default" w:ascii="Times New Roman" w:hAnsi="Times New Roman" w:eastAsia="E-BZ" w:cs="Times New Roman"/>
          <w:color w:val="000000"/>
          <w:sz w:val="26"/>
          <w:szCs w:val="26"/>
          <w:lang w:val="en-US"/>
        </w:rPr>
        <w:t>(</w:t>
      </w:r>
      <w:r>
        <w:rPr>
          <w:rFonts w:hint="default" w:ascii="Times New Roman" w:hAnsi="Times New Roman" w:eastAsia="E-BZ" w:cs="Times New Roman"/>
          <w:color w:val="000000"/>
          <w:sz w:val="26"/>
          <w:szCs w:val="26"/>
          <w:lang w:val="en-GB"/>
        </w:rPr>
        <w:t>11</w:t>
      </w:r>
      <w:r>
        <w:rPr>
          <w:rFonts w:hint="default" w:ascii="Times New Roman" w:hAnsi="Times New Roman" w:eastAsia="E-BZ" w:cs="Times New Roman"/>
          <w:color w:val="000000"/>
          <w:sz w:val="26"/>
          <w:szCs w:val="26"/>
          <w:lang w:val="en-US"/>
        </w:rPr>
        <w:t xml:space="preserve">). </w:t>
      </w:r>
    </w:p>
    <w:p>
      <w:pPr>
        <w:spacing w:after="80" w:line="360" w:lineRule="auto"/>
        <w:jc w:val="both"/>
        <w:rPr>
          <w:rFonts w:hint="default" w:ascii="Times New Roman" w:hAnsi="Times New Roman" w:cs="Times New Roman"/>
          <w:color w:val="000000"/>
          <w:sz w:val="26"/>
          <w:szCs w:val="26"/>
        </w:rPr>
      </w:pPr>
      <m:oMath>
        <m:r>
          <m:rPr>
            <m:sty m:val="p"/>
          </m:rPr>
          <w:rPr>
            <w:rFonts w:hint="default" w:ascii="Cambria Math" w:hAnsi="Cambria Math" w:eastAsia="AdvOT3c2d9f11" w:cs="Times New Roman"/>
            <w:color w:val="000000"/>
            <w:sz w:val="26"/>
            <w:szCs w:val="26"/>
          </w:rPr>
          <m:t>%Free radical scavenging activity=</m:t>
        </m:r>
        <m:f>
          <m:fPr>
            <m:ctrlPr>
              <w:rPr>
                <w:rFonts w:hint="default" w:ascii="Cambria Math" w:hAnsi="Cambria Math" w:eastAsia="AdvOT3c2d9f11" w:cs="Times New Roman"/>
                <w:color w:val="000000"/>
                <w:sz w:val="26"/>
                <w:szCs w:val="26"/>
              </w:rPr>
            </m:ctrlPr>
          </m:fPr>
          <m:num>
            <m:r>
              <m:rPr>
                <m:sty m:val="p"/>
              </m:rPr>
              <w:rPr>
                <w:rFonts w:hint="default" w:ascii="Cambria Math" w:hAnsi="Cambria Math" w:eastAsia="AdvOT3c2d9f11" w:cs="Times New Roman"/>
                <w:color w:val="000000"/>
                <w:sz w:val="26"/>
                <w:szCs w:val="26"/>
              </w:rPr>
              <m:t>Ac−As</m:t>
            </m:r>
            <m:ctrlPr>
              <w:rPr>
                <w:rFonts w:hint="default" w:ascii="Cambria Math" w:hAnsi="Cambria Math" w:eastAsia="AdvOT3c2d9f11" w:cs="Times New Roman"/>
                <w:color w:val="000000"/>
                <w:sz w:val="26"/>
                <w:szCs w:val="26"/>
              </w:rPr>
            </m:ctrlPr>
          </m:num>
          <m:den>
            <m:r>
              <m:rPr>
                <m:sty m:val="p"/>
              </m:rPr>
              <w:rPr>
                <w:rFonts w:hint="default" w:ascii="Cambria Math" w:hAnsi="Cambria Math" w:eastAsia="AdvOT3c2d9f11" w:cs="Times New Roman"/>
                <w:color w:val="000000"/>
                <w:sz w:val="26"/>
                <w:szCs w:val="26"/>
              </w:rPr>
              <m:t>Ac</m:t>
            </m:r>
            <m:ctrlPr>
              <w:rPr>
                <w:rFonts w:hint="default" w:ascii="Cambria Math" w:hAnsi="Cambria Math" w:eastAsia="AdvOT3c2d9f11" w:cs="Times New Roman"/>
                <w:color w:val="000000"/>
                <w:sz w:val="26"/>
                <w:szCs w:val="26"/>
              </w:rPr>
            </m:ctrlPr>
          </m:den>
        </m:f>
        <m:r>
          <m:rPr>
            <m:sty m:val="p"/>
          </m:rPr>
          <w:rPr>
            <w:rFonts w:hint="default" w:ascii="Cambria Math" w:hAnsi="Cambria Math" w:cs="Times New Roman"/>
            <w:color w:val="000000"/>
            <w:sz w:val="26"/>
            <w:szCs w:val="26"/>
          </w:rPr>
          <m:t xml:space="preserve">×100                                      </m:t>
        </m:r>
      </m:oMath>
      <w:r>
        <w:rPr>
          <w:rFonts w:hint="default" w:ascii="Times New Roman" w:hAnsi="Times New Roman" w:cs="Times New Roman"/>
          <w:b w:val="0"/>
          <w:i w:val="0"/>
          <w:color w:val="000000"/>
          <w:sz w:val="26"/>
          <w:szCs w:val="26"/>
          <w:lang w:val="en-US"/>
        </w:rPr>
        <w:tab/>
      </w: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11</w:t>
      </w:r>
      <w:r>
        <w:rPr>
          <w:rFonts w:hint="default" w:ascii="Times New Roman" w:hAnsi="Times New Roman" w:cs="Times New Roman"/>
          <w:color w:val="000000"/>
          <w:sz w:val="26"/>
          <w:szCs w:val="26"/>
        </w:rPr>
        <w:t>)</w:t>
      </w:r>
    </w:p>
    <w:p>
      <w:pPr>
        <w:keepNext w:val="0"/>
        <w:keepLines w:val="0"/>
        <w:pageBreakBefore w:val="0"/>
        <w:widowControl/>
        <w:kinsoku/>
        <w:wordWrap/>
        <w:overflowPunct/>
        <w:topLinePunct w:val="0"/>
        <w:autoSpaceDE/>
        <w:autoSpaceDN/>
        <w:bidi w:val="0"/>
        <w:adjustRightInd/>
        <w:snapToGrid/>
        <w:spacing w:line="240" w:lineRule="auto"/>
        <w:ind w:firstLine="518"/>
        <w:jc w:val="both"/>
        <w:textAlignment w:val="auto"/>
        <w:rPr>
          <w:rFonts w:hint="default" w:ascii="Times New Roman" w:hAnsi="Times New Roman" w:eastAsia="E-BZ" w:cs="Times New Roman"/>
          <w:color w:val="000000"/>
          <w:sz w:val="26"/>
          <w:szCs w:val="26"/>
        </w:rPr>
      </w:pPr>
      <w:r>
        <w:rPr>
          <w:rFonts w:hint="default" w:ascii="Times New Roman" w:hAnsi="Times New Roman" w:eastAsia="E-BZ" w:cs="Times New Roman"/>
          <w:color w:val="000000"/>
          <w:sz w:val="26"/>
          <w:szCs w:val="26"/>
        </w:rPr>
        <w:t>Where Ac</w:t>
      </w:r>
      <w:r>
        <w:rPr>
          <w:rFonts w:hint="default" w:ascii="Times New Roman" w:hAnsi="Times New Roman" w:eastAsia="E-BZ" w:cs="Times New Roman"/>
          <w:color w:val="000000"/>
          <w:sz w:val="26"/>
          <w:szCs w:val="26"/>
          <w:lang w:val="en-US"/>
        </w:rPr>
        <w:t xml:space="preserve"> </w:t>
      </w:r>
      <w:r>
        <w:rPr>
          <w:rFonts w:hint="default" w:ascii="Times New Roman" w:hAnsi="Times New Roman" w:eastAsia="E-BZ" w:cs="Times New Roman"/>
          <w:color w:val="000000"/>
          <w:sz w:val="26"/>
          <w:szCs w:val="26"/>
        </w:rPr>
        <w:t xml:space="preserve">=Absorbance of control at 517 nm </w:t>
      </w:r>
    </w:p>
    <w:p>
      <w:pPr>
        <w:spacing w:line="480" w:lineRule="auto"/>
        <w:ind w:firstLine="1318" w:firstLineChars="507"/>
        <w:jc w:val="both"/>
        <w:rPr>
          <w:rFonts w:hint="default" w:ascii="Times New Roman" w:hAnsi="Times New Roman" w:eastAsia="E-BZ" w:cs="Times New Roman"/>
          <w:color w:val="000000"/>
          <w:sz w:val="26"/>
          <w:szCs w:val="26"/>
          <w:lang w:val="en-GB"/>
        </w:rPr>
      </w:pPr>
      <w:r>
        <w:rPr>
          <w:rFonts w:hint="default" w:ascii="Times New Roman" w:hAnsi="Times New Roman" w:eastAsia="E-BZ" w:cs="Times New Roman"/>
          <w:color w:val="000000"/>
          <w:sz w:val="26"/>
          <w:szCs w:val="26"/>
        </w:rPr>
        <w:t>As</w:t>
      </w:r>
      <w:r>
        <w:rPr>
          <w:rFonts w:hint="default" w:ascii="Times New Roman" w:hAnsi="Times New Roman" w:eastAsia="E-BZ" w:cs="Times New Roman"/>
          <w:color w:val="000000"/>
          <w:sz w:val="26"/>
          <w:szCs w:val="26"/>
          <w:lang w:val="en-US"/>
        </w:rPr>
        <w:t xml:space="preserve"> </w:t>
      </w:r>
      <w:r>
        <w:rPr>
          <w:rFonts w:hint="default" w:ascii="Times New Roman" w:hAnsi="Times New Roman" w:eastAsia="E-BZ" w:cs="Times New Roman"/>
          <w:color w:val="000000"/>
          <w:sz w:val="26"/>
          <w:szCs w:val="26"/>
        </w:rPr>
        <w:t>= Absorbance of sample</w:t>
      </w:r>
      <w:r>
        <w:rPr>
          <w:rFonts w:hint="default" w:ascii="Times New Roman" w:hAnsi="Times New Roman" w:eastAsia="E-BZ" w:cs="Times New Roman"/>
          <w:color w:val="000000"/>
          <w:sz w:val="26"/>
          <w:szCs w:val="26"/>
          <w:lang w:val="en-GB"/>
        </w:rPr>
        <w:t>.</w:t>
      </w:r>
      <w:r>
        <w:rPr>
          <w:rFonts w:hint="default" w:ascii="Times New Roman" w:hAnsi="Times New Roman" w:eastAsia="E-BZ" w:cs="Times New Roman"/>
          <w:color w:val="000000"/>
          <w:sz w:val="26"/>
          <w:szCs w:val="26"/>
        </w:rPr>
        <w:t xml:space="preserve"> </w:t>
      </w:r>
    </w:p>
    <w:p>
      <w:pPr>
        <w:spacing w:line="360" w:lineRule="auto"/>
        <w:jc w:val="left"/>
        <w:rPr>
          <w:rFonts w:hint="default" w:ascii="Times New Roman" w:hAnsi="Times New Roman" w:eastAsia="MinionPro-It" w:cs="Times New Roman"/>
          <w:i/>
          <w:iCs/>
          <w:sz w:val="26"/>
          <w:szCs w:val="26"/>
          <w:lang w:bidi="ar"/>
        </w:rPr>
      </w:pPr>
      <w:r>
        <w:rPr>
          <w:rFonts w:hint="default" w:ascii="Times New Roman" w:hAnsi="Times New Roman" w:eastAsia="MinionPro-Regular" w:cs="Times New Roman"/>
          <w:color w:val="231F20"/>
          <w:sz w:val="26"/>
          <w:szCs w:val="26"/>
          <w:lang w:val="en-GB"/>
        </w:rPr>
        <w:t xml:space="preserve">2.2.6.2.2 </w:t>
      </w:r>
      <w:r>
        <w:rPr>
          <w:rFonts w:hint="default" w:ascii="Times New Roman" w:hAnsi="Times New Roman" w:eastAsia="MinionPro-It" w:cs="Times New Roman"/>
          <w:sz w:val="26"/>
          <w:szCs w:val="26"/>
          <w:lang w:bidi="ar"/>
        </w:rPr>
        <w:t xml:space="preserve">Ferric </w:t>
      </w:r>
      <w:r>
        <w:rPr>
          <w:rFonts w:hint="default" w:ascii="Times New Roman" w:hAnsi="Times New Roman" w:eastAsia="MinionPro-It" w:cs="Times New Roman"/>
          <w:sz w:val="26"/>
          <w:szCs w:val="26"/>
          <w:lang w:val="en-GB" w:bidi="ar"/>
        </w:rPr>
        <w:t xml:space="preserve">ion </w:t>
      </w:r>
      <w:r>
        <w:rPr>
          <w:rFonts w:hint="default" w:ascii="Times New Roman" w:hAnsi="Times New Roman" w:eastAsia="MinionPro-It" w:cs="Times New Roman"/>
          <w:sz w:val="26"/>
          <w:szCs w:val="26"/>
          <w:lang w:bidi="ar"/>
        </w:rPr>
        <w:t xml:space="preserve">Reducing </w:t>
      </w:r>
      <w:r>
        <w:rPr>
          <w:rFonts w:hint="default" w:ascii="Times New Roman" w:hAnsi="Times New Roman" w:eastAsia="MinionPro-It" w:cs="Times New Roman"/>
          <w:sz w:val="26"/>
          <w:szCs w:val="26"/>
          <w:lang w:val="en-GB" w:bidi="ar"/>
        </w:rPr>
        <w:t xml:space="preserve">Antioxidant </w:t>
      </w:r>
      <w:r>
        <w:rPr>
          <w:rFonts w:hint="default" w:ascii="Times New Roman" w:hAnsi="Times New Roman" w:eastAsia="MinionPro-It" w:cs="Times New Roman"/>
          <w:sz w:val="26"/>
          <w:szCs w:val="26"/>
          <w:lang w:bidi="ar"/>
        </w:rPr>
        <w:t>Power (FR</w:t>
      </w:r>
      <w:r>
        <w:rPr>
          <w:rFonts w:hint="default" w:ascii="Times New Roman" w:hAnsi="Times New Roman" w:eastAsia="MinionPro-It" w:cs="Times New Roman"/>
          <w:sz w:val="26"/>
          <w:szCs w:val="26"/>
          <w:lang w:val="en-GB" w:bidi="ar"/>
        </w:rPr>
        <w:t>A</w:t>
      </w:r>
      <w:r>
        <w:rPr>
          <w:rFonts w:hint="default" w:ascii="Times New Roman" w:hAnsi="Times New Roman" w:eastAsia="MinionPro-It" w:cs="Times New Roman"/>
          <w:sz w:val="26"/>
          <w:szCs w:val="26"/>
          <w:lang w:bidi="ar"/>
        </w:rPr>
        <w:t>P</w:t>
      </w:r>
      <w:r>
        <w:rPr>
          <w:rFonts w:hint="default" w:ascii="Times New Roman" w:hAnsi="Times New Roman" w:eastAsia="MinionPro-It" w:cs="Times New Roman"/>
          <w:i/>
          <w:iCs/>
          <w:sz w:val="26"/>
          <w:szCs w:val="26"/>
          <w:lang w:bidi="ar"/>
        </w:rPr>
        <w:t>)</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cs="Times New Roman"/>
          <w:sz w:val="26"/>
          <w:szCs w:val="26"/>
          <w:lang w:val="en-US"/>
        </w:rPr>
      </w:pPr>
      <w:r>
        <w:rPr>
          <w:rFonts w:hint="default" w:ascii="Times New Roman" w:hAnsi="Times New Roman" w:eastAsia="MinionPro-It" w:cs="Times New Roman"/>
          <w:i w:val="0"/>
          <w:iCs w:val="0"/>
          <w:sz w:val="26"/>
          <w:szCs w:val="26"/>
          <w:lang w:val="en-GB" w:bidi="ar"/>
        </w:rPr>
        <w:t>The methods described by</w:t>
      </w:r>
      <w:r>
        <w:rPr>
          <w:rFonts w:hint="default" w:ascii="Times New Roman" w:hAnsi="Times New Roman" w:eastAsia="MinionPro-It" w:cs="Times New Roman"/>
          <w:i w:val="0"/>
          <w:iCs w:val="0"/>
          <w:sz w:val="26"/>
          <w:szCs w:val="26"/>
          <w:lang w:val="en-US" w:bidi="ar"/>
        </w:rPr>
        <w:t xml:space="preserve"> Ghasemi et al., </w:t>
      </w:r>
      <w:r>
        <w:rPr>
          <w:rFonts w:hint="default" w:ascii="Times New Roman" w:hAnsi="Times New Roman" w:eastAsia="MinionPro-It" w:cs="Times New Roman"/>
          <w:i w:val="0"/>
          <w:iCs w:val="0"/>
          <w:sz w:val="26"/>
          <w:szCs w:val="26"/>
          <w:lang w:val="en-US" w:bidi="ar"/>
        </w:rPr>
        <w:fldChar w:fldCharType="begin"/>
      </w:r>
      <w:r>
        <w:rPr>
          <w:rFonts w:hint="default" w:ascii="Times New Roman" w:hAnsi="Times New Roman" w:eastAsia="MinionPro-It" w:cs="Times New Roman"/>
          <w:i w:val="0"/>
          <w:iCs w:val="0"/>
          <w:sz w:val="26"/>
          <w:szCs w:val="26"/>
          <w:lang w:val="en-US" w:bidi="ar"/>
        </w:rPr>
        <w:instrText xml:space="preserve"> ADDIN EN.CITE &lt;EndNote&gt;&lt;Cite&gt;&lt;Author&gt;Ghasemi&lt;/Author&gt;&lt;Year&gt;2019&lt;/Year&gt;&lt;RecNum&gt;442&lt;/RecNum&gt;&lt;DisplayText&gt;(Ghasemi et al., 2019)&lt;/DisplayText&gt;&lt;record&gt;&lt;rec-number&gt;442&lt;/rec-number&gt;&lt;foreign-keys&gt;&lt;key app="EN" db-id="edvassfwttpfsqe0xsop2wwg2f05wx552500" timestamp="1705222633"&gt;442&lt;/key&gt;&lt;/foreign-keys&gt;&lt;ref-type name="Journal Article"&gt;17&lt;/ref-type&gt;&lt;contributors&gt;&lt;authors&gt;&lt;author&gt;Ghasemi, Ghader&lt;/author&gt;&lt;author&gt;Fattahi, Mohammad&lt;/author&gt;&lt;author&gt;Alirezalu, Abolfazl&lt;/author&gt;&lt;author&gt;Ghosta, Youbert&lt;/author&gt;&lt;/authors&gt;&lt;/contributors&gt;&lt;titles&gt;&lt;title&gt;Antioxidant and antifungal activities of a new chemovar of cumin (Cuminum cyminum L.)&lt;/title&gt;&lt;secondary-title&gt;Food science and biotechnology&lt;/secondary-title&gt;&lt;/titles&gt;&lt;periodical&gt;&lt;full-title&gt;Food science and biotechnology&lt;/full-title&gt;&lt;/periodical&gt;&lt;pages&gt;669-677&lt;/pages&gt;&lt;volume&gt;28&lt;/volume&gt;&lt;dates&gt;&lt;year&gt;2019&lt;/year&gt;&lt;/dates&gt;&lt;isbn&gt;1226-7708&lt;/isbn&gt;&lt;urls&gt;&lt;/urls&gt;&lt;/record&gt;&lt;/Cite&gt;&lt;/EndNote&gt;</w:instrText>
      </w:r>
      <w:r>
        <w:rPr>
          <w:rFonts w:hint="default" w:ascii="Times New Roman" w:hAnsi="Times New Roman" w:eastAsia="MinionPro-It" w:cs="Times New Roman"/>
          <w:i w:val="0"/>
          <w:iCs w:val="0"/>
          <w:sz w:val="26"/>
          <w:szCs w:val="26"/>
          <w:lang w:val="en-US" w:bidi="ar"/>
        </w:rPr>
        <w:fldChar w:fldCharType="separate"/>
      </w:r>
      <w:r>
        <w:rPr>
          <w:rFonts w:hint="default" w:ascii="Times New Roman" w:hAnsi="Times New Roman" w:eastAsia="MinionPro-It" w:cs="Times New Roman"/>
          <w:i w:val="0"/>
          <w:iCs w:val="0"/>
          <w:sz w:val="26"/>
          <w:szCs w:val="26"/>
          <w:lang w:val="en-US" w:eastAsia="zh-CN" w:bidi="ar"/>
        </w:rPr>
        <w:t>(Ghasemi et al., 2019)</w:t>
      </w:r>
      <w:r>
        <w:rPr>
          <w:rFonts w:hint="default" w:ascii="Times New Roman" w:hAnsi="Times New Roman" w:eastAsia="MinionPro-It" w:cs="Times New Roman"/>
          <w:i w:val="0"/>
          <w:iCs w:val="0"/>
          <w:sz w:val="26"/>
          <w:szCs w:val="26"/>
          <w:lang w:val="en-US" w:bidi="ar"/>
        </w:rPr>
        <w:fldChar w:fldCharType="end"/>
      </w:r>
      <w:r>
        <w:rPr>
          <w:rFonts w:hint="default" w:ascii="Times New Roman" w:hAnsi="Times New Roman" w:eastAsia="MinionPro-It" w:cs="Times New Roman"/>
          <w:i w:val="0"/>
          <w:iCs w:val="0"/>
          <w:sz w:val="26"/>
          <w:szCs w:val="26"/>
          <w:lang w:val="en-US" w:bidi="ar"/>
        </w:rPr>
        <w:t xml:space="preserve"> and Mohamed at al., </w:t>
      </w:r>
      <w:r>
        <w:rPr>
          <w:rFonts w:hint="default" w:ascii="Times New Roman" w:hAnsi="Times New Roman" w:eastAsia="MinionPro-It" w:cs="Times New Roman"/>
          <w:i w:val="0"/>
          <w:iCs w:val="0"/>
          <w:sz w:val="26"/>
          <w:szCs w:val="26"/>
          <w:lang w:val="en-US" w:bidi="ar"/>
        </w:rPr>
        <w:fldChar w:fldCharType="begin"/>
      </w:r>
      <w:r>
        <w:rPr>
          <w:rFonts w:hint="default" w:ascii="Times New Roman" w:hAnsi="Times New Roman" w:eastAsia="MinionPro-It" w:cs="Times New Roman"/>
          <w:i w:val="0"/>
          <w:iCs w:val="0"/>
          <w:sz w:val="26"/>
          <w:szCs w:val="26"/>
          <w:lang w:val="en-US" w:bidi="ar"/>
        </w:rPr>
        <w:instrText xml:space="preserve"> ADDIN EN.CITE &lt;EndNote&gt;&lt;Cite&gt;&lt;Author&gt;Mohamed&lt;/Author&gt;&lt;Year&gt;2013&lt;/Year&gt;&lt;RecNum&gt;443&lt;/RecNum&gt;&lt;DisplayText&gt;(Mohamed et al., 2013)&lt;/DisplayText&gt;&lt;record&gt;&lt;rec-number&gt;443&lt;/rec-number&gt;&lt;foreign-keys&gt;&lt;key app="EN" db-id="edvassfwttpfsqe0xsop2wwg2f05wx552500" timestamp="1705222737"&gt;443&lt;/key&gt;&lt;/foreign-keys&gt;&lt;ref-type name="Journal Article"&gt;17&lt;/ref-type&gt;&lt;contributors&gt;&lt;authors&gt;&lt;author&gt;Mohamed, Amal A&lt;/author&gt;&lt;author&gt;Ali, Sami I&lt;/author&gt;&lt;author&gt;El-Baz, Farouk K&lt;/author&gt;&lt;/authors&gt;&lt;/contributors&gt;&lt;titles&gt;&lt;title&gt;Antioxidant and antibacterial activities of crude extracts and essential oils of Syzygium cumini leaves&lt;/title&gt;&lt;secondary-title&gt;Plos one&lt;/secondary-title&gt;&lt;/titles&gt;&lt;periodical&gt;&lt;full-title&gt;PloS one&lt;/full-title&gt;&lt;/periodical&gt;&lt;pages&gt;e60269&lt;/pages&gt;&lt;volume&gt;8&lt;/volume&gt;&lt;number&gt;4&lt;/number&gt;&lt;dates&gt;&lt;year&gt;2013&lt;/year&gt;&lt;/dates&gt;&lt;isbn&gt;1932-6203&lt;/isbn&gt;&lt;urls&gt;&lt;/urls&gt;&lt;/record&gt;&lt;/Cite&gt;&lt;/EndNote&gt;</w:instrText>
      </w:r>
      <w:r>
        <w:rPr>
          <w:rFonts w:hint="default" w:ascii="Times New Roman" w:hAnsi="Times New Roman" w:eastAsia="MinionPro-It" w:cs="Times New Roman"/>
          <w:i w:val="0"/>
          <w:iCs w:val="0"/>
          <w:sz w:val="26"/>
          <w:szCs w:val="26"/>
          <w:lang w:val="en-US" w:bidi="ar"/>
        </w:rPr>
        <w:fldChar w:fldCharType="separate"/>
      </w:r>
      <w:r>
        <w:rPr>
          <w:rFonts w:hint="default" w:ascii="Times New Roman" w:hAnsi="Times New Roman" w:eastAsia="MinionPro-It" w:cs="Times New Roman"/>
          <w:i w:val="0"/>
          <w:iCs w:val="0"/>
          <w:sz w:val="26"/>
          <w:szCs w:val="26"/>
          <w:lang w:val="en-US" w:eastAsia="zh-CN" w:bidi="ar"/>
        </w:rPr>
        <w:t>(Mohamed et al., 2013)</w:t>
      </w:r>
      <w:r>
        <w:rPr>
          <w:rFonts w:hint="default" w:ascii="Times New Roman" w:hAnsi="Times New Roman" w:eastAsia="MinionPro-It" w:cs="Times New Roman"/>
          <w:i w:val="0"/>
          <w:iCs w:val="0"/>
          <w:sz w:val="26"/>
          <w:szCs w:val="26"/>
          <w:lang w:val="en-US" w:bidi="ar"/>
        </w:rPr>
        <w:fldChar w:fldCharType="end"/>
      </w:r>
      <w:r>
        <w:rPr>
          <w:rFonts w:hint="default" w:ascii="Times New Roman" w:hAnsi="Times New Roman" w:eastAsia="MinionPro-It" w:cs="Times New Roman"/>
          <w:i w:val="0"/>
          <w:iCs w:val="0"/>
          <w:sz w:val="26"/>
          <w:szCs w:val="26"/>
          <w:lang w:val="en-US" w:bidi="ar"/>
        </w:rPr>
        <w:t xml:space="preserve"> </w:t>
      </w:r>
      <w:r>
        <w:rPr>
          <w:rFonts w:hint="default" w:ascii="Times New Roman" w:hAnsi="Times New Roman" w:eastAsia="MinionPro-It" w:cs="Times New Roman"/>
          <w:i w:val="0"/>
          <w:iCs w:val="0"/>
          <w:sz w:val="26"/>
          <w:szCs w:val="26"/>
          <w:lang w:val="en-GB" w:bidi="ar"/>
        </w:rPr>
        <w:t xml:space="preserve">were used to study the ferric reducing power assay of </w:t>
      </w:r>
      <w:r>
        <w:rPr>
          <w:rFonts w:hint="default" w:ascii="Times New Roman" w:hAnsi="Times New Roman" w:eastAsia="MinionPro-It" w:cs="Times New Roman"/>
          <w:i w:val="0"/>
          <w:iCs w:val="0"/>
          <w:sz w:val="26"/>
          <w:szCs w:val="26"/>
          <w:lang w:val="en-US" w:bidi="ar"/>
        </w:rPr>
        <w:t>the biofilms and positive control (garlic oil)</w:t>
      </w:r>
      <w:r>
        <w:rPr>
          <w:rFonts w:hint="default" w:ascii="Times New Roman" w:hAnsi="Times New Roman" w:eastAsia="MinionPro-It" w:cs="Times New Roman"/>
          <w:i w:val="0"/>
          <w:iCs w:val="0"/>
          <w:sz w:val="26"/>
          <w:szCs w:val="26"/>
          <w:lang w:val="en-GB" w:bidi="ar"/>
        </w:rPr>
        <w:t>. Concisely, 1 ml</w:t>
      </w:r>
      <w:r>
        <w:rPr>
          <w:rFonts w:ascii="Times New Roman" w:hAnsi="Times New Roman" w:eastAsia="MinionPro" w:cs="Times New Roman"/>
          <w:sz w:val="26"/>
          <w:szCs w:val="26"/>
          <w:lang w:bidi="ar"/>
        </w:rPr>
        <w:t xml:space="preserve"> of </w:t>
      </w:r>
      <w:r>
        <w:rPr>
          <w:rFonts w:hint="default" w:ascii="Times New Roman" w:hAnsi="Times New Roman" w:eastAsia="MinionPro" w:cs="Times New Roman"/>
          <w:sz w:val="26"/>
          <w:szCs w:val="26"/>
          <w:lang w:val="en-GB" w:bidi="ar"/>
        </w:rPr>
        <w:t>MOLE</w:t>
      </w:r>
      <w:r>
        <w:rPr>
          <w:rFonts w:ascii="Times New Roman" w:hAnsi="Times New Roman" w:eastAsia="MinionPro" w:cs="Times New Roman"/>
          <w:sz w:val="26"/>
          <w:szCs w:val="26"/>
          <w:lang w:bidi="ar"/>
        </w:rPr>
        <w:t xml:space="preserve"> was mixed </w:t>
      </w:r>
      <w:r>
        <w:rPr>
          <w:rFonts w:hint="default" w:ascii="Times New Roman" w:hAnsi="Times New Roman" w:eastAsia="MinionPro" w:cs="Times New Roman"/>
          <w:sz w:val="26"/>
          <w:szCs w:val="26"/>
          <w:lang w:val="en-GB" w:bidi="ar"/>
        </w:rPr>
        <w:t xml:space="preserve">with </w:t>
      </w:r>
      <w:r>
        <w:rPr>
          <w:rFonts w:ascii="Times New Roman" w:hAnsi="Times New Roman" w:eastAsia="MinionPro" w:cs="Times New Roman"/>
          <w:sz w:val="26"/>
          <w:szCs w:val="26"/>
          <w:lang w:bidi="ar"/>
        </w:rPr>
        <w:t>2.5 mL of 1% potassium ferricyanide</w:t>
      </w:r>
      <w:r>
        <w:rPr>
          <w:rFonts w:hint="default" w:ascii="Times New Roman" w:hAnsi="Times New Roman" w:eastAsia="MinionPro" w:cs="Times New Roman"/>
          <w:sz w:val="26"/>
          <w:szCs w:val="26"/>
          <w:lang w:val="en-GB" w:bidi="ar"/>
        </w:rPr>
        <w:t xml:space="preserve"> </w:t>
      </w:r>
      <w:r>
        <w:rPr>
          <w:rFonts w:ascii="Times New Roman" w:hAnsi="Times New Roman" w:eastAsia="MinionPro" w:cs="Times New Roman"/>
          <w:sz w:val="26"/>
          <w:szCs w:val="26"/>
          <w:lang w:bidi="ar"/>
        </w:rPr>
        <w:t>[K</w:t>
      </w:r>
      <w:r>
        <w:rPr>
          <w:rFonts w:ascii="Times New Roman" w:hAnsi="Times New Roman" w:eastAsia="MinionMath-Capt" w:cs="Times New Roman"/>
          <w:sz w:val="26"/>
          <w:szCs w:val="26"/>
          <w:vertAlign w:val="subscript"/>
          <w:lang w:bidi="ar"/>
        </w:rPr>
        <w:t>3</w:t>
      </w:r>
      <w:r>
        <w:rPr>
          <w:rFonts w:ascii="Times New Roman" w:hAnsi="Times New Roman" w:eastAsia="MinionPro" w:cs="Times New Roman"/>
          <w:sz w:val="26"/>
          <w:szCs w:val="26"/>
          <w:lang w:bidi="ar"/>
        </w:rPr>
        <w:t>Fe(CN)</w:t>
      </w:r>
      <w:r>
        <w:rPr>
          <w:rFonts w:ascii="Times New Roman" w:hAnsi="Times New Roman" w:eastAsia="MinionMath-Capt" w:cs="Times New Roman"/>
          <w:sz w:val="26"/>
          <w:szCs w:val="26"/>
          <w:vertAlign w:val="subscript"/>
          <w:lang w:bidi="ar"/>
        </w:rPr>
        <w:t>6</w:t>
      </w:r>
      <w:r>
        <w:rPr>
          <w:rFonts w:ascii="Times New Roman" w:hAnsi="Times New Roman" w:eastAsia="MinionPro" w:cs="Times New Roman"/>
          <w:sz w:val="26"/>
          <w:szCs w:val="26"/>
          <w:lang w:bidi="ar"/>
        </w:rPr>
        <w:t>]</w:t>
      </w:r>
      <w:r>
        <w:rPr>
          <w:rFonts w:hint="default" w:ascii="Times New Roman" w:hAnsi="Times New Roman" w:eastAsia="MinionPro" w:cs="Times New Roman"/>
          <w:sz w:val="26"/>
          <w:szCs w:val="26"/>
          <w:lang w:val="en-GB" w:bidi="ar"/>
        </w:rPr>
        <w:t xml:space="preserve"> and</w:t>
      </w:r>
      <w:r>
        <w:rPr>
          <w:rFonts w:ascii="Times New Roman" w:hAnsi="Times New Roman" w:eastAsia="MinionPro" w:cs="Times New Roman"/>
          <w:sz w:val="26"/>
          <w:szCs w:val="26"/>
          <w:lang w:bidi="ar"/>
        </w:rPr>
        <w:t xml:space="preserve"> 2.5 mL of 200 mM phosphate buffer </w:t>
      </w:r>
      <w:r>
        <w:rPr>
          <w:rFonts w:hint="default" w:ascii="Times New Roman" w:hAnsi="Times New Roman" w:eastAsia="MinionPro" w:cs="Times New Roman"/>
          <w:sz w:val="26"/>
          <w:szCs w:val="26"/>
          <w:lang w:val="en-GB" w:bidi="ar"/>
        </w:rPr>
        <w:t xml:space="preserve">with </w:t>
      </w:r>
      <w:r>
        <w:rPr>
          <w:rFonts w:ascii="Times New Roman" w:hAnsi="Times New Roman" w:eastAsia="MinionPro" w:cs="Times New Roman"/>
          <w:sz w:val="26"/>
          <w:szCs w:val="26"/>
          <w:lang w:bidi="ar"/>
        </w:rPr>
        <w:t>pH 6.6</w:t>
      </w:r>
      <w:r>
        <w:rPr>
          <w:rFonts w:hint="default" w:ascii="Times New Roman" w:hAnsi="Times New Roman" w:eastAsia="MinionPro" w:cs="Times New Roman"/>
          <w:sz w:val="26"/>
          <w:szCs w:val="26"/>
          <w:lang w:val="en-GB" w:bidi="ar"/>
        </w:rPr>
        <w:t>. After the incubation of the mixture for 20 min at 50</w:t>
      </w:r>
      <w:r>
        <w:rPr>
          <w:rFonts w:hint="default" w:ascii="Times New Roman" w:hAnsi="Times New Roman" w:eastAsia="MinionPro" w:cs="Times New Roman"/>
          <w:sz w:val="26"/>
          <w:szCs w:val="26"/>
          <w:vertAlign w:val="superscript"/>
          <w:lang w:val="en-GB" w:bidi="ar"/>
        </w:rPr>
        <w:t xml:space="preserve">o </w:t>
      </w:r>
      <w:r>
        <w:rPr>
          <w:rFonts w:hint="default" w:ascii="Times New Roman" w:hAnsi="Times New Roman" w:eastAsia="MinionPro" w:cs="Times New Roman"/>
          <w:sz w:val="26"/>
          <w:szCs w:val="26"/>
          <w:lang w:val="en-GB" w:bidi="ar"/>
        </w:rPr>
        <w:t xml:space="preserve">C, </w:t>
      </w:r>
      <w:r>
        <w:rPr>
          <w:rFonts w:ascii="Times New Roman" w:hAnsi="Times New Roman" w:eastAsia="MinionPro" w:cs="Times New Roman"/>
          <w:sz w:val="26"/>
          <w:szCs w:val="26"/>
          <w:lang w:bidi="ar"/>
        </w:rPr>
        <w:t xml:space="preserve">2.5 mL of 10% trichloroacetic acid was added to </w:t>
      </w:r>
      <w:r>
        <w:rPr>
          <w:rFonts w:hint="default" w:ascii="Times New Roman" w:hAnsi="Times New Roman" w:eastAsia="MinionPro" w:cs="Times New Roman"/>
          <w:sz w:val="26"/>
          <w:szCs w:val="26"/>
          <w:lang w:val="en-GB" w:bidi="ar"/>
        </w:rPr>
        <w:t xml:space="preserve">the </w:t>
      </w:r>
      <w:r>
        <w:rPr>
          <w:rFonts w:ascii="Times New Roman" w:hAnsi="Times New Roman" w:eastAsia="MinionPro" w:cs="Times New Roman"/>
          <w:sz w:val="26"/>
          <w:szCs w:val="26"/>
          <w:lang w:bidi="ar"/>
        </w:rPr>
        <w:t>mixture and centrifuged at 10,000 rpm for 10 min.</w:t>
      </w:r>
      <w:r>
        <w:rPr>
          <w:rFonts w:hint="default" w:ascii="Times New Roman" w:hAnsi="Times New Roman" w:eastAsia="MinionPro" w:cs="Times New Roman"/>
          <w:sz w:val="26"/>
          <w:szCs w:val="26"/>
          <w:lang w:val="en-GB" w:bidi="ar"/>
        </w:rPr>
        <w:t xml:space="preserve"> </w:t>
      </w:r>
      <w:r>
        <w:rPr>
          <w:rFonts w:hint="default" w:ascii="Times New Roman" w:hAnsi="Times New Roman" w:eastAsia="MinionPro" w:cs="Times New Roman"/>
          <w:sz w:val="26"/>
          <w:szCs w:val="26"/>
          <w:lang w:val="en-US" w:bidi="ar"/>
        </w:rPr>
        <w:t>Five milliliters</w:t>
      </w:r>
      <w:r>
        <w:rPr>
          <w:rFonts w:ascii="Times New Roman" w:hAnsi="Times New Roman" w:eastAsia="MinionPro" w:cs="Times New Roman"/>
          <w:sz w:val="26"/>
          <w:szCs w:val="26"/>
          <w:lang w:bidi="ar"/>
        </w:rPr>
        <w:t xml:space="preserve"> of distilled water and 1 mL of 0.1% ferric chloride</w:t>
      </w:r>
      <w:r>
        <w:rPr>
          <w:rFonts w:hint="default" w:ascii="Times New Roman" w:hAnsi="Times New Roman" w:eastAsia="MinionPro" w:cs="Times New Roman"/>
          <w:sz w:val="26"/>
          <w:szCs w:val="26"/>
          <w:lang w:val="en-GB" w:bidi="ar"/>
        </w:rPr>
        <w:t xml:space="preserve"> were mixed with 5ml of the top layer of mixture, and the final solution absorbance was recorded at 700 nm.</w:t>
      </w:r>
      <w:r>
        <w:rPr>
          <w:rFonts w:ascii="Times New Roman" w:hAnsi="Times New Roman" w:eastAsia="MinionPro" w:cs="Times New Roman"/>
          <w:sz w:val="26"/>
          <w:szCs w:val="26"/>
          <w:lang w:bidi="ar"/>
        </w:rPr>
        <w:t xml:space="preserve"> </w:t>
      </w:r>
      <w:r>
        <w:rPr>
          <w:rFonts w:hint="default" w:ascii="Times New Roman" w:hAnsi="Times New Roman" w:eastAsia="MinionPro" w:cs="Times New Roman"/>
          <w:sz w:val="26"/>
          <w:szCs w:val="26"/>
          <w:lang w:val="en-GB" w:bidi="ar"/>
        </w:rPr>
        <w:t>R</w:t>
      </w:r>
      <w:r>
        <w:rPr>
          <w:rFonts w:ascii="Times New Roman" w:hAnsi="Times New Roman" w:eastAsia="MinionPro" w:cs="Times New Roman"/>
          <w:sz w:val="26"/>
          <w:szCs w:val="26"/>
          <w:lang w:bidi="ar"/>
        </w:rPr>
        <w:t xml:space="preserve">esults were </w:t>
      </w:r>
      <w:r>
        <w:rPr>
          <w:rFonts w:hint="default" w:ascii="Times New Roman" w:hAnsi="Times New Roman" w:eastAsia="MinionPro" w:cs="Times New Roman"/>
          <w:sz w:val="26"/>
          <w:szCs w:val="26"/>
          <w:lang w:val="en-GB" w:bidi="ar"/>
        </w:rPr>
        <w:t>expressed</w:t>
      </w:r>
      <w:r>
        <w:rPr>
          <w:rFonts w:ascii="Times New Roman" w:hAnsi="Times New Roman" w:eastAsia="MinionPro" w:cs="Times New Roman"/>
          <w:sz w:val="26"/>
          <w:szCs w:val="26"/>
          <w:lang w:bidi="ar"/>
        </w:rPr>
        <w:t xml:space="preserve"> by plotting absorbance against concentration</w:t>
      </w:r>
      <w:r>
        <w:rPr>
          <w:rFonts w:hint="default" w:ascii="Times New Roman" w:hAnsi="Times New Roman" w:eastAsia="MinionPro" w:cs="Times New Roman"/>
          <w:sz w:val="26"/>
          <w:szCs w:val="26"/>
          <w:lang w:val="en-GB" w:bidi="ar"/>
        </w:rPr>
        <w:t xml:space="preserve">, using ascorbic acid as standard. </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b/>
          <w:bCs/>
          <w:sz w:val="26"/>
          <w:szCs w:val="26"/>
          <w:lang w:val="en-US"/>
        </w:rPr>
        <w:t>3.0 Results and discussion</w:t>
      </w:r>
    </w:p>
    <w:p>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3.1 Characterization</w:t>
      </w:r>
    </w:p>
    <w:p>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3.1.1 Phytochemical </w:t>
      </w:r>
      <w:r>
        <w:rPr>
          <w:rFonts w:hint="default" w:ascii="Times New Roman" w:hAnsi="Times New Roman"/>
          <w:sz w:val="26"/>
          <w:szCs w:val="26"/>
          <w:lang w:val="en-US"/>
        </w:rPr>
        <w:t>properties</w:t>
      </w:r>
    </w:p>
    <w:p>
      <w:pPr>
        <w:spacing w:line="360" w:lineRule="auto"/>
        <w:jc w:val="both"/>
        <w:rPr>
          <w:rFonts w:hint="default" w:ascii="Times New Roman" w:hAnsi="Times New Roman" w:cs="Times New Roman"/>
          <w:sz w:val="24"/>
          <w:szCs w:val="24"/>
          <w:lang w:val="en-US"/>
        </w:rPr>
      </w:pPr>
      <w:r>
        <w:rPr>
          <w:rFonts w:hint="default" w:ascii="Times New Roman" w:hAnsi="Times New Roman"/>
          <w:sz w:val="26"/>
          <w:szCs w:val="26"/>
          <w:lang w:val="en-US"/>
        </w:rPr>
        <w:t xml:space="preserve">The phytochemical compositions of </w:t>
      </w:r>
      <w:r>
        <w:rPr>
          <w:rFonts w:hint="default" w:ascii="Times New Roman" w:hAnsi="Times New Roman"/>
          <w:i/>
          <w:iCs/>
          <w:sz w:val="26"/>
          <w:szCs w:val="26"/>
          <w:lang w:val="en-US"/>
        </w:rPr>
        <w:t>MOLE</w:t>
      </w:r>
      <w:r>
        <w:rPr>
          <w:rFonts w:hint="default" w:ascii="Times New Roman" w:hAnsi="Times New Roman"/>
          <w:sz w:val="26"/>
          <w:szCs w:val="26"/>
          <w:lang w:val="en-US"/>
        </w:rPr>
        <w:t xml:space="preserve"> and </w:t>
      </w:r>
      <w:r>
        <w:rPr>
          <w:rFonts w:hint="default" w:ascii="Times New Roman" w:hAnsi="Times New Roman"/>
          <w:i/>
          <w:iCs/>
          <w:sz w:val="26"/>
          <w:szCs w:val="26"/>
          <w:lang w:val="en-US"/>
        </w:rPr>
        <w:t>MOCEB</w:t>
      </w:r>
      <w:r>
        <w:rPr>
          <w:rFonts w:hint="default" w:ascii="Times New Roman" w:hAnsi="Times New Roman"/>
          <w:sz w:val="26"/>
          <w:szCs w:val="26"/>
          <w:lang w:val="en-US"/>
        </w:rPr>
        <w:t xml:space="preserve"> are illustrated in </w:t>
      </w:r>
      <w:r>
        <w:rPr>
          <w:rFonts w:hint="default" w:ascii="Times New Roman" w:hAnsi="Times New Roman"/>
          <w:b/>
          <w:bCs/>
          <w:sz w:val="26"/>
          <w:szCs w:val="26"/>
          <w:lang w:val="en-US"/>
        </w:rPr>
        <w:t>Table 1</w:t>
      </w:r>
      <w:r>
        <w:rPr>
          <w:rFonts w:hint="default" w:ascii="Times New Roman" w:hAnsi="Times New Roman"/>
          <w:sz w:val="26"/>
          <w:szCs w:val="26"/>
          <w:lang w:val="en-US"/>
        </w:rPr>
        <w:t xml:space="preserve">. The results show that both </w:t>
      </w:r>
      <w:r>
        <w:rPr>
          <w:rFonts w:hint="default" w:ascii="Times New Roman" w:hAnsi="Times New Roman"/>
          <w:i/>
          <w:iCs/>
          <w:sz w:val="26"/>
          <w:szCs w:val="26"/>
          <w:lang w:val="en-US"/>
        </w:rPr>
        <w:t>MOLE</w:t>
      </w:r>
      <w:r>
        <w:rPr>
          <w:rFonts w:hint="default" w:ascii="Times New Roman" w:hAnsi="Times New Roman"/>
          <w:sz w:val="26"/>
          <w:szCs w:val="26"/>
          <w:lang w:val="en-US"/>
        </w:rPr>
        <w:t xml:space="preserve"> and </w:t>
      </w:r>
      <w:r>
        <w:rPr>
          <w:rFonts w:hint="default" w:ascii="Times New Roman" w:hAnsi="Times New Roman"/>
          <w:i/>
          <w:iCs/>
          <w:sz w:val="26"/>
          <w:szCs w:val="26"/>
          <w:lang w:val="en-US"/>
        </w:rPr>
        <w:t>MOCEB</w:t>
      </w:r>
      <w:r>
        <w:rPr>
          <w:rFonts w:hint="default" w:ascii="Times New Roman" w:hAnsi="Times New Roman"/>
          <w:sz w:val="26"/>
          <w:szCs w:val="26"/>
          <w:lang w:val="en-US"/>
        </w:rPr>
        <w:t xml:space="preserve"> contain significant amounts (+++) of flavonoids, and phenolic compounds, and also moderate amounts (++) of tannins and alkaloids. Trace amounts of benzoic acid were detected in </w:t>
      </w:r>
      <w:r>
        <w:rPr>
          <w:rFonts w:hint="default" w:ascii="Times New Roman" w:hAnsi="Times New Roman"/>
          <w:i/>
          <w:iCs/>
          <w:sz w:val="26"/>
          <w:szCs w:val="26"/>
          <w:lang w:val="en-US"/>
        </w:rPr>
        <w:t>MOLE</w:t>
      </w:r>
      <w:r>
        <w:rPr>
          <w:rFonts w:hint="default" w:ascii="Times New Roman" w:hAnsi="Times New Roman"/>
          <w:sz w:val="26"/>
          <w:szCs w:val="26"/>
          <w:lang w:val="en-US"/>
        </w:rPr>
        <w:t xml:space="preserve"> and </w:t>
      </w:r>
      <w:r>
        <w:rPr>
          <w:rFonts w:hint="default" w:ascii="Times New Roman" w:hAnsi="Times New Roman"/>
          <w:i/>
          <w:iCs/>
          <w:sz w:val="26"/>
          <w:szCs w:val="26"/>
          <w:lang w:val="en-US"/>
        </w:rPr>
        <w:t>MOCEB</w:t>
      </w:r>
      <w:r>
        <w:rPr>
          <w:rFonts w:hint="default" w:ascii="Times New Roman" w:hAnsi="Times New Roman"/>
          <w:sz w:val="26"/>
          <w:szCs w:val="26"/>
          <w:lang w:val="en-US"/>
        </w:rPr>
        <w:t xml:space="preserve">, while the aromatic compounds were undetected after </w:t>
      </w:r>
      <w:r>
        <w:rPr>
          <w:rFonts w:hint="default" w:ascii="Times New Roman" w:hAnsi="Times New Roman"/>
          <w:i/>
          <w:iCs/>
          <w:sz w:val="26"/>
          <w:szCs w:val="26"/>
          <w:lang w:val="en-US"/>
        </w:rPr>
        <w:t>MOCEB</w:t>
      </w:r>
      <w:r>
        <w:rPr>
          <w:rFonts w:hint="default" w:ascii="Times New Roman" w:hAnsi="Times New Roman"/>
          <w:sz w:val="26"/>
          <w:szCs w:val="26"/>
          <w:lang w:val="en-US"/>
        </w:rPr>
        <w:t xml:space="preserve"> synthesis. These results satisfactorily authenticate the viability of </w:t>
      </w:r>
      <w:r>
        <w:rPr>
          <w:rFonts w:hint="default" w:ascii="Times New Roman" w:hAnsi="Times New Roman"/>
          <w:i/>
          <w:iCs/>
          <w:sz w:val="26"/>
          <w:szCs w:val="26"/>
          <w:lang w:val="en-US"/>
        </w:rPr>
        <w:t>MOCEB</w:t>
      </w:r>
      <w:r>
        <w:rPr>
          <w:rFonts w:hint="default" w:ascii="Times New Roman" w:hAnsi="Times New Roman"/>
          <w:sz w:val="26"/>
          <w:szCs w:val="26"/>
          <w:lang w:val="en-US"/>
        </w:rPr>
        <w:t xml:space="preserve"> to promote antioxidant activities during tomato fruit storage.</w:t>
      </w:r>
    </w:p>
    <w:tbl>
      <w:tblPr>
        <w:tblStyle w:val="3"/>
        <w:tblW w:w="9299" w:type="dxa"/>
        <w:tblInd w:w="96" w:type="dxa"/>
        <w:tblLayout w:type="fixed"/>
        <w:tblCellMar>
          <w:top w:w="0" w:type="dxa"/>
          <w:left w:w="108" w:type="dxa"/>
          <w:bottom w:w="0" w:type="dxa"/>
          <w:right w:w="108" w:type="dxa"/>
        </w:tblCellMar>
      </w:tblPr>
      <w:tblGrid>
        <w:gridCol w:w="3761"/>
        <w:gridCol w:w="2640"/>
        <w:gridCol w:w="2898"/>
      </w:tblGrid>
      <w:tr>
        <w:tblPrEx>
          <w:tblCellMar>
            <w:top w:w="0" w:type="dxa"/>
            <w:left w:w="108" w:type="dxa"/>
            <w:bottom w:w="0" w:type="dxa"/>
            <w:right w:w="108" w:type="dxa"/>
          </w:tblCellMar>
        </w:tblPrEx>
        <w:trPr>
          <w:trHeight w:val="503" w:hRule="atLeast"/>
        </w:trPr>
        <w:tc>
          <w:tcPr>
            <w:tcW w:w="9299" w:type="dxa"/>
            <w:gridSpan w:val="3"/>
            <w:tcBorders>
              <w:top w:val="nil"/>
              <w:left w:val="nil"/>
              <w:bottom w:val="single" w:color="auto" w:sz="4" w:space="0"/>
              <w:right w:val="nil"/>
            </w:tcBorders>
            <w:shd w:val="clear" w:color="auto" w:fill="auto"/>
            <w:noWrap/>
            <w:vAlign w:val="center"/>
          </w:tcPr>
          <w:p>
            <w:pPr>
              <w:jc w:val="both"/>
              <w:rPr>
                <w:rFonts w:ascii="Times New Roman" w:hAnsi="Times New Roman" w:cs="Times New Roman"/>
                <w:color w:val="000000"/>
                <w:sz w:val="24"/>
                <w:szCs w:val="24"/>
              </w:rPr>
            </w:pPr>
            <w:r>
              <w:rPr>
                <w:rFonts w:ascii="Times New Roman" w:hAnsi="Times New Roman" w:cs="Times New Roman"/>
                <w:color w:val="000000"/>
                <w:sz w:val="24"/>
                <w:szCs w:val="24"/>
              </w:rPr>
              <w:t>Table 1: Phytochemical result of MOLE and MOCEB</w:t>
            </w:r>
          </w:p>
        </w:tc>
      </w:tr>
      <w:tr>
        <w:tblPrEx>
          <w:tblCellMar>
            <w:top w:w="0" w:type="dxa"/>
            <w:left w:w="108" w:type="dxa"/>
            <w:bottom w:w="0" w:type="dxa"/>
            <w:right w:w="108" w:type="dxa"/>
          </w:tblCellMar>
        </w:tblPrEx>
        <w:trPr>
          <w:trHeight w:val="503" w:hRule="atLeast"/>
        </w:trPr>
        <w:tc>
          <w:tcPr>
            <w:tcW w:w="3761" w:type="dxa"/>
            <w:vMerge w:val="restart"/>
            <w:tcBorders>
              <w:top w:val="single" w:color="auto" w:sz="4" w:space="0"/>
              <w:left w:val="nil"/>
              <w:right w:val="nil"/>
            </w:tcBorders>
            <w:shd w:val="clear" w:color="auto" w:fill="auto"/>
            <w:noWrap/>
            <w:vAlign w:val="center"/>
          </w:tcPr>
          <w:p>
            <w:pPr>
              <w:jc w:val="center"/>
              <w:textAlignment w:val="center"/>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Constituent</w:t>
            </w:r>
          </w:p>
        </w:tc>
        <w:tc>
          <w:tcPr>
            <w:tcW w:w="5538" w:type="dxa"/>
            <w:gridSpan w:val="2"/>
            <w:tcBorders>
              <w:top w:val="single" w:color="auto" w:sz="4" w:space="0"/>
              <w:left w:val="nil"/>
              <w:bottom w:val="single" w:color="auto" w:sz="4" w:space="0"/>
              <w:right w:val="nil"/>
            </w:tcBorders>
            <w:shd w:val="clear" w:color="auto" w:fill="auto"/>
            <w:noWrap/>
            <w:vAlign w:val="center"/>
          </w:tcPr>
          <w:p>
            <w:pPr>
              <w:jc w:val="center"/>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Qualitative mount</w:t>
            </w:r>
          </w:p>
        </w:tc>
      </w:tr>
      <w:tr>
        <w:tblPrEx>
          <w:tblCellMar>
            <w:top w:w="0" w:type="dxa"/>
            <w:left w:w="108" w:type="dxa"/>
            <w:bottom w:w="0" w:type="dxa"/>
            <w:right w:w="108" w:type="dxa"/>
          </w:tblCellMar>
        </w:tblPrEx>
        <w:trPr>
          <w:trHeight w:val="503" w:hRule="atLeast"/>
        </w:trPr>
        <w:tc>
          <w:tcPr>
            <w:tcW w:w="3761" w:type="dxa"/>
            <w:vMerge w:val="continue"/>
            <w:tcBorders>
              <w:left w:val="nil"/>
              <w:bottom w:val="single" w:color="auto" w:sz="4" w:space="0"/>
              <w:right w:val="nil"/>
            </w:tcBorders>
            <w:shd w:val="clear" w:color="auto" w:fill="auto"/>
            <w:noWrap/>
            <w:vAlign w:val="center"/>
          </w:tcPr>
          <w:p>
            <w:pPr>
              <w:rPr>
                <w:rFonts w:ascii="Times New Roman" w:hAnsi="Times New Roman" w:cs="Times New Roman"/>
                <w:color w:val="000000"/>
                <w:sz w:val="24"/>
                <w:szCs w:val="24"/>
              </w:rPr>
            </w:pPr>
          </w:p>
        </w:tc>
        <w:tc>
          <w:tcPr>
            <w:tcW w:w="2640" w:type="dxa"/>
            <w:tcBorders>
              <w:top w:val="single" w:color="auto" w:sz="4" w:space="0"/>
              <w:left w:val="nil"/>
              <w:bottom w:val="single" w:color="auto" w:sz="4" w:space="0"/>
              <w:right w:val="nil"/>
            </w:tcBorders>
            <w:shd w:val="clear" w:color="auto" w:fill="auto"/>
            <w:noWrap/>
            <w:vAlign w:val="center"/>
          </w:tcPr>
          <w:p>
            <w:pPr>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MOLE</w:t>
            </w:r>
          </w:p>
        </w:tc>
        <w:tc>
          <w:tcPr>
            <w:tcW w:w="2898" w:type="dxa"/>
            <w:tcBorders>
              <w:top w:val="single" w:color="auto" w:sz="4" w:space="0"/>
              <w:left w:val="nil"/>
              <w:bottom w:val="single" w:color="auto" w:sz="4" w:space="0"/>
              <w:right w:val="nil"/>
            </w:tcBorders>
            <w:shd w:val="clear" w:color="auto" w:fill="auto"/>
            <w:noWrap/>
            <w:vAlign w:val="center"/>
          </w:tcPr>
          <w:p>
            <w:pPr>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MOCEB</w:t>
            </w:r>
          </w:p>
        </w:tc>
      </w:tr>
      <w:tr>
        <w:tblPrEx>
          <w:tblCellMar>
            <w:top w:w="0" w:type="dxa"/>
            <w:left w:w="108" w:type="dxa"/>
            <w:bottom w:w="0" w:type="dxa"/>
            <w:right w:w="108" w:type="dxa"/>
          </w:tblCellMar>
        </w:tblPrEx>
        <w:trPr>
          <w:trHeight w:val="503" w:hRule="atLeast"/>
        </w:trPr>
        <w:tc>
          <w:tcPr>
            <w:tcW w:w="3761" w:type="dxa"/>
            <w:tcBorders>
              <w:top w:val="single" w:color="auto" w:sz="4" w:space="0"/>
              <w:left w:val="nil"/>
              <w:bottom w:val="nil"/>
              <w:right w:val="nil"/>
            </w:tcBorders>
            <w:shd w:val="clear" w:color="auto" w:fill="auto"/>
            <w:noWrap/>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Alkaloids</w:t>
            </w:r>
          </w:p>
        </w:tc>
        <w:tc>
          <w:tcPr>
            <w:tcW w:w="2640" w:type="dxa"/>
            <w:tcBorders>
              <w:top w:val="single" w:color="auto" w:sz="4" w:space="0"/>
              <w:left w:val="nil"/>
              <w:bottom w:val="nil"/>
              <w:right w:val="nil"/>
            </w:tcBorders>
            <w:shd w:val="clear" w:color="auto" w:fill="auto"/>
            <w:noWrap/>
            <w:vAlign w:val="center"/>
          </w:tcPr>
          <w:p>
            <w:pPr>
              <w:jc w:val="center"/>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bidi="ar"/>
              </w:rPr>
              <w:t>++</w:t>
            </w:r>
          </w:p>
        </w:tc>
        <w:tc>
          <w:tcPr>
            <w:tcW w:w="2898" w:type="dxa"/>
            <w:tcBorders>
              <w:top w:val="single" w:color="auto" w:sz="4" w:space="0"/>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tblPrEx>
          <w:tblCellMar>
            <w:top w:w="0" w:type="dxa"/>
            <w:left w:w="108" w:type="dxa"/>
            <w:bottom w:w="0" w:type="dxa"/>
            <w:right w:w="108" w:type="dxa"/>
          </w:tblCellMar>
        </w:tblPrEx>
        <w:trPr>
          <w:trHeight w:val="503" w:hRule="atLeast"/>
        </w:trPr>
        <w:tc>
          <w:tcPr>
            <w:tcW w:w="3761" w:type="dxa"/>
            <w:tcBorders>
              <w:top w:val="nil"/>
              <w:left w:val="nil"/>
              <w:bottom w:val="nil"/>
              <w:right w:val="nil"/>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Tannins</w:t>
            </w:r>
          </w:p>
        </w:tc>
        <w:tc>
          <w:tcPr>
            <w:tcW w:w="2640" w:type="dxa"/>
            <w:tcBorders>
              <w:top w:val="nil"/>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98" w:type="dxa"/>
            <w:tcBorders>
              <w:top w:val="nil"/>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tblPrEx>
          <w:tblCellMar>
            <w:top w:w="0" w:type="dxa"/>
            <w:left w:w="108" w:type="dxa"/>
            <w:bottom w:w="0" w:type="dxa"/>
            <w:right w:w="108" w:type="dxa"/>
          </w:tblCellMar>
        </w:tblPrEx>
        <w:trPr>
          <w:trHeight w:val="503" w:hRule="atLeast"/>
        </w:trPr>
        <w:tc>
          <w:tcPr>
            <w:tcW w:w="3761" w:type="dxa"/>
            <w:tcBorders>
              <w:top w:val="nil"/>
              <w:left w:val="nil"/>
              <w:bottom w:val="nil"/>
              <w:right w:val="nil"/>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Flavonoids</w:t>
            </w:r>
          </w:p>
        </w:tc>
        <w:tc>
          <w:tcPr>
            <w:tcW w:w="2640" w:type="dxa"/>
            <w:tcBorders>
              <w:top w:val="nil"/>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98" w:type="dxa"/>
            <w:tcBorders>
              <w:top w:val="nil"/>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tblPrEx>
          <w:tblCellMar>
            <w:top w:w="0" w:type="dxa"/>
            <w:left w:w="108" w:type="dxa"/>
            <w:bottom w:w="0" w:type="dxa"/>
            <w:right w:w="108" w:type="dxa"/>
          </w:tblCellMar>
        </w:tblPrEx>
        <w:trPr>
          <w:trHeight w:val="503" w:hRule="atLeast"/>
        </w:trPr>
        <w:tc>
          <w:tcPr>
            <w:tcW w:w="3761" w:type="dxa"/>
            <w:tcBorders>
              <w:top w:val="nil"/>
              <w:left w:val="nil"/>
              <w:bottom w:val="nil"/>
              <w:right w:val="nil"/>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Polyphenols and phenolic acids</w:t>
            </w:r>
          </w:p>
        </w:tc>
        <w:tc>
          <w:tcPr>
            <w:tcW w:w="2640" w:type="dxa"/>
            <w:tcBorders>
              <w:top w:val="nil"/>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98" w:type="dxa"/>
            <w:tcBorders>
              <w:top w:val="nil"/>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tblPrEx>
          <w:tblCellMar>
            <w:top w:w="0" w:type="dxa"/>
            <w:left w:w="108" w:type="dxa"/>
            <w:bottom w:w="0" w:type="dxa"/>
            <w:right w:w="108" w:type="dxa"/>
          </w:tblCellMar>
        </w:tblPrEx>
        <w:trPr>
          <w:trHeight w:val="503" w:hRule="atLeast"/>
        </w:trPr>
        <w:tc>
          <w:tcPr>
            <w:tcW w:w="3761" w:type="dxa"/>
            <w:tcBorders>
              <w:top w:val="nil"/>
              <w:left w:val="nil"/>
              <w:bottom w:val="nil"/>
              <w:right w:val="nil"/>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Hydroxycinnamic acid and styrene</w:t>
            </w:r>
          </w:p>
        </w:tc>
        <w:tc>
          <w:tcPr>
            <w:tcW w:w="2640" w:type="dxa"/>
            <w:tcBorders>
              <w:top w:val="nil"/>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98" w:type="dxa"/>
            <w:tcBorders>
              <w:top w:val="nil"/>
              <w:left w:val="nil"/>
              <w:bottom w:val="nil"/>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tblPrEx>
          <w:tblCellMar>
            <w:top w:w="0" w:type="dxa"/>
            <w:left w:w="108" w:type="dxa"/>
            <w:bottom w:w="0" w:type="dxa"/>
            <w:right w:w="108" w:type="dxa"/>
          </w:tblCellMar>
        </w:tblPrEx>
        <w:trPr>
          <w:trHeight w:val="503" w:hRule="atLeast"/>
        </w:trPr>
        <w:tc>
          <w:tcPr>
            <w:tcW w:w="3761" w:type="dxa"/>
            <w:tcBorders>
              <w:top w:val="nil"/>
              <w:left w:val="nil"/>
              <w:bottom w:val="single" w:color="auto" w:sz="4" w:space="0"/>
              <w:right w:val="nil"/>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Benzoic acid</w:t>
            </w:r>
          </w:p>
        </w:tc>
        <w:tc>
          <w:tcPr>
            <w:tcW w:w="2640" w:type="dxa"/>
            <w:tcBorders>
              <w:top w:val="nil"/>
              <w:left w:val="nil"/>
              <w:bottom w:val="single" w:color="auto" w:sz="4" w:space="0"/>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98" w:type="dxa"/>
            <w:tcBorders>
              <w:top w:val="nil"/>
              <w:left w:val="nil"/>
              <w:bottom w:val="single" w:color="auto" w:sz="4" w:space="0"/>
              <w:right w:val="nil"/>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bl>
    <w:p>
      <w:pPr>
        <w:keepNext w:val="0"/>
        <w:keepLines w:val="0"/>
        <w:pageBreakBefore w:val="0"/>
        <w:widowControl/>
        <w:kinsoku/>
        <w:wordWrap/>
        <w:overflowPunct/>
        <w:topLinePunct w:val="0"/>
        <w:autoSpaceDE/>
        <w:autoSpaceDN/>
        <w:bidi w:val="0"/>
        <w:adjustRightInd/>
        <w:snapToGrid/>
        <w:spacing w:before="541" w:beforeLines="150" w:after="361" w:afterLines="100" w:line="36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3.1.2 FTIR</w:t>
      </w: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3.1.2.1 FTIR of </w:t>
      </w:r>
      <w:r>
        <w:rPr>
          <w:rFonts w:hint="default" w:ascii="Times New Roman" w:hAnsi="Times New Roman" w:cs="Times New Roman"/>
          <w:i/>
          <w:iCs/>
          <w:sz w:val="24"/>
          <w:szCs w:val="24"/>
          <w:lang w:val="en-US"/>
        </w:rPr>
        <w:t>MOLE</w:t>
      </w:r>
      <w:r>
        <w:rPr>
          <w:rFonts w:hint="default" w:ascii="Times New Roman" w:hAnsi="Times New Roman" w:cs="Times New Roman"/>
          <w:sz w:val="24"/>
          <w:szCs w:val="24"/>
          <w:lang w:val="en-US"/>
        </w:rPr>
        <w:t xml:space="preserve"> and chitosan</w:t>
      </w:r>
    </w:p>
    <w:p>
      <w:pPr>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The Fourier transform infra-red spectra (FTIR) of </w:t>
      </w:r>
      <w:r>
        <w:rPr>
          <w:rFonts w:ascii="Times New Roman" w:hAnsi="Times New Roman" w:cs="Times New Roman"/>
          <w:i/>
          <w:iCs/>
          <w:color w:val="000000" w:themeColor="text1"/>
          <w:sz w:val="26"/>
          <w:szCs w:val="26"/>
          <w14:textFill>
            <w14:solidFill>
              <w14:schemeClr w14:val="tx1"/>
            </w14:solidFill>
          </w14:textFill>
        </w:rPr>
        <w:t xml:space="preserve">Moringa </w:t>
      </w:r>
      <w:r>
        <w:rPr>
          <w:rFonts w:ascii="Times New Roman" w:hAnsi="Times New Roman"/>
          <w:i/>
          <w:iCs/>
          <w:color w:val="000000" w:themeColor="text1"/>
          <w:sz w:val="26"/>
          <w:szCs w:val="26"/>
          <w14:textFill>
            <w14:solidFill>
              <w14:schemeClr w14:val="tx1"/>
            </w14:solidFill>
          </w14:textFill>
        </w:rPr>
        <w:t>Oleifera</w:t>
      </w:r>
      <w:r>
        <w:rPr>
          <w:rFonts w:ascii="Times New Roman" w:hAnsi="Times New Roman" w:cs="Times New Roman"/>
          <w:color w:val="000000" w:themeColor="text1"/>
          <w:sz w:val="26"/>
          <w:szCs w:val="26"/>
          <w14:textFill>
            <w14:solidFill>
              <w14:schemeClr w14:val="tx1"/>
            </w14:solidFill>
          </w14:textFill>
        </w:rPr>
        <w:t xml:space="preserve"> leaf extract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chitosan film were depicted in </w:t>
      </w:r>
      <w:r>
        <w:rPr>
          <w:rFonts w:ascii="Times New Roman" w:hAnsi="Times New Roman" w:cs="Times New Roman"/>
          <w:b/>
          <w:bCs/>
          <w:color w:val="000000" w:themeColor="text1"/>
          <w:sz w:val="26"/>
          <w:szCs w:val="26"/>
          <w14:textFill>
            <w14:solidFill>
              <w14:schemeClr w14:val="tx1"/>
            </w14:solidFill>
          </w14:textFill>
        </w:rPr>
        <w:t>Figs</w:t>
      </w:r>
      <w:r>
        <w:rPr>
          <w:rFonts w:ascii="Times New Roman" w:hAnsi="Times New Roman" w:cs="Times New Roman"/>
          <w:color w:val="000000" w:themeColor="text1"/>
          <w:sz w:val="26"/>
          <w:szCs w:val="26"/>
          <w14:textFill>
            <w14:solidFill>
              <w14:schemeClr w14:val="tx1"/>
            </w14:solidFill>
          </w14:textFill>
        </w:rPr>
        <w:t>. 1 and 2, respectively. The infrared spectrum of MOLE produced nine prominent peaks at 3482.97, 2947.17, 2004.61, 1688.03, 1641.42, 1557.34, 1081.72, 1026.22 and 528.86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The broad wavelength at 3482.97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is attributed to O–H group</w:t>
      </w:r>
      <w:r>
        <w:rPr>
          <w:rFonts w:hint="default" w:ascii="Times New Roman" w:hAnsi="Times New Roman" w:cs="Times New Roman"/>
          <w:color w:val="000000" w:themeColor="text1"/>
          <w:sz w:val="26"/>
          <w:szCs w:val="26"/>
          <w:lang w:val="en-US"/>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 xml:space="preserve"> which highlights the presence of phenol functional group in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&lt;EndNote&gt;&lt;Cite&gt;&lt;Author&gt;Khalid&lt;/Author&gt;&lt;Year&gt;2023&lt;/Year&gt;&lt;RecNum&gt;110&lt;/RecNum&gt;&lt;DisplayText&gt;(Khalid et al., 2023)&lt;/DisplayText&gt;&lt;record&gt;&lt;rec-number&gt;110&lt;/rec-number&gt;&lt;foreign-keys&gt;&lt;key app="EN" db-id="edvassfwttpfsqe0xsop2wwg2f05wx552500" timestamp="1698553661"&gt;110&lt;/key&gt;&lt;/foreign-keys&gt;&lt;ref-type name="Journal Article"&gt;17&lt;/ref-type&gt;&lt;contributors&gt;&lt;authors&gt;&lt;author&gt;Khalid, Shakeela&lt;/author&gt;&lt;author&gt;Arshad, Muhammad&lt;/author&gt;&lt;author&gt;Mahmood, Shahid&lt;/author&gt;&lt;author&gt;Siddique, Farzana&lt;/author&gt;&lt;author&gt;Roobab, Ume&lt;/author&gt;&lt;author&gt;Ranjha, Muhammad Modassar Ali Nawaz&lt;/author&gt;&lt;author&gt;Lorenzo, Jose M&lt;/author&gt;&lt;/authors&gt;&lt;/contributors&gt;&lt;titles&gt;&lt;title&gt;Extraction and Quantification of Moringa oleifera Leaf Powder Extracts by HPLC and FTIR&lt;/title&gt;&lt;secondary-title&gt;Food Analytical Methods&lt;/secondary-title&gt;&lt;/titles&gt;&lt;periodical&gt;&lt;full-title&gt;Food Analytical Methods&lt;/full-title&gt;&lt;/periodical&gt;&lt;pages&gt;787-797&lt;/pages&gt;&lt;volume&gt;16&lt;/volume&gt;&lt;number&gt;4&lt;/number&gt;&lt;dates&gt;&lt;year&gt;2023&lt;/year&gt;&lt;/dates&gt;&lt;isbn&gt;1936-9751&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(Khalid et al., 2023)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This is not out of place given that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substrate is laden with flavonoids which possess O–H functional group. Symmetric and asymmetric stretching of aliphatic C-H group of alkanes was detected by 2947.17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vibration while the peak at 2004.61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translates to a potent C–C triple bond alkyne group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&lt;EndNote&gt;&lt;Cite&gt;&lt;Author&gt;Naik&lt;/Author&gt;&lt;Year&gt;2023&lt;/Year&gt;&lt;RecNum&gt;111&lt;/RecNum&gt;&lt;DisplayText&gt;(Naik et al., 2023)&lt;/DisplayText&gt;&lt;record&gt;&lt;rec-number&gt;111&lt;/rec-number&gt;&lt;foreign-keys&gt;&lt;key app="EN" db-id="edvassfwttpfsqe0xsop2wwg2f05wx552500" timestamp="1698556276"&gt;111&lt;/key&gt;&lt;/foreign-keys&gt;&lt;ref-type name="Journal Article"&gt;17&lt;/ref-type&gt;&lt;contributors&gt;&lt;authors&gt;&lt;author&gt;Naik, Naman Kumar&lt;/author&gt;&lt;author&gt;Singh, Rakesh Kr&lt;/author&gt;&lt;author&gt;Singh, Pallavi&lt;/author&gt;&lt;author&gt;Kumar, Nishant&lt;/author&gt;&lt;author&gt;Ahmed, Ghufran&lt;/author&gt;&lt;author&gt;Narayan, Shyam&lt;/author&gt;&lt;/authors&gt;&lt;/contributors&gt;&lt;titles&gt;&lt;title&gt;Eco-friendly produced superfine Moringa oleifera nanometric food powder and its characteristic effect on its structural, morphological and toxicity for varied applications as new functional nanomaterials&lt;/title&gt;&lt;secondary-title&gt;Materials Today: Proceedings&lt;/secondary-title&gt;&lt;/titles&gt;&lt;periodical&gt;&lt;full-title&gt;Materials Today: Proceedings&lt;/full-title&gt;&lt;/periodical&gt;&lt;pages&gt;1382-1391&lt;/pages&gt;&lt;volume&gt;80&lt;/volume&gt;&lt;dates&gt;&lt;year&gt;2023&lt;/year&gt;&lt;/dates&gt;&lt;isbn&gt;2214-7853&lt;/isbn&gt;&lt;urls&gt;&lt;/urls&gt;&lt;/record&gt;&lt;/Cite&gt;&lt;/EndNote&gt;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(Naik et al., 2023)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These observations corroborate the findings of other researchers </w:t>
      </w:r>
      <w:r>
        <w:rPr>
          <w:rFonts w:ascii="Times New Roman" w:hAnsi="Times New Roman" w:cs="Times New Roman"/>
          <w:color w:val="000000" w:themeColor="text1"/>
          <w:sz w:val="26"/>
          <w:szCs w:val="26"/>
          <w14:textFill>
            <w14:solidFill>
              <w14:schemeClr w14:val="tx1"/>
            </w14:solidFill>
          </w14:textFill>
        </w:rPr>
        <w:fldChar w:fldCharType="begin">
          <w:fldData xml:space="preserve">PEVuZE5vdGU+PENpdGU+PEF1dGhvcj5kYSBTaWx2YTwvQXV0aG9yPjxZZWFyPjIwMjI8L1llYXI+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</w:fldData>
        </w:fldChar>
      </w:r>
      <w:r>
        <w:rPr>
          <w:rFonts w:ascii="Times New Roman" w:hAnsi="Times New Roman" w:cs="Times New Roman"/>
          <w:color w:val="000000" w:themeColor="text1"/>
          <w:sz w:val="26"/>
          <w:szCs w:val="26"/>
          <w14:textFill>
            <w14:solidFill>
              <w14:schemeClr w14:val="tx1"/>
            </w14:solidFill>
          </w14:textFill>
        </w:rPr>
        <w:instrText xml:space="preserve"> ADDIN EN.CITE </w:instrText>
      </w:r>
      <w:r>
        <w:rPr>
          <w:rFonts w:ascii="Times New Roman" w:hAnsi="Times New Roman" w:cs="Times New Roman"/>
          <w:color w:val="000000" w:themeColor="text1"/>
          <w:sz w:val="26"/>
          <w:szCs w:val="26"/>
          <w14:textFill>
            <w14:solidFill>
              <w14:schemeClr w14:val="tx1"/>
            </w14:solidFill>
          </w14:textFill>
        </w:rPr>
        <w:fldChar w:fldCharType="begin">
          <w:fldData xml:space="preserve">PEVuZE5vdGU+PENpdGU+PEF1dGhvcj5kYSBTaWx2YTwvQXV0aG9yPjxZZWFyPjIwMjI8L1llYXI+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</w:fldData>
        </w:fldChar>
      </w:r>
      <w:r>
        <w:rPr>
          <w:rFonts w:ascii="Times New Roman" w:hAnsi="Times New Roman" w:cs="Times New Roman"/>
          <w:color w:val="000000" w:themeColor="text1"/>
          <w:sz w:val="26"/>
          <w:szCs w:val="26"/>
          <w14:textFill>
            <w14:solidFill>
              <w14:schemeClr w14:val="tx1"/>
            </w14:solidFill>
          </w14:textFill>
        </w:rPr>
        <w:instrText xml:space="preserve"> ADDIN EN.CITE.DATA </w:instrTex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(da Silva et al., 2022, Khalid et al., 2023, Marrufo et al., 2013)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who reported significant presence of alkane compounds in leaf extracts of </w:t>
      </w:r>
      <w:r>
        <w:rPr>
          <w:rFonts w:ascii="Times New Roman" w:hAnsi="Times New Roman" w:cs="Times New Roman"/>
          <w:i/>
          <w:iCs/>
          <w:color w:val="000000" w:themeColor="text1"/>
          <w:sz w:val="26"/>
          <w:szCs w:val="26"/>
          <w14:textFill>
            <w14:solidFill>
              <w14:schemeClr w14:val="tx1"/>
            </w14:solidFill>
          </w14:textFill>
        </w:rPr>
        <w:t>Moringa Oleifera</w:t>
      </w:r>
      <w:r>
        <w:rPr>
          <w:rFonts w:ascii="Times New Roman" w:hAnsi="Times New Roman" w:cs="Times New Roman"/>
          <w:color w:val="000000" w:themeColor="text1"/>
          <w:sz w:val="26"/>
          <w:szCs w:val="26"/>
          <w14:textFill>
            <w14:solidFill>
              <w14:schemeClr w14:val="tx1"/>
            </w14:solidFill>
          </w14:textFill>
        </w:rPr>
        <w:t xml:space="preserve">. Also, the antimicrobial activities of these compounds have been established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lang w:val="en-US"/>
          <w14:textFill>
            <w14:solidFill>
              <w14:schemeClr w14:val="tx1"/>
            </w14:solidFill>
          </w14:textFill>
        </w:rPr>
        <w:instrText xml:space="preserve"> ADDIN EN.CITE &lt;EndNote&gt;&lt;Cite&gt;&lt;Author&gt;Wei&lt;/Author&gt;&lt;Year&gt;2023&lt;/Year&gt;&lt;RecNum&gt;116&lt;/RecNum&gt;&lt;DisplayText&gt;(Wei et al., 2023, Carev et al., 2023a)&lt;/DisplayText&gt;&lt;record&gt;&lt;rec-number&gt;116&lt;/rec-number&gt;&lt;foreign-keys&gt;&lt;key app="EN" db-id="edvassfwttpfsqe0xsop2wwg2f05wx552500" timestamp="1698565594"&gt;116&lt;/key&gt;&lt;/foreign-keys&gt;&lt;ref-type name="Journal Article"&gt;17&lt;/ref-type&gt;&lt;contributors&gt;&lt;authors&gt;&lt;author&gt;Wei, Lei&lt;/author&gt;&lt;author&gt;Wang, Wei&lt;/author&gt;&lt;author&gt;Hou, Yueying&lt;/author&gt;&lt;author&gt;Xie, Xiaoyang&lt;/author&gt;&lt;author&gt;Li, Xiao&lt;/author&gt;&lt;author&gt;Chen, Fei&lt;/author&gt;&lt;author&gt;Wang, Zhiyao&lt;/author&gt;&lt;author&gt;Zhou, Yong&lt;/author&gt;&lt;author&gt;Li, Feifei&lt;/author&gt;&lt;author&gt;Jing, Bingnian&lt;/author&gt;&lt;/authors&gt;&lt;/contributors&gt;&lt;titles&gt;&lt;title&gt;Chemical Composition, Antibacterial Test, and Antioxidant Activity of Essential Oils from Fresh and Dried Stropharia rugosoannulata&lt;/title&gt;&lt;secondary-title&gt;Journal of Chemistry&lt;/secondary-title&gt;&lt;/titles&gt;&lt;periodical&gt;&lt;full-title&gt;Journal of Chemistry&lt;/full-title&gt;&lt;/periodical&gt;&lt;volume&gt;2023&lt;/volume&gt;&lt;dates&gt;&lt;year&gt;2023&lt;/year&gt;&lt;/dates&gt;&lt;isbn&gt;2090-9063&lt;/isbn&gt;&lt;urls&gt;&lt;/urls&gt;&lt;/record&gt;&lt;/Cite&gt;&lt;Cite&gt;&lt;Author&gt;Carev&lt;/Author&gt;&lt;Year&gt;2023&lt;/Year&gt;&lt;RecNum&gt;137&lt;/RecNum&gt;&lt;record&gt;&lt;rec-number&gt;137&lt;/rec-number&gt;&lt;foreign-keys&gt;&lt;key app="EN" db-id="edvassfwttpfsqe0xsop2wwg2f05wx552500" timestamp="1699435796"&gt;137&lt;/key&gt;&lt;/foreign-keys&gt;&lt;ref-type name="Journal Article"&gt;17&lt;/ref-type&gt;&lt;contributors&gt;&lt;authors&gt;&lt;author&gt;Carev, Ivana&lt;/author&gt;&lt;author&gt;Gelemanović, Andrea&lt;/author&gt;&lt;author&gt;Glumac, Mateo&lt;/author&gt;&lt;author&gt;Tutek, Klaudia&lt;/author&gt;&lt;author&gt;Dželalija, Mile&lt;/author&gt;&lt;author&gt;Paiardini, Alessandro&lt;/author&gt;&lt;author&gt;Prosseda, Gianni&lt;/author&gt;&lt;/authors&gt;&lt;/contributors&gt;&lt;titles&gt;&lt;title&gt;Centaurea triumfetii essential oil chemical composition, comparative analysis, and antimicrobial activity of selected compounds&lt;/title&gt;&lt;secondary-title&gt;Scientific Reports&lt;/secondary-title&gt;&lt;/titles&gt;&lt;periodical&gt;&lt;full-title&gt;Scientific Reports&lt;/full-title&gt;&lt;/periodical&gt;&lt;pages&gt;7475&lt;/pages&gt;&lt;volume&gt;13&lt;/volume&gt;&lt;number&gt;1&lt;/number&gt;&lt;dates&gt;&lt;year&gt;2023&lt;/year&gt;&lt;/dates&gt;&lt;isbn&gt;2045-2322&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eastAsiaTheme="minorEastAsia"/>
          <w:color w:val="000000" w:themeColor="text1"/>
          <w:sz w:val="26"/>
          <w:szCs w:val="26"/>
          <w:lang w:val="en-US" w:eastAsia="zh-CN" w:bidi="ar-SA"/>
          <w14:textFill>
            <w14:solidFill>
              <w14:schemeClr w14:val="tx1"/>
            </w14:solidFill>
          </w14:textFill>
        </w:rPr>
        <w:t>(Wei et al., 2023, Carev et al., 2023a)</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Infrared peaks existing withing 1700 - 1800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denote the presence of antioxidants in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&lt;EndNote&gt;&lt;Cite&gt;&lt;Author&gt;Johnson&lt;/Author&gt;&lt;Year&gt;2020&lt;/Year&gt;&lt;RecNum&gt;157&lt;/RecNum&gt;&lt;DisplayText&gt;(Johnson et al., 2020)&lt;/DisplayText&gt;&lt;record&gt;&lt;rec-number&gt;157&lt;/rec-number&gt;&lt;foreign-keys&gt;&lt;key app="EN" db-id="edvassfwttpfsqe0xsop2wwg2f05wx552500" timestamp="1700864769"&gt;157&lt;/key&gt;&lt;/foreign-keys&gt;&lt;ref-type name="Journal Article"&gt;17&lt;/ref-type&gt;&lt;contributors&gt;&lt;authors&gt;&lt;author&gt;Johnson, Joel&lt;/author&gt;&lt;author&gt;Mani, Janice&lt;/author&gt;&lt;author&gt;Ashwath, Nanjappa&lt;/author&gt;&lt;author&gt;Naiker, Mani&lt;/author&gt;&lt;/authors&gt;&lt;/contributors&gt;&lt;titles&gt;&lt;title&gt;Potential for Fourier transform infrared (FTIR) spectroscopy toward predicting antioxidant and phenolic contents in powdered plant matrices&lt;/title&gt;&lt;secondary-title&gt;Spectrochimica Acta Part A: Molecular and Biomolecular Spectroscopy&lt;/secondary-title&gt;&lt;/titles&gt;&lt;periodical&gt;&lt;full-title&gt;Spectrochimica Acta Part A: Molecular and Biomolecular Spectroscopy&lt;/full-title&gt;&lt;/periodical&gt;&lt;pages&gt;118228&lt;/pages&gt;&lt;volume&gt;233&lt;/volume&gt;&lt;dates&gt;&lt;year&gt;2020&lt;/year&gt;&lt;/dates&gt;&lt;isbn&gt;1386-1425&lt;/isbn&gt;&lt;urls&gt;&lt;/urls&gt;&lt;/record&gt;&lt;/Cite&gt;&lt;/EndNote&gt;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(Johnson et al., 2020)</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Characteristic vibrations at 1688.03 and 1641.42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authenticate the presence of C=O carbonyl groups (present in carboxylic acids and ketones) and NH stretching of amide groups, respectively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&lt;EndNote&gt;&lt;Cite&gt;&lt;Author&gt;Cusioli&lt;/Author&gt;&lt;Year&gt;2023&lt;/Year&gt;&lt;RecNum&gt;112&lt;/RecNum&gt;&lt;DisplayText&gt;(Cusioli et al., 2023)&lt;/DisplayText&gt;&lt;record&gt;&lt;rec-number&gt;112&lt;/rec-number&gt;&lt;foreign-keys&gt;&lt;key app="EN" db-id="edvassfwttpfsqe0xsop2wwg2f05wx552500" timestamp="1698559041"&gt;112&lt;/key&gt;&lt;/foreign-keys&gt;&lt;ref-type name="Journal Article"&gt;17&lt;/ref-type&gt;&lt;contributors&gt;&lt;authors&gt;&lt;author&gt;Cusioli, Luís Fernando&lt;/author&gt;&lt;author&gt;Mantovani, Daniel&lt;/author&gt;&lt;author&gt;Bergamasco, Rosângela&lt;/author&gt;&lt;author&gt;Tusset, Angelo Marcelo&lt;/author&gt;&lt;author&gt;Lenzi, Giane Gonçalves&lt;/author&gt;&lt;/authors&gt;&lt;/contributors&gt;&lt;titles&gt;&lt;title&gt;Preparation of a New Adsorbent Material from Agro-Industrial Waste and Comparison with Commercial Adsorbent for Emerging Contaminant Removal&lt;/title&gt;&lt;secondary-title&gt;Processes&lt;/secondary-title&gt;&lt;/titles&gt;&lt;periodical&gt;&lt;full-title&gt;Processes&lt;/full-title&gt;&lt;/periodical&gt;&lt;pages&gt;2478&lt;/pages&gt;&lt;volume&gt;11&lt;/volume&gt;&lt;number&gt;8&lt;/number&gt;&lt;dates&gt;&lt;year&gt;2023&lt;/year&gt;&lt;/dates&gt;&lt;isbn&gt;2227-9717&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(Cusioli et al., 2023)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The peak at 1557.34 cm</w:t>
      </w:r>
      <w:r>
        <w:rPr>
          <w:rFonts w:ascii="Times New Roman" w:hAnsi="Times New Roman" w:cs="Times New Roman"/>
          <w:color w:val="000000" w:themeColor="text1"/>
          <w:sz w:val="26"/>
          <w:szCs w:val="26"/>
          <w:vertAlign w:val="superscript"/>
          <w14:textFill>
            <w14:solidFill>
              <w14:schemeClr w14:val="tx1"/>
            </w14:solidFill>
          </w14:textFill>
        </w:rPr>
        <w:t xml:space="preserve">-1 </w:t>
      </w:r>
      <w:r>
        <w:rPr>
          <w:rFonts w:ascii="Times New Roman" w:hAnsi="Times New Roman" w:cs="Times New Roman"/>
          <w:color w:val="000000" w:themeColor="text1"/>
          <w:sz w:val="26"/>
          <w:szCs w:val="26"/>
          <w14:textFill>
            <w14:solidFill>
              <w14:schemeClr w14:val="tx1"/>
            </w14:solidFill>
          </w14:textFill>
        </w:rPr>
        <w:t xml:space="preserve">corresponds to C–N elongation and bending vibrations found in primary and secondary amides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proteins. The sharp bands at 1081.72 and 1026.22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are associated with C–H and C–O elongation vibrations of alcohols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&lt;EndNote&gt;&lt;Cite&gt;&lt;Author&gt;Aisida&lt;/Author&gt;&lt;Year&gt;2021&lt;/Year&gt;&lt;RecNum&gt;118&lt;/RecNum&gt;&lt;DisplayText&gt;(Aisida et al., 2021)&lt;/DisplayText&gt;&lt;record&gt;&lt;rec-number&gt;118&lt;/rec-number&gt;&lt;foreign-keys&gt;&lt;key app="EN" db-id="edvassfwttpfsqe0xsop2wwg2f05wx552500" timestamp="1698567108"&gt;118&lt;/key&gt;&lt;/foreign-keys&gt;&lt;ref-type name="Journal Article"&gt;17&lt;/ref-type&gt;&lt;contributors&gt;&lt;authors&gt;&lt;author&gt;Aisida, Samson O&lt;/author&gt;&lt;author&gt;Ugwu, Kenneth&lt;/author&gt;&lt;author&gt;Akpa, Paul A&lt;/author&gt;&lt;author&gt;Nwanya, Assumpta C&lt;/author&gt;&lt;author&gt;Nwankwo, U&lt;/author&gt;&lt;author&gt;Bashir, AKH&lt;/author&gt;&lt;author&gt;Madiba, IG&lt;/author&gt;&lt;author&gt;Ahmed, Ishaq&lt;/author&gt;&lt;author&gt;Ezema, Fabian I&lt;/author&gt;&lt;/authors&gt;&lt;/contributors&gt;&lt;titles&gt;&lt;title&gt;Synthesis and characterization of iron oxide nanoparticles capped with Moringa Oleifera: the mechanisms of formation effects on the optical, structural, magnetic and morphological properties&lt;/title&gt;&lt;secondary-title&gt;Materials Today: Proceedings&lt;/secondary-title&gt;&lt;/titles&gt;&lt;periodical&gt;&lt;full-title&gt;Materials Today: Proceedings&lt;/full-title&gt;&lt;/periodical&gt;&lt;pages&gt;214-218&lt;/pages&gt;&lt;volume&gt;36&lt;/volume&gt;&lt;dates&gt;&lt;year&gt;2021&lt;/year&gt;&lt;/dates&gt;&lt;isbn&gt;2214-7853&lt;/isbn&gt;&lt;urls&gt;&lt;/urls&gt;&lt;/record&gt;&lt;/Cite&gt;&lt;/EndNote&gt;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(Aisida et al., 2021)</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This is expected, since ethanol was used in the extraction of MOLE s</w:t>
      </w:r>
      <w:r>
        <w:rPr>
          <w:rFonts w:hint="default" w:ascii="Times New Roman" w:hAnsi="Times New Roman" w:cs="Times New Roman"/>
          <w:color w:val="000000" w:themeColor="text1"/>
          <w:sz w:val="26"/>
          <w:szCs w:val="26"/>
          <w:lang w:val="en-US"/>
          <w14:textFill>
            <w14:solidFill>
              <w14:schemeClr w14:val="tx1"/>
            </w14:solidFill>
          </w14:textFill>
        </w:rPr>
        <w:t>ubstrates</w:t>
      </w:r>
      <w:r>
        <w:rPr>
          <w:rFonts w:ascii="Times New Roman" w:hAnsi="Times New Roman" w:cs="Times New Roman"/>
          <w:color w:val="000000" w:themeColor="text1"/>
          <w:sz w:val="26"/>
          <w:szCs w:val="26"/>
          <w14:textFill>
            <w14:solidFill>
              <w14:schemeClr w14:val="tx1"/>
            </w14:solidFill>
          </w14:textFill>
        </w:rPr>
        <w:t>. The presence of halo compounds is linked to the spectral peak at 528.86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w:t>
      </w:r>
    </w:p>
    <w:p>
      <w:pPr>
        <w:spacing w:line="360" w:lineRule="auto"/>
        <w:jc w:val="both"/>
        <w:rPr>
          <w:rFonts w:ascii="Times New Roman" w:hAnsi="Times New Roman" w:cs="Times New Roman"/>
          <w:color w:val="FF0000"/>
          <w:sz w:val="28"/>
          <w:szCs w:val="28"/>
        </w:rPr>
      </w:pPr>
      <w:r>
        <w:rPr>
          <w:rFonts w:ascii="Times New Roman" w:hAnsi="Times New Roman" w:cs="Times New Roman"/>
          <w:color w:val="000000" w:themeColor="text1"/>
          <w:sz w:val="26"/>
          <w:szCs w:val="26"/>
          <w14:textFill>
            <w14:solidFill>
              <w14:schemeClr w14:val="tx1"/>
            </w14:solidFill>
          </w14:textFill>
        </w:rPr>
        <w:t>Similarly, the infrared spectrum of chitosan depicted identical number of relevant peaks between 3324.8 to 659.15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(see </w:t>
      </w:r>
      <w:r>
        <w:rPr>
          <w:rFonts w:ascii="Times New Roman" w:hAnsi="Times New Roman" w:cs="Times New Roman"/>
          <w:b/>
          <w:bCs/>
          <w:color w:val="000000" w:themeColor="text1"/>
          <w:sz w:val="26"/>
          <w:szCs w:val="26"/>
          <w14:textFill>
            <w14:solidFill>
              <w14:schemeClr w14:val="tx1"/>
            </w14:solidFill>
          </w14:textFill>
        </w:rPr>
        <w:t>Fig.</w:t>
      </w:r>
      <w:r>
        <w:rPr>
          <w:rFonts w:ascii="Times New Roman" w:hAnsi="Times New Roman" w:cs="Times New Roman"/>
          <w:color w:val="000000" w:themeColor="text1"/>
          <w:sz w:val="26"/>
          <w:szCs w:val="26"/>
          <w14:textFill>
            <w14:solidFill>
              <w14:schemeClr w14:val="tx1"/>
            </w14:solidFill>
          </w14:textFill>
        </w:rPr>
        <w:t xml:space="preserve"> 2). The highest absorption band at 3324.4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accounts for the presence of N–H bonds inherent in amino groups of chitosan molecules. This peak also highlights the existence of O-H stretching vibration resulting from intra-molecular hydrogen bonding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&lt;EndNote&gt;&lt;Cite&gt;&lt;Author&gt;Ruvubu&lt;/Author&gt;&lt;Year&gt;2023&lt;/Year&gt;&lt;RecNum&gt;120&lt;/RecNum&gt;&lt;DisplayText&gt;(Ruvubu and Roy, 2023)&lt;/DisplayText&gt;&lt;record&gt;&lt;rec-number&gt;120&lt;/rec-number&gt;&lt;foreign-keys&gt;&lt;key app="EN" db-id="edvassfwttpfsqe0xsop2wwg2f05wx552500" timestamp="1698587958"&gt;120&lt;/key&gt;&lt;/foreign-keys&gt;&lt;ref-type name="Journal Article"&gt;17&lt;/ref-type&gt;&lt;contributors&gt;&lt;authors&gt;&lt;author&gt;Ruvubu, Sylvanus B&lt;/author&gt;&lt;author&gt;Roy, Indrajit&lt;/author&gt;&lt;/authors&gt;&lt;/contributors&gt;&lt;titles&gt;&lt;title&gt;Tandem Coating of Gly-Gly-Gly and 2–Mercaptoethylaminehydrochloride on Chitosan Magnetic Nanoparticles for Environmental Remediation of Dyes&lt;/title&gt;&lt;secondary-title&gt;Journal of Polymers and the Environment&lt;/secondary-title&gt;&lt;/titles&gt;&lt;periodical&gt;&lt;full-title&gt;Journal of Polymers and the Environment&lt;/full-title&gt;&lt;/periodical&gt;&lt;pages&gt;1-28&lt;/pages&gt;&lt;dates&gt;&lt;year&gt;2023&lt;/year&gt;&lt;/dates&gt;&lt;isbn&gt;1566-2543&lt;/isbn&gt;&lt;urls&gt;&lt;/urls&gt;&lt;/record&gt;&lt;/Cite&gt;&lt;/EndNote&gt;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(Ruvubu and Roy, 2023)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The absorption band at 1649.8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reveals the presence of N–H bending vibration associated with amine groups of chitosan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&lt;EndNote&gt;&lt;Cite&gt;&lt;Author&gt;Tan&lt;/Author&gt;&lt;Year&gt;2018&lt;/Year&gt;&lt;RecNum&gt;153&lt;/RecNum&gt;&lt;DisplayText&gt;(Tan et al., 2018)&lt;/DisplayText&gt;&lt;record&gt;&lt;rec-number&gt;153&lt;/rec-number&gt;&lt;foreign-keys&gt;&lt;key app="EN" db-id="edvassfwttpfsqe0xsop2wwg2f05wx552500" timestamp="1700634936"&gt;153&lt;/key&gt;&lt;/foreign-keys&gt;&lt;ref-type name="Journal Article"&gt;17&lt;/ref-type&gt;&lt;contributors&gt;&lt;authors&gt;&lt;author&gt;Tan, Wenqiang&lt;/author&gt;&lt;author&gt;Li, Qing&lt;/author&gt;&lt;author&gt;Dong, Fang&lt;/author&gt;&lt;author&gt;Zhang, Jingjing&lt;/author&gt;&lt;author&gt;Luan, Fang&lt;/author&gt;&lt;author&gt;Wei, Lijie&lt;/author&gt;&lt;author&gt;Chen, Yuan&lt;/author&gt;&lt;author&gt;Guo, Zhanyong&lt;/author&gt;&lt;/authors&gt;&lt;/contributors&gt;&lt;titles&gt;&lt;title&gt;Novel cationic chitosan derivative bearing 1, 2, 3-triazolium and pyridinium: Synthesis, characterization, and antifungal property&lt;/title&gt;&lt;secondary-title&gt;Carbohydrate polymers&lt;/secondary-title&gt;&lt;/titles&gt;&lt;periodical&gt;&lt;full-title&gt;Carbohydrate polymers&lt;/full-title&gt;&lt;/periodical&gt;&lt;pages&gt;180-187&lt;/pages&gt;&lt;volume&gt;182&lt;/volume&gt;&lt;dates&gt;&lt;year&gt;2018&lt;/year&gt;&lt;/dates&gt;&lt;isbn&gt;0144-8617&lt;/isbn&gt;&lt;urls&gt;&lt;/urls&gt;&lt;/record&gt;&lt;/Cite&gt;&lt;/EndNote&gt;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(Tan et al., 2018)</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Also, the peak at 1593.11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denotes the presence of </w:t>
      </w:r>
      <w:r>
        <w:rPr>
          <w:rFonts w:ascii="Times New Roman" w:hAnsi="Times New Roman" w:cs="Times New Roman"/>
          <w:b/>
          <w:bCs/>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NH</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vibration of primary amine, which is a very reactive functional group of chitosan biopolymer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&lt;EndNote&gt;&lt;Cite&gt;&lt;Author&gt;Bhat&lt;/Author&gt;&lt;Year&gt;2023&lt;/Year&gt;&lt;RecNum&gt;121&lt;/RecNum&gt;&lt;DisplayText&gt;(Bhat et al., 2023)&lt;/DisplayText&gt;&lt;record&gt;&lt;rec-number&gt;121&lt;/rec-number&gt;&lt;foreign-keys&gt;&lt;key app="EN" db-id="edvassfwttpfsqe0xsop2wwg2f05wx552500" timestamp="1698591260"&gt;121&lt;/key&gt;&lt;/foreign-keys&gt;&lt;ref-type name="Journal Article"&gt;17&lt;/ref-type&gt;&lt;contributors&gt;&lt;authors&gt;&lt;author&gt;Bhat, Mohd Ishfaq&lt;/author&gt;&lt;author&gt;Shahi, Navin Chandra&lt;/author&gt;&lt;author&gt;Lohani, Umesh Chand&lt;/author&gt;&lt;author&gt;Pathania, Shivani&lt;/author&gt;&lt;author&gt;Malik, Sheeba&lt;/author&gt;&lt;author&gt;Singh, Shikhangi&lt;/author&gt;&lt;author&gt;Amin, Tawheed&lt;/author&gt;&lt;/authors&gt;&lt;/contributors&gt;&lt;titles&gt;&lt;title&gt;Cellulose nanocrystals reinforced chitosan/titanium dioxide bionanocomposite with enhanced interfacial compatibility: Fabrication, characterization, and application in fresh-cut apple slices&lt;/title&gt;&lt;secondary-title&gt;International Journal of Biological Macromolecules&lt;/secondary-title&gt;&lt;/titles&gt;&lt;periodical&gt;&lt;full-title&gt;International Journal of Biological Macromolecules&lt;/full-title&gt;&lt;/periodical&gt;&lt;pages&gt;127498&lt;/pages&gt;&lt;dates&gt;&lt;year&gt;2023&lt;/year&gt;&lt;/dates&gt;&lt;isbn&gt;0141-8130&lt;/isbn&gt;&lt;urls&gt;&lt;/urls&gt;&lt;/record&gt;&lt;/Cite&gt;&lt;/EndNote&gt;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(Bhat et al., 2023)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The wave bands at 1420.60 and 1350.60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correspond to symmetric deformation of CH</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groups, and amide III group vibration which resulted from NH group deformation respectively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&lt;EndNote&gt;&lt;Cite&gt;&lt;Author&gt;Smolarkiewicz-Wyczachowski&lt;/Author&gt;&lt;Year&gt;2023&lt;/Year&gt;&lt;RecNum&gt;123&lt;/RecNum&gt;&lt;DisplayText&gt;(Smolarkiewicz-Wyczachowski et al., 2023)&lt;/DisplayText&gt;&lt;record&gt;&lt;rec-number&gt;123&lt;/rec-number&gt;&lt;foreign-keys&gt;&lt;key app="EN" db-id="edvassfwttpfsqe0xsop2wwg2f05wx552500" timestamp="1698593306"&gt;123&lt;/key&gt;&lt;/foreign-keys&gt;&lt;ref-type name="Journal Article"&gt;17&lt;/ref-type&gt;&lt;contributors&gt;&lt;authors&gt;&lt;author&gt;Smolarkiewicz-Wyczachowski, Aleksander&lt;/author&gt;&lt;author&gt;Kaczmarek, Halina&lt;/author&gt;&lt;author&gt;Piskorz, Jaroslaw&lt;/author&gt;&lt;author&gt;Ziegler-Borowska, Marta&lt;/author&gt;&lt;/authors&gt;&lt;/contributors&gt;&lt;titles&gt;&lt;title&gt;Effect of heat and UV-irradiation on chitosan film doped with BODIPY dyes&lt;/title&gt;&lt;secondary-title&gt;Polymer&lt;/secondary-title&gt;&lt;/titles&gt;&lt;periodical&gt;&lt;full-title&gt;Polymer&lt;/full-title&gt;&lt;/periodical&gt;&lt;pages&gt;126324&lt;/pages&gt;&lt;volume&gt;285&lt;/volume&gt;&lt;dates&gt;&lt;year&gt;2023&lt;/year&gt;&lt;/dates&gt;&lt;isbn&gt;0032-3861&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(Smolarkiewicz-Wyczachowski et al., 2023)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Infrared absorption bands that exist within the range 1250 to 800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are typically associated with glycosidic ring. Specifically, characteristic vibrations at 1061.04 and 993.03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shows the pressure of C–O stretching bonds of glucosamine ring in the chitosan sample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&lt;EndNote&gt;&lt;Cite&gt;&lt;Author&gt;Hadidi&lt;/Author&gt;&lt;Year&gt;2020&lt;/Year&gt;&lt;RecNum&gt;125&lt;/RecNum&gt;&lt;DisplayText&gt;(Hadidi et al., 2020)&lt;/DisplayText&gt;&lt;record&gt;&lt;rec-number&gt;125&lt;/rec-number&gt;&lt;foreign-keys&gt;&lt;key app="EN" db-id="edvassfwttpfsqe0xsop2wwg2f05wx552500" timestamp="1698594862"&gt;125&lt;/key&gt;&lt;/foreign-keys&gt;&lt;ref-type name="Journal Article"&gt;17&lt;/ref-type&gt;&lt;contributors&gt;&lt;authors&gt;&lt;author&gt;Hadidi, Milad&lt;/author&gt;&lt;author&gt;Pouramin, Shiva&lt;/author&gt;&lt;author&gt;Adinepour, Fateme&lt;/author&gt;&lt;author&gt;Haghani, Shaghayegh&lt;/author&gt;&lt;author&gt;Jafari, Seid Mahdi&lt;/author&gt;&lt;/authors&gt;&lt;/contributors&gt;&lt;titles&gt;&lt;title&gt;Chitosan nanoparticles loaded with clove essential oil: Characterization, antioxidant and antibacterial activities&lt;/title&gt;&lt;secondary-title&gt;Carbohydrate polymers&lt;/secondary-title&gt;&lt;/titles&gt;&lt;periodical&gt;&lt;full-title&gt;Carbohydrate polymers&lt;/full-title&gt;&lt;/periodical&gt;&lt;pages&gt;116075&lt;/pages&gt;&lt;volume&gt;236&lt;/volume&gt;&lt;dates&gt;&lt;year&gt;2020&lt;/year&gt;&lt;/dates&gt;&lt;isbn&gt;0144-8617&lt;/isbn&gt;&lt;urls&gt;&lt;/urls&gt;&lt;/record&gt;&lt;/Cite&gt;&lt;/EndNote&gt;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(Hadidi et al., 2020)</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Furthermore, the peak at 659.14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show</w:t>
      </w:r>
      <w:r>
        <w:rPr>
          <w:rFonts w:ascii="Times New Roman" w:hAnsi="Times New Roman" w:cs="Times New Roman"/>
          <w:color w:val="000000" w:themeColor="text1"/>
          <w:sz w:val="26"/>
          <w:szCs w:val="26"/>
          <w:lang w:val="en-GB"/>
          <w14:textFill>
            <w14:solidFill>
              <w14:schemeClr w14:val="tx1"/>
            </w14:solidFill>
          </w14:textFill>
        </w:rPr>
        <w:t>s</w:t>
      </w:r>
      <w:r>
        <w:rPr>
          <w:rFonts w:ascii="Times New Roman" w:hAnsi="Times New Roman" w:cs="Times New Roman"/>
          <w:color w:val="000000" w:themeColor="text1"/>
          <w:sz w:val="26"/>
          <w:szCs w:val="26"/>
          <w14:textFill>
            <w14:solidFill>
              <w14:schemeClr w14:val="tx1"/>
            </w14:solidFill>
          </w14:textFill>
        </w:rPr>
        <w:t xml:space="preserve"> the O</w:t>
      </w:r>
      <w:r>
        <w:rPr>
          <w:rFonts w:ascii="Times New Roman" w:hAnsi="Times New Roman" w:cs="Times New Roman"/>
          <w:b/>
          <w:bCs/>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C</w:t>
      </w:r>
      <w:r>
        <w:rPr>
          <w:rFonts w:ascii="Times New Roman" w:hAnsi="Times New Roman" w:cs="Times New Roman"/>
          <w:b/>
          <w:bCs/>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O vibration of acetic acid. This observation is connected to the fact that acetic acid was used as the dissolution solvent in forming the chitosan solution.</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 xml:space="preserve">A universal observation from the </w:t>
      </w:r>
      <w:r>
        <w:rPr>
          <w:rFonts w:ascii="Times New Roman" w:hAnsi="Times New Roman"/>
          <w:i/>
          <w:iCs/>
          <w:color w:val="000000" w:themeColor="text1"/>
          <w:sz w:val="28"/>
          <w:szCs w:val="28"/>
          <w14:textFill>
            <w14:solidFill>
              <w14:schemeClr w14:val="tx1"/>
            </w14:solidFill>
          </w14:textFill>
        </w:rPr>
        <w:t>MOLE</w:t>
      </w:r>
      <w:r>
        <w:rPr>
          <w:rFonts w:ascii="Times New Roman" w:hAnsi="Times New Roman"/>
          <w:color w:val="000000" w:themeColor="text1"/>
          <w:sz w:val="28"/>
          <w:szCs w:val="28"/>
          <w14:textFill>
            <w14:solidFill>
              <w14:schemeClr w14:val="tx1"/>
            </w14:solidFill>
          </w14:textFill>
        </w:rPr>
        <w:t xml:space="preserve"> and chitosan surface chemistry reveals that the </w:t>
      </w:r>
      <w:r>
        <w:rPr>
          <w:rFonts w:ascii="Times New Roman" w:hAnsi="Times New Roman"/>
          <w:i/>
          <w:iCs/>
          <w:color w:val="000000" w:themeColor="text1"/>
          <w:sz w:val="28"/>
          <w:szCs w:val="28"/>
          <w14:textFill>
            <w14:solidFill>
              <w14:schemeClr w14:val="tx1"/>
            </w14:solidFill>
          </w14:textFill>
        </w:rPr>
        <w:t>MOLE</w:t>
      </w:r>
      <w:r>
        <w:rPr>
          <w:rFonts w:ascii="Times New Roman" w:hAnsi="Times New Roman"/>
          <w:color w:val="000000" w:themeColor="text1"/>
          <w:sz w:val="28"/>
          <w:szCs w:val="28"/>
          <w14:textFill>
            <w14:solidFill>
              <w14:schemeClr w14:val="tx1"/>
            </w14:solidFill>
          </w14:textFill>
        </w:rPr>
        <w:t xml:space="preserve"> substrate possess desirable qualities to promote both antimicrobial and antioxidant properties during tomato fruit bio-preservation, while chitosan predominantly illustrate antimicrobial qualities.</w:t>
      </w:r>
    </w:p>
    <w:p>
      <w:pPr>
        <w:spacing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FF0000"/>
          <w:sz w:val="28"/>
          <w:szCs w:val="28"/>
        </w:rPr>
        <w:drawing>
          <wp:inline distT="0" distB="0" distL="114300" distR="114300">
            <wp:extent cx="5722620" cy="3653155"/>
            <wp:effectExtent l="0" t="0" r="7620" b="4445"/>
            <wp:docPr id="19" name="Picture 19" descr="Pure Moringa Leaf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ure Moringa Leaf Extract"/>
                    <pic:cNvPicPr>
                      <a:picLocks noChangeAspect="1"/>
                    </pic:cNvPicPr>
                  </pic:nvPicPr>
                  <pic:blipFill>
                    <a:blip r:embed="rId8"/>
                    <a:stretch>
                      <a:fillRect/>
                    </a:stretch>
                  </pic:blipFill>
                  <pic:spPr>
                    <a:xfrm>
                      <a:off x="0" y="0"/>
                      <a:ext cx="5722620" cy="3653155"/>
                    </a:xfrm>
                    <a:prstGeom prst="rect">
                      <a:avLst/>
                    </a:prstGeom>
                  </pic:spPr>
                </pic:pic>
              </a:graphicData>
            </a:graphic>
          </wp:inline>
        </w:drawing>
      </w:r>
    </w:p>
    <w:p>
      <w:pPr>
        <w:spacing w:after="48" w:afterLines="20" w:line="240" w:lineRule="auto"/>
        <w:jc w:val="both"/>
        <w:rPr>
          <w:rFonts w:ascii="Times New Roman" w:hAnsi="Times New Roman" w:cs="Times New Roman"/>
          <w:color w:val="FF0000"/>
          <w:sz w:val="28"/>
          <w:szCs w:val="28"/>
          <w:lang w:val="en-GB"/>
        </w:rPr>
      </w:pPr>
      <w:r>
        <w:rPr>
          <w:rFonts w:ascii="Times New Roman" w:hAnsi="Times New Roman" w:cs="Times New Roman"/>
          <w:color w:val="000000" w:themeColor="text1"/>
          <w:sz w:val="28"/>
          <w:szCs w:val="28"/>
          <w14:textFill>
            <w14:solidFill>
              <w14:schemeClr w14:val="tx1"/>
            </w14:solidFill>
          </w14:textFill>
        </w:rPr>
        <w:t>Fig</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1</w:t>
      </w:r>
      <w:r>
        <w:rPr>
          <w:rFonts w:hint="default" w:ascii="Times New Roman" w:hAnsi="Times New Roman" w:cs="Times New Roman"/>
          <w:color w:val="000000" w:themeColor="text1"/>
          <w:sz w:val="28"/>
          <w:szCs w:val="28"/>
          <w:lang w:val="en-US"/>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 xml:space="preserve"> FTIR Spectrum of </w:t>
      </w:r>
      <w:r>
        <w:rPr>
          <w:rFonts w:ascii="Times New Roman" w:hAnsi="Times New Roman" w:cs="Times New Roman"/>
          <w:i/>
          <w:iCs/>
          <w:color w:val="000000" w:themeColor="text1"/>
          <w:sz w:val="28"/>
          <w:szCs w:val="28"/>
          <w14:textFill>
            <w14:solidFill>
              <w14:schemeClr w14:val="tx1"/>
            </w14:solidFill>
          </w14:textFill>
        </w:rPr>
        <w:t>Moringa Oleifera</w:t>
      </w:r>
      <w:r>
        <w:rPr>
          <w:rFonts w:ascii="Times New Roman" w:hAnsi="Times New Roman" w:cs="Times New Roman"/>
          <w:color w:val="000000" w:themeColor="text1"/>
          <w:sz w:val="28"/>
          <w:szCs w:val="28"/>
          <w14:textFill>
            <w14:solidFill>
              <w14:schemeClr w14:val="tx1"/>
            </w14:solidFill>
          </w14:textFill>
        </w:rPr>
        <w:t xml:space="preserve"> leaf extract (</w:t>
      </w:r>
      <w:r>
        <w:rPr>
          <w:rFonts w:ascii="Times New Roman" w:hAnsi="Times New Roman" w:cs="Times New Roman"/>
          <w:i/>
          <w:iCs/>
          <w:color w:val="000000" w:themeColor="text1"/>
          <w:sz w:val="28"/>
          <w:szCs w:val="28"/>
          <w14:textFill>
            <w14:solidFill>
              <w14:schemeClr w14:val="tx1"/>
            </w14:solidFill>
          </w14:textFill>
        </w:rPr>
        <w:t>MOLE</w:t>
      </w:r>
      <w:r>
        <w:rPr>
          <w:rFonts w:ascii="Times New Roman" w:hAnsi="Times New Roman" w:cs="Times New Roman"/>
          <w:color w:val="000000" w:themeColor="text1"/>
          <w:sz w:val="28"/>
          <w:szCs w:val="28"/>
          <w14:textFill>
            <w14:solidFill>
              <w14:schemeClr w14:val="tx1"/>
            </w14:solidFill>
          </w14:textFill>
        </w:rPr>
        <w:t>).</w:t>
      </w:r>
    </w:p>
    <w:p>
      <w:pPr>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inline distT="0" distB="0" distL="114300" distR="114300">
            <wp:extent cx="5724525" cy="3550285"/>
            <wp:effectExtent l="0" t="0" r="5715" b="635"/>
            <wp:docPr id="22" name="Picture 22" descr="Pure Chi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ure Chitosan"/>
                    <pic:cNvPicPr>
                      <a:picLocks noChangeAspect="1"/>
                    </pic:cNvPicPr>
                  </pic:nvPicPr>
                  <pic:blipFill>
                    <a:blip r:embed="rId9"/>
                    <a:stretch>
                      <a:fillRect/>
                    </a:stretch>
                  </pic:blipFill>
                  <pic:spPr>
                    <a:xfrm>
                      <a:off x="0" y="0"/>
                      <a:ext cx="5724525" cy="35502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cs="Times New Roman"/>
          <w:sz w:val="24"/>
          <w:szCs w:val="24"/>
          <w:lang w:val="en-US"/>
        </w:rPr>
      </w:pPr>
      <w:r>
        <w:rPr>
          <w:rFonts w:ascii="Times New Roman" w:hAnsi="Times New Roman" w:cs="Times New Roman"/>
          <w:color w:val="000000" w:themeColor="text1"/>
          <w:sz w:val="26"/>
          <w:szCs w:val="26"/>
          <w14:textFill>
            <w14:solidFill>
              <w14:schemeClr w14:val="tx1"/>
            </w14:solidFill>
          </w14:textFill>
        </w:rPr>
        <w:t>Fig</w:t>
      </w:r>
      <w:r>
        <w:rPr>
          <w:rFonts w:hint="default" w:ascii="Times New Roman" w:hAnsi="Times New Roman" w:cs="Times New Roman"/>
          <w:color w:val="000000" w:themeColor="text1"/>
          <w:sz w:val="26"/>
          <w:szCs w:val="26"/>
          <w:lang w:val="en-US"/>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2</w:t>
      </w:r>
      <w:r>
        <w:rPr>
          <w:rFonts w:hint="default" w:ascii="Times New Roman" w:hAnsi="Times New Roman" w:cs="Times New Roman"/>
          <w:color w:val="000000" w:themeColor="text1"/>
          <w:sz w:val="26"/>
          <w:szCs w:val="26"/>
          <w:lang w:val="en-US"/>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 xml:space="preserve"> FTIR Spectra of Chitosan</w:t>
      </w:r>
    </w:p>
    <w:p>
      <w:pPr>
        <w:keepNext w:val="0"/>
        <w:keepLines w:val="0"/>
        <w:pageBreakBefore w:val="0"/>
        <w:widowControl/>
        <w:kinsoku/>
        <w:wordWrap/>
        <w:overflowPunct/>
        <w:topLinePunct w:val="0"/>
        <w:autoSpaceDE/>
        <w:autoSpaceDN/>
        <w:bidi w:val="0"/>
        <w:adjustRightInd/>
        <w:snapToGrid/>
        <w:spacing w:before="721" w:beforeLines="200" w:after="361" w:afterLines="100" w:line="36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3.1.2.2 FTIR of </w:t>
      </w:r>
      <w:r>
        <w:rPr>
          <w:rFonts w:hint="default" w:ascii="Times New Roman" w:hAnsi="Times New Roman" w:cs="Times New Roman"/>
          <w:i/>
          <w:iCs/>
          <w:sz w:val="24"/>
          <w:szCs w:val="24"/>
          <w:lang w:val="en-US"/>
        </w:rPr>
        <w:t>MOCEB</w:t>
      </w:r>
    </w:p>
    <w:p>
      <w:pPr>
        <w:spacing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FTIR spectroscopy was useful in exploring the chemical relationships between chitosan and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which contributed to the physicochemical characteristics of the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biofilms. The infrared spectra of pure substrates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chitosan) and their variable composition derivatives were depicted in </w:t>
      </w:r>
      <w:r>
        <w:rPr>
          <w:rFonts w:ascii="Times New Roman" w:hAnsi="Times New Roman" w:cs="Times New Roman"/>
          <w:b/>
          <w:bCs/>
          <w:color w:val="000000" w:themeColor="text1"/>
          <w:sz w:val="26"/>
          <w:szCs w:val="26"/>
          <w14:textFill>
            <w14:solidFill>
              <w14:schemeClr w14:val="tx1"/>
            </w14:solidFill>
          </w14:textFill>
        </w:rPr>
        <w:t>Fig</w:t>
      </w:r>
      <w:r>
        <w:rPr>
          <w:rFonts w:ascii="Times New Roman" w:hAnsi="Times New Roman" w:cs="Times New Roman"/>
          <w:color w:val="000000" w:themeColor="text1"/>
          <w:sz w:val="26"/>
          <w:szCs w:val="26"/>
          <w14:textFill>
            <w14:solidFill>
              <w14:schemeClr w14:val="tx1"/>
            </w14:solidFill>
          </w14:textFill>
        </w:rPr>
        <w:t xml:space="preserve">. 3. The spectra results of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species illustrate the formation of new peaks which could be attributed to the interactions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chitosan functional groups. The vibrational peak at 3454.61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highlights a slight shift from the OH functional group</w:t>
      </w:r>
      <w:r>
        <w:rPr>
          <w:rFonts w:hint="default" w:ascii="Times New Roman" w:hAnsi="Times New Roman" w:cs="Times New Roman"/>
          <w:color w:val="000000" w:themeColor="text1"/>
          <w:sz w:val="26"/>
          <w:szCs w:val="26"/>
          <w:lang w:val="en-US"/>
          <w14:textFill>
            <w14:solidFill>
              <w14:schemeClr w14:val="tx1"/>
            </w14:solidFill>
          </w14:textFill>
        </w:rPr>
        <w:t xml:space="preserve"> of</w:t>
      </w:r>
      <w:r>
        <w:rPr>
          <w:rFonts w:ascii="Times New Roman" w:hAnsi="Times New Roman" w:cs="Times New Roman"/>
          <w:color w:val="000000" w:themeColor="text1"/>
          <w:sz w:val="26"/>
          <w:szCs w:val="26"/>
          <w14:textFill>
            <w14:solidFill>
              <w14:schemeClr w14:val="tx1"/>
            </w14:solidFill>
          </w14:textFill>
        </w:rPr>
        <w:t xml:space="preserve"> 3482.97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found in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However, the formation of this band may be as a result of the interractions of NH amino group of chitosan (3324.8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and OH functional group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This reactive interaction could signal the cross-linking of chitosan and flavonoids contained in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substrate. </w:t>
      </w:r>
    </w:p>
    <w:p>
      <w:pPr>
        <w:spacing w:line="360" w:lineRule="auto"/>
        <w:jc w:val="both"/>
        <w:rPr>
          <w:rFonts w:hint="default" w:ascii="Times New Roman" w:hAnsi="Times New Roman" w:cs="Times New Roman"/>
          <w:color w:val="FF0000"/>
          <w:sz w:val="28"/>
          <w:szCs w:val="28"/>
          <w:lang w:val="en-US"/>
        </w:rPr>
      </w:pPr>
      <w:r>
        <w:rPr>
          <w:rFonts w:ascii="Times New Roman" w:hAnsi="Times New Roman" w:cs="Times New Roman"/>
          <w:color w:val="000000" w:themeColor="text1"/>
          <w:sz w:val="26"/>
          <w:szCs w:val="26"/>
          <w14:textFill>
            <w14:solidFill>
              <w14:schemeClr w14:val="tx1"/>
            </w14:solidFill>
          </w14:textFill>
        </w:rPr>
        <w:t>Additionally, the alkane group was identified by the absorption peak at 2948.11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while the alkyne group shifted from 2004.61cm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in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to 1980.83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in the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sample. The new sharp absorption peak at 1661.8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highlights the formation of C=N stretching mode of imines, which could result from the interactions of amine groups (N–H, –NH</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of chitosan and carbonyl groups (C=O, Ketones, carboxylic acid)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in a Schiff-base reaction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&lt;EndNote&gt;&lt;Cite&gt;&lt;Author&gt;Božič&lt;/Author&gt;&lt;Year&gt;2012&lt;/Year&gt;&lt;RecNum&gt;151&lt;/RecNum&gt;&lt;DisplayText&gt;(Božič et al., 2012, Tan et al., 2018)&lt;/DisplayText&gt;&lt;record&gt;&lt;rec-number&gt;151&lt;/rec-number&gt;&lt;foreign-keys&gt;&lt;key app="EN" db-id="edvassfwttpfsqe0xsop2wwg2f05wx552500" timestamp="1700634903"&gt;151&lt;/key&gt;&lt;/foreign-keys&gt;&lt;ref-type name="Journal Article"&gt;17&lt;/ref-type&gt;&lt;contributors&gt;&lt;authors&gt;&lt;author&gt;Božič, Mojca&lt;/author&gt;&lt;author&gt;Gorgieva, Selestina&lt;/author&gt;&lt;author&gt;Kokol, Vanja&lt;/author&gt;&lt;/authors&gt;&lt;/contributors&gt;&lt;titles&gt;&lt;title&gt;Homogeneous and heterogeneous methods for laccase-mediated functionalization of chitosan by tannic acid and quercetin&lt;/title&gt;&lt;secondary-title&gt;Carbohydrate polymers&lt;/secondary-title&gt;&lt;/titles&gt;&lt;periodical&gt;&lt;full-title&gt;Carbohydrate polymers&lt;/full-title&gt;&lt;/periodical&gt;&lt;pages&gt;854-864&lt;/pages&gt;&lt;volume&gt;89&lt;/volume&gt;&lt;number&gt;3&lt;/number&gt;&lt;dates&gt;&lt;year&gt;2012&lt;/year&gt;&lt;/dates&gt;&lt;isbn&gt;0144-8617&lt;/isbn&gt;&lt;urls&gt;&lt;/urls&gt;&lt;/record&gt;&lt;/Cite&gt;&lt;Cite&gt;&lt;Author&gt;Tan&lt;/Author&gt;&lt;Year&gt;2018&lt;/Year&gt;&lt;RecNum&gt;153&lt;/RecNum&gt;&lt;record&gt;&lt;rec-number&gt;153&lt;/rec-number&gt;&lt;foreign-keys&gt;&lt;key app="EN" db-id="edvassfwttpfsqe0xsop2wwg2f05wx552500" timestamp="1700634936"&gt;153&lt;/key&gt;&lt;/foreign-keys&gt;&lt;ref-type name="Journal Article"&gt;17&lt;/ref-type&gt;&lt;contributors&gt;&lt;authors&gt;&lt;author&gt;Tan, Wenqiang&lt;/author&gt;&lt;author&gt;Li, Qing&lt;/author&gt;&lt;author&gt;Dong, Fang&lt;/author&gt;&lt;author&gt;Zhang, Jingjing&lt;/author&gt;&lt;author&gt;Luan, Fang&lt;/author&gt;&lt;author&gt;Wei, Lijie&lt;/author&gt;&lt;author&gt;Chen, Yuan&lt;/author&gt;&lt;author&gt;Guo, Zhanyong&lt;/author&gt;&lt;/authors&gt;&lt;/contributors&gt;&lt;titles&gt;&lt;title&gt;Novel cationic chitosan derivative bearing 1, 2, 3-triazolium and pyridinium: Synthesis, characterization, and antifungal property&lt;/title&gt;&lt;secondary-title&gt;Carbohydrate polymers&lt;/secondary-title&gt;&lt;/titles&gt;&lt;periodical&gt;&lt;full-title&gt;Carbohydrate polymers&lt;/full-title&gt;&lt;/periodical&gt;&lt;pages&gt;180-187&lt;/pages&gt;&lt;volume&gt;182&lt;/volume&gt;&lt;dates&gt;&lt;year&gt;2018&lt;/year&gt;&lt;/dates&gt;&lt;isbn&gt;0144-8617&lt;/isbn&gt;&lt;urls&gt;&lt;/urls&gt;&lt;/record&gt;&lt;/Cite&gt;&lt;/EndNote&gt;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(Božič et al., 2012, Tan et al., 2018)</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The presence of amide II and III in the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biofilm w</w:t>
      </w:r>
      <w:r>
        <w:rPr>
          <w:rFonts w:ascii="Times New Roman" w:hAnsi="Times New Roman" w:cs="Times New Roman"/>
          <w:color w:val="000000" w:themeColor="text1"/>
          <w:sz w:val="26"/>
          <w:szCs w:val="26"/>
          <w:lang w:val="en-GB"/>
          <w14:textFill>
            <w14:solidFill>
              <w14:schemeClr w14:val="tx1"/>
            </w14:solidFill>
          </w14:textFill>
        </w:rPr>
        <w:t>as</w:t>
      </w:r>
      <w:r>
        <w:rPr>
          <w:rFonts w:ascii="Times New Roman" w:hAnsi="Times New Roman" w:cs="Times New Roman"/>
          <w:color w:val="000000" w:themeColor="text1"/>
          <w:sz w:val="26"/>
          <w:szCs w:val="26"/>
          <w14:textFill>
            <w14:solidFill>
              <w14:schemeClr w14:val="tx1"/>
            </w14:solidFill>
          </w14:textFill>
        </w:rPr>
        <w:t xml:space="preserve"> noted at 1560.25 and 1357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respectively. It is important to note that these amide peaks shifted from their original bands in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chitosan, confirming efficient interactions in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synthesis. The wave band at 1071.7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and 936.3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which are slight deviations from 1081.72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substrate), and 993.3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(chitosan substrate) indicates the presence of alcohol traces and glucosamine in the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biofilm. It is important to note that the presence of acetic acid at 659.84 cm</w:t>
      </w:r>
      <w:r>
        <w:rPr>
          <w:rFonts w:ascii="Times New Roman" w:hAnsi="Times New Roman" w:cs="Times New Roman"/>
          <w:color w:val="000000" w:themeColor="text1"/>
          <w:sz w:val="26"/>
          <w:szCs w:val="26"/>
          <w:vertAlign w:val="super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remained unaffected in all mixed species involving chitosan sample. </w:t>
      </w:r>
      <w:r>
        <w:rPr>
          <w:rFonts w:hint="default" w:ascii="Times New Roman" w:hAnsi="Times New Roman" w:cs="Times New Roman"/>
          <w:color w:val="000000" w:themeColor="text1"/>
          <w:sz w:val="26"/>
          <w:szCs w:val="26"/>
          <w:lang w:val="en-US"/>
          <w14:textFill>
            <w14:solidFill>
              <w14:schemeClr w14:val="tx1"/>
            </w14:solidFill>
          </w14:textFill>
        </w:rPr>
        <w:t xml:space="preserve">This implies that there was no interaction between </w:t>
      </w:r>
      <w:r>
        <w:rPr>
          <w:rFonts w:hint="default" w:ascii="Times New Roman" w:hAnsi="Times New Roman" w:cs="Times New Roman"/>
          <w:i/>
          <w:iCs/>
          <w:color w:val="000000" w:themeColor="text1"/>
          <w:sz w:val="26"/>
          <w:szCs w:val="26"/>
          <w:lang w:val="en-US"/>
          <w14:textFill>
            <w14:solidFill>
              <w14:schemeClr w14:val="tx1"/>
            </w14:solidFill>
          </w14:textFill>
        </w:rPr>
        <w:t>MOLE</w:t>
      </w:r>
      <w:r>
        <w:rPr>
          <w:rFonts w:hint="default" w:ascii="Times New Roman" w:hAnsi="Times New Roman" w:cs="Times New Roman"/>
          <w:color w:val="000000" w:themeColor="text1"/>
          <w:sz w:val="26"/>
          <w:szCs w:val="26"/>
          <w:lang w:val="en-US"/>
          <w14:textFill>
            <w14:solidFill>
              <w14:schemeClr w14:val="tx1"/>
            </w14:solidFill>
          </w14:textFill>
        </w:rPr>
        <w:t xml:space="preserve"> and acetic acid remnants contained in chitosan solution. </w:t>
      </w:r>
    </w:p>
    <w:p>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drawing>
          <wp:inline distT="0" distB="0" distL="114300" distR="114300">
            <wp:extent cx="6011545" cy="6561455"/>
            <wp:effectExtent l="0" t="0" r="8255" b="6985"/>
            <wp:docPr id="37" name="Picture 37" descr="MO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OCEB"/>
                    <pic:cNvPicPr>
                      <a:picLocks noChangeAspect="1"/>
                    </pic:cNvPicPr>
                  </pic:nvPicPr>
                  <pic:blipFill>
                    <a:blip r:embed="rId10"/>
                    <a:srcRect l="2046" t="2173" r="2633" b="3858"/>
                    <a:stretch>
                      <a:fillRect/>
                    </a:stretch>
                  </pic:blipFill>
                  <pic:spPr>
                    <a:xfrm>
                      <a:off x="0" y="0"/>
                      <a:ext cx="6011545" cy="65614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cs="Times New Roman"/>
          <w:sz w:val="24"/>
          <w:szCs w:val="24"/>
          <w:lang w:val="en-US"/>
        </w:rPr>
      </w:pPr>
      <w:r>
        <w:rPr>
          <w:rFonts w:ascii="Times New Roman" w:hAnsi="Times New Roman" w:cs="Times New Roman"/>
          <w:color w:val="000000" w:themeColor="text1"/>
          <w:sz w:val="28"/>
          <w:szCs w:val="28"/>
          <w14:textFill>
            <w14:solidFill>
              <w14:schemeClr w14:val="tx1"/>
            </w14:solidFill>
          </w14:textFill>
        </w:rPr>
        <w:t>Fig</w:t>
      </w:r>
      <w:r>
        <w:rPr>
          <w:rFonts w:hint="default" w:ascii="Times New Roman" w:hAnsi="Times New Roman" w:cs="Times New Roman"/>
          <w:color w:val="000000" w:themeColor="text1"/>
          <w:sz w:val="28"/>
          <w:szCs w:val="28"/>
          <w:lang w:val="en-US"/>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 xml:space="preserve"> 3</w:t>
      </w:r>
      <w:r>
        <w:rPr>
          <w:rFonts w:hint="default" w:ascii="Times New Roman" w:hAnsi="Times New Roman" w:cs="Times New Roman"/>
          <w:color w:val="000000" w:themeColor="text1"/>
          <w:sz w:val="28"/>
          <w:szCs w:val="28"/>
          <w:lang w:val="en-US"/>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 xml:space="preserve"> FTIR Spectra for </w:t>
      </w:r>
      <w:r>
        <w:rPr>
          <w:rFonts w:ascii="Times New Roman" w:hAnsi="Times New Roman" w:cs="Times New Roman"/>
          <w:i/>
          <w:iCs/>
          <w:color w:val="000000" w:themeColor="text1"/>
          <w:sz w:val="28"/>
          <w:szCs w:val="28"/>
          <w14:textFill>
            <w14:solidFill>
              <w14:schemeClr w14:val="tx1"/>
            </w14:solidFill>
          </w14:textFill>
        </w:rPr>
        <w:t>MOCEB</w:t>
      </w:r>
      <w:r>
        <w:rPr>
          <w:rFonts w:ascii="Times New Roman" w:hAnsi="Times New Roman" w:cs="Times New Roman"/>
          <w:color w:val="000000" w:themeColor="text1"/>
          <w:sz w:val="28"/>
          <w:szCs w:val="28"/>
          <w14:textFill>
            <w14:solidFill>
              <w14:schemeClr w14:val="tx1"/>
            </w14:solidFill>
          </w14:textFill>
        </w:rPr>
        <w:t xml:space="preserve"> at different mixing ratios</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3.1.2 </w:t>
      </w:r>
      <w:r>
        <w:rPr>
          <w:rFonts w:hint="default" w:ascii="Times New Roman" w:hAnsi="Times New Roman"/>
          <w:sz w:val="26"/>
          <w:szCs w:val="26"/>
          <w:lang w:val="en-US"/>
        </w:rPr>
        <w:t>Gas chromatography–mass spectrometry</w:t>
      </w:r>
    </w:p>
    <w:p>
      <w:pPr>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The hydrocarbon and phytochemical constituents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were given in </w:t>
      </w:r>
      <w:r>
        <w:rPr>
          <w:rFonts w:ascii="Times New Roman" w:hAnsi="Times New Roman" w:cs="Times New Roman"/>
          <w:b/>
          <w:bCs/>
          <w:color w:val="000000" w:themeColor="text1"/>
          <w:sz w:val="26"/>
          <w:szCs w:val="26"/>
          <w14:textFill>
            <w14:solidFill>
              <w14:schemeClr w14:val="tx1"/>
            </w14:solidFill>
          </w14:textFill>
        </w:rPr>
        <w:t>Figs</w:t>
      </w:r>
      <w:r>
        <w:rPr>
          <w:rFonts w:ascii="Times New Roman" w:hAnsi="Times New Roman" w:cs="Times New Roman"/>
          <w:color w:val="000000" w:themeColor="text1"/>
          <w:sz w:val="26"/>
          <w:szCs w:val="26"/>
          <w14:textFill>
            <w14:solidFill>
              <w14:schemeClr w14:val="tx1"/>
            </w14:solidFill>
          </w14:textFill>
        </w:rPr>
        <w:t>. 4 -</w:t>
      </w:r>
      <w:r>
        <w:rPr>
          <w:rFonts w:hint="default" w:ascii="Times New Roman" w:hAnsi="Times New Roman" w:cs="Times New Roman"/>
          <w:color w:val="000000" w:themeColor="text1"/>
          <w:sz w:val="26"/>
          <w:szCs w:val="26"/>
          <w:lang w:val="en-US"/>
          <w14:textFill>
            <w14:solidFill>
              <w14:schemeClr w14:val="tx1"/>
            </w14:solidFill>
          </w14:textFill>
        </w:rPr>
        <w:t xml:space="preserve"> 5, respectively.</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bCs/>
          <w:color w:val="000000" w:themeColor="text1"/>
          <w:sz w:val="26"/>
          <w:szCs w:val="26"/>
          <w14:textFill>
            <w14:solidFill>
              <w14:schemeClr w14:val="tx1"/>
            </w14:solidFill>
          </w14:textFill>
        </w:rPr>
        <w:t xml:space="preserve">Table </w:t>
      </w:r>
      <w:r>
        <w:rPr>
          <w:rFonts w:hint="default" w:ascii="Times New Roman" w:hAnsi="Times New Roman" w:cs="Times New Roman"/>
          <w:b/>
          <w:bCs/>
          <w:color w:val="000000" w:themeColor="text1"/>
          <w:sz w:val="26"/>
          <w:szCs w:val="26"/>
          <w:lang w:val="en-US"/>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presents the hydrocarbons </w:t>
      </w:r>
      <w:r>
        <w:rPr>
          <w:rFonts w:hint="default" w:ascii="Times New Roman" w:hAnsi="Times New Roman" w:cs="Times New Roman"/>
          <w:color w:val="000000" w:themeColor="text1"/>
          <w:sz w:val="26"/>
          <w:szCs w:val="26"/>
          <w:lang w:val="en-US"/>
          <w14:textFill>
            <w14:solidFill>
              <w14:schemeClr w14:val="tx1"/>
            </w14:solidFill>
          </w14:textFill>
        </w:rPr>
        <w:t xml:space="preserve">and </w:t>
      </w:r>
      <w:r>
        <w:rPr>
          <w:rFonts w:ascii="Times New Roman" w:hAnsi="Times New Roman" w:cs="Times New Roman"/>
          <w:color w:val="000000" w:themeColor="text1"/>
          <w:sz w:val="26"/>
          <w:szCs w:val="26"/>
          <w14:textFill>
            <w14:solidFill>
              <w14:schemeClr w14:val="tx1"/>
            </w14:solidFill>
          </w14:textFill>
        </w:rPr>
        <w:t>phytocomponents</w:t>
      </w:r>
      <w:r>
        <w:rPr>
          <w:rFonts w:hint="default" w:ascii="Times New Roman" w:hAnsi="Times New Roman" w:cs="Times New Roman"/>
          <w:color w:val="000000" w:themeColor="text1"/>
          <w:sz w:val="26"/>
          <w:szCs w:val="26"/>
          <w:lang w:val="en-US"/>
          <w14:textFill>
            <w14:solidFill>
              <w14:schemeClr w14:val="tx1"/>
            </w14:solidFill>
          </w14:textFill>
        </w:rPr>
        <w:t xml:space="preserve"> of </w:t>
      </w:r>
      <w:r>
        <w:rPr>
          <w:rFonts w:hint="default" w:ascii="Times New Roman" w:hAnsi="Times New Roman" w:cs="Times New Roman"/>
          <w:i/>
          <w:iCs/>
          <w:color w:val="000000" w:themeColor="text1"/>
          <w:sz w:val="26"/>
          <w:szCs w:val="26"/>
          <w:lang w:val="en-US"/>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their associated retention time (RT), Molecular weight (MW), peak area, and concentrations</w:t>
      </w:r>
      <w:r>
        <w:rPr>
          <w:rFonts w:hint="default" w:ascii="Times New Roman" w:hAnsi="Times New Roman" w:cs="Times New Roman"/>
          <w:color w:val="000000" w:themeColor="text1"/>
          <w:sz w:val="26"/>
          <w:szCs w:val="26"/>
          <w:lang w:val="en-US"/>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 xml:space="preserve">. </w:t>
      </w:r>
    </w:p>
    <w:p>
      <w:pPr>
        <w:spacing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The hydrocarbon analysis indicated that the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w:t>
      </w:r>
      <w:r>
        <w:rPr>
          <w:rFonts w:hint="default" w:ascii="Times New Roman" w:hAnsi="Times New Roman" w:cs="Times New Roman"/>
          <w:color w:val="000000" w:themeColor="text1"/>
          <w:sz w:val="26"/>
          <w:szCs w:val="26"/>
          <w:lang w:val="en-US"/>
          <w14:textFill>
            <w14:solidFill>
              <w14:schemeClr w14:val="tx1"/>
            </w14:solidFill>
          </w14:textFill>
        </w:rPr>
        <w:t>substrate</w:t>
      </w:r>
      <w:r>
        <w:rPr>
          <w:rFonts w:ascii="Times New Roman" w:hAnsi="Times New Roman" w:cs="Times New Roman"/>
          <w:color w:val="000000" w:themeColor="text1"/>
          <w:sz w:val="26"/>
          <w:szCs w:val="26"/>
          <w14:textFill>
            <w14:solidFill>
              <w14:schemeClr w14:val="tx1"/>
            </w14:solidFill>
          </w14:textFill>
        </w:rPr>
        <w:t xml:space="preserve"> contained four major hydrocarbon constituents having concentrations above 10 %. These hydrocarbons include Tetradecane (41.24 %), Pentadecane (18.46 %), Tridecane (12.386 %) and Heptacosane (12.013 %). Tetradecane has been identified as a major anti-microbial agent with vast applications in food preservation and packaging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&lt;EndNote&gt;&lt;Cite&gt;&lt;Author&gt;Karim&lt;/Author&gt;&lt;Year&gt;2022&lt;/Year&gt;&lt;RecNum&gt;129&lt;/RecNum&gt;&lt;DisplayText&gt;(Karim et al., 2022, Bains et al., 2023)&lt;/DisplayText&gt;&lt;record&gt;&lt;rec-number&gt;129&lt;/rec-number&gt;&lt;foreign-keys&gt;&lt;key app="EN" db-id="edvassfwttpfsqe0xsop2wwg2f05wx552500" timestamp="1699432131"&gt;129&lt;/key&gt;&lt;/foreign-keys&gt;&lt;ref-type name="Journal Article"&gt;17&lt;/ref-type&gt;&lt;contributors&gt;&lt;authors&gt;&lt;author&gt;Karim, Mehri&lt;/author&gt;&lt;author&gt;Fathi, Milad&lt;/author&gt;&lt;author&gt;Soleimanian-Zad, Sabihe&lt;/author&gt;&lt;author&gt;Spigno, Giorgia&lt;/author&gt;&lt;/authors&gt;&lt;/contributors&gt;&lt;titles&gt;&lt;title&gt;Development of sausage packaging with zein nanofibers containing tetradecane produced via needle-less electrospinning method&lt;/title&gt;&lt;secondary-title&gt;Food Packaging and Shelf Life&lt;/secondary-title&gt;&lt;/titles&gt;&lt;periodical&gt;&lt;full-title&gt;Food Packaging and Shelf Life&lt;/full-title&gt;&lt;/periodical&gt;&lt;pages&gt;100911&lt;/pages&gt;&lt;volume&gt;33&lt;/volume&gt;&lt;dates&gt;&lt;year&gt;2022&lt;/year&gt;&lt;/dates&gt;&lt;isbn&gt;2214-2894&lt;/isbn&gt;&lt;urls&gt;&lt;/urls&gt;&lt;/record&gt;&lt;/Cite&gt;&lt;Cite&gt;&lt;Author&gt;Bains&lt;/Author&gt;&lt;Year&gt;2023&lt;/Year&gt;&lt;RecNum&gt;131&lt;/RecNum&gt;&lt;record&gt;&lt;rec-number&gt;131&lt;/rec-number&gt;&lt;foreign-keys&gt;&lt;key app="EN" db-id="edvassfwttpfsqe0xsop2wwg2f05wx552500" timestamp="1699432427"&gt;131&lt;/key&gt;&lt;/foreign-keys&gt;&lt;ref-type name="Journal Article"&gt;17&lt;/ref-type&gt;&lt;contributors&gt;&lt;authors&gt;&lt;author&gt;Bains, Aarti&lt;/author&gt;&lt;author&gt;Sharma, Priyanka&lt;/author&gt;&lt;author&gt;Kaur, Sukhdeep&lt;/author&gt;&lt;author&gt;Yadav, Rahul&lt;/author&gt;&lt;author&gt;Kumar, Anil&lt;/author&gt;&lt;author&gt;Sridhar, Kandi&lt;/author&gt;&lt;author&gt;Chawla, Prince&lt;/author&gt;&lt;author&gt;Sharma, Minaxi&lt;/author&gt;&lt;/authors&gt;&lt;/contributors&gt;&lt;titles&gt;&lt;title&gt;Gum arabic/guar gum stabilized Hydnocarpus wightiana oil nanohydrogel: Characterization, antimicrobial, anti-inflammatory, and anti-biofilm activities&lt;/title&gt;&lt;secondary-title&gt;International Journal of Biological Macromolecules&lt;/secondary-title&gt;&lt;/titles&gt;&lt;periodical&gt;&lt;full-title&gt;International Journal of Biological Macromolecules&lt;/full-title&gt;&lt;/periodical&gt;&lt;pages&gt;124341&lt;/pages&gt;&lt;volume&gt;239&lt;/volume&gt;&lt;dates&gt;&lt;year&gt;2023&lt;/year&gt;&lt;/dates&gt;&lt;isbn&gt;0141-8130&lt;/isbn&gt;&lt;urls&gt;&lt;/urls&gt;&lt;/record&gt;&lt;/Cite&gt;&lt;/EndNote&gt;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(Karim et al., 2022, Bains et al., 2023)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Similarly, the antimicrobial and anti-oxidant activities of pentadecane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&lt;EndNote&gt;&lt;Cite&gt;&lt;Author&gt;Faridha Begum&lt;/Author&gt;&lt;Year&gt;2016&lt;/Year&gt;&lt;RecNum&gt;133&lt;/RecNum&gt;&lt;DisplayText&gt;(Faridha Begum et al., 2016, Girija et al., 2014)&lt;/DisplayText&gt;&lt;record&gt;&lt;rec-number&gt;133&lt;/rec-number&gt;&lt;foreign-keys&gt;&lt;key app="EN" db-id="edvassfwttpfsqe0xsop2wwg2f05wx552500" timestamp="1699433255"&gt;133&lt;/key&gt;&lt;/foreign-keys&gt;&lt;ref-type name="Journal Article"&gt;17&lt;/ref-type&gt;&lt;contributors&gt;&lt;authors&gt;&lt;author&gt;Faridha Begum, I&lt;/author&gt;&lt;author&gt;Mohankumar, R&lt;/author&gt;&lt;author&gt;Jeevan, M&lt;/author&gt;&lt;author&gt;Ramani, K&lt;/author&gt;&lt;/authors&gt;&lt;/contributors&gt;&lt;titles&gt;&lt;title&gt;GC–MS analysis of bio-active molecules derived from Paracoccus pantotrophus FMR19 and the antimicrobial activity against bacterial pathogens and MDROs&lt;/title&gt;&lt;secondary-title&gt;Indian journal of microbiology&lt;/secondary-title&gt;&lt;/titles&gt;&lt;periodical&gt;&lt;full-title&gt;Indian journal of microbiology&lt;/full-title&gt;&lt;/periodical&gt;&lt;pages&gt;426-432&lt;/pages&gt;&lt;volume&gt;56&lt;/volume&gt;&lt;dates&gt;&lt;year&gt;2016&lt;/year&gt;&lt;/dates&gt;&lt;isbn&gt;0046-8991&lt;/isbn&gt;&lt;urls&gt;&lt;/urls&gt;&lt;/record&gt;&lt;/Cite&gt;&lt;Cite&gt;&lt;Author&gt;Girija&lt;/Author&gt;&lt;Year&gt;2014&lt;/Year&gt;&lt;RecNum&gt;134&lt;/RecNum&gt;&lt;record&gt;&lt;rec-number&gt;134&lt;/rec-number&gt;&lt;foreign-keys&gt;&lt;key app="EN" db-id="edvassfwttpfsqe0xsop2wwg2f05wx552500" timestamp="1699433502"&gt;134&lt;/key&gt;&lt;/foreign-keys&gt;&lt;ref-type name="Journal Article"&gt;17&lt;/ref-type&gt;&lt;contributors&gt;&lt;authors&gt;&lt;author&gt;Girija, Smiline&lt;/author&gt;&lt;author&gt;Duraipandiyan, Veeramuthu&lt;/author&gt;&lt;author&gt;Kuppusamy, Pandi Suba&lt;/author&gt;&lt;author&gt;Gajendran, Hariprasad&lt;/author&gt;&lt;author&gt;Rajagopal, Raghuraman&lt;/author&gt;&lt;/authors&gt;&lt;/contributors&gt;&lt;titles&gt;&lt;title&gt;Chromatographic characterization and GC-MS evaluation of the bioactive constituents with antimicrobial potential from the pigmented ink of Loligo duvauceli&lt;/title&gt;&lt;secondary-title&gt;International Scholarly Research Notices&lt;/secondary-title&gt;&lt;/titles&gt;&lt;periodical&gt;&lt;full-title&gt;International Scholarly Research Notices&lt;/full-title&gt;&lt;/periodical&gt;&lt;volume&gt;2014&lt;/volume&gt;&lt;dates&gt;&lt;year&gt;2014&lt;/year&gt;&lt;/dates&gt;&lt;urls&gt;&lt;/urls&gt;&lt;/record&gt;&lt;/Cite&gt;&lt;/EndNote&gt;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(Faridha Begum et al., 2016, Girija et al., 2014)</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and tridecane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&lt;EndNote&gt;&lt;Cite&gt;&lt;Author&gt;More&lt;/Author&gt;&lt;Year&gt;2022&lt;/Year&gt;&lt;RecNum&gt;132&lt;/RecNum&gt;&lt;DisplayText&gt;(More et al., 2022)&lt;/DisplayText&gt;&lt;record&gt;&lt;rec-number&gt;132&lt;/rec-number&gt;&lt;foreign-keys&gt;&lt;key app="EN" db-id="edvassfwttpfsqe0xsop2wwg2f05wx552500" timestamp="1699432903"&gt;132&lt;/key&gt;&lt;/foreign-keys&gt;&lt;ref-type name="Journal Article"&gt;17&lt;/ref-type&gt;&lt;contributors&gt;&lt;authors&gt;&lt;author&gt;More, Kamlakar&lt;/author&gt;&lt;author&gt;Tayade, Sunil&lt;/author&gt;&lt;author&gt;Gawande, Prashant&lt;/author&gt;&lt;author&gt;Manik, Surendra&lt;/author&gt;&lt;author&gt;Shelke, Deepak&lt;/author&gt;&lt;/authors&gt;&lt;/contributors&gt;&lt;titles&gt;&lt;title&gt;Antioxidant and antimicrobial potential of Canavalia gladiata (Jacq.) DC. leaves and seeds: GC-MS based metabolic profiling&lt;/title&gt;&lt;secondary-title&gt;Indian Journal of Natural Products and Resources (IJNPR)[Formerly Natural Product Radiance (NPR)]&lt;/secondary-title&gt;&lt;/titles&gt;&lt;periodical&gt;&lt;full-title&gt;Indian Journal of Natural Products and Resources (IJNPR)[Formerly Natural Product Radiance (NPR)]&lt;/full-title&gt;&lt;/periodical&gt;&lt;pages&gt;163-169&lt;/pages&gt;&lt;volume&gt;13&lt;/volume&gt;&lt;number&gt;2&lt;/number&gt;&lt;dates&gt;&lt;year&gt;2022&lt;/year&gt;&lt;/dates&gt;&lt;isbn&gt;0976-0512&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(More et al., 2022)</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have been documented. These finding</w:t>
      </w:r>
      <w:r>
        <w:rPr>
          <w:rFonts w:hint="default" w:ascii="Times New Roman" w:hAnsi="Times New Roman" w:cs="Times New Roman"/>
          <w:color w:val="000000" w:themeColor="text1"/>
          <w:sz w:val="26"/>
          <w:szCs w:val="26"/>
          <w:lang w:val="en-US"/>
          <w14:textFill>
            <w14:solidFill>
              <w14:schemeClr w14:val="tx1"/>
            </w14:solidFill>
          </w14:textFill>
        </w:rPr>
        <w:t>s</w:t>
      </w:r>
      <w:r>
        <w:rPr>
          <w:rFonts w:ascii="Times New Roman" w:hAnsi="Times New Roman" w:cs="Times New Roman"/>
          <w:color w:val="000000" w:themeColor="text1"/>
          <w:sz w:val="26"/>
          <w:szCs w:val="26"/>
          <w14:textFill>
            <w14:solidFill>
              <w14:schemeClr w14:val="tx1"/>
            </w14:solidFill>
          </w14:textFill>
        </w:rPr>
        <w:t xml:space="preserve"> corroborate the observations of Marrufo et al., (2013), who reported that heptacosane was among the major constituents of </w:t>
      </w:r>
      <w:r>
        <w:rPr>
          <w:rFonts w:ascii="Times New Roman" w:hAnsi="Times New Roman" w:cs="Times New Roman"/>
          <w:i/>
          <w:iCs/>
          <w:color w:val="000000" w:themeColor="text1"/>
          <w:sz w:val="26"/>
          <w:szCs w:val="26"/>
          <w14:textFill>
            <w14:solidFill>
              <w14:schemeClr w14:val="tx1"/>
            </w14:solidFill>
          </w14:textFill>
        </w:rPr>
        <w:t>Moringa Oleifera</w:t>
      </w:r>
      <w:r>
        <w:rPr>
          <w:rFonts w:ascii="Times New Roman" w:hAnsi="Times New Roman" w:cs="Times New Roman"/>
          <w:color w:val="000000" w:themeColor="text1"/>
          <w:sz w:val="26"/>
          <w:szCs w:val="26"/>
          <w14:textFill>
            <w14:solidFill>
              <w14:schemeClr w14:val="tx1"/>
            </w14:solidFill>
          </w14:textFill>
        </w:rPr>
        <w:t xml:space="preserve"> leaf extract. It is important to state that heptacosane is a very active anti-microbial ingredient found in the liquid extracts of plant leaves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&lt;EndNote&gt;&lt;Cite&gt;&lt;Author&gt;Carev&lt;/Author&gt;&lt;Year&gt;2023&lt;/Year&gt;&lt;RecNum&gt;117&lt;/RecNum&gt;&lt;DisplayText&gt;(Carev et al., 2023b)&lt;/DisplayText&gt;&lt;record&gt;&lt;rec-number&gt;117&lt;/rec-number&gt;&lt;foreign-keys&gt;&lt;key app="EN" db-id="edvassfwttpfsqe0xsop2wwg2f05wx552500" timestamp="1698565681"&gt;117&lt;/key&gt;&lt;/foreign-keys&gt;&lt;ref-type name="Journal Article"&gt;17&lt;/ref-type&gt;&lt;contributors&gt;&lt;authors&gt;&lt;author&gt;Carev, Ivana&lt;/author&gt;&lt;author&gt;Ruščić, Mirko&lt;/author&gt;&lt;author&gt;Glumac, Mateo&lt;/author&gt;&lt;author&gt;Politeo, Olivera&lt;/author&gt;&lt;author&gt;Siljak‐Yakovlev, Sonja&lt;/author&gt;&lt;/authors&gt;&lt;/contributors&gt;&lt;titles&gt;&lt;title&gt;Phytochemical and cytogenetic study of two Centaurea species from Croatia: the particular case of diploid and tetraploid C. salonitana&lt;/title&gt;&lt;secondary-title&gt;Chemistry &amp;amp; Biodiversity&lt;/secondary-title&gt;&lt;/titles&gt;&lt;periodical&gt;&lt;full-title&gt;Chemistry &amp;amp; Biodiversity&lt;/full-title&gt;&lt;/periodical&gt;&lt;pages&gt;e202300092&lt;/pages&gt;&lt;volume&gt;20&lt;/volume&gt;&lt;number&gt;5&lt;/number&gt;&lt;dates&gt;&lt;year&gt;2023&lt;/year&gt;&lt;/dates&gt;&lt;isbn&gt;1612-1872&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(Carev et al., 2023b)</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These observations validate the results obtained by FTIR analysis which highlighted the presence of alkanes in </w:t>
      </w:r>
      <w:r>
        <w:rPr>
          <w:rFonts w:ascii="Times New Roman" w:hAnsi="Times New Roman" w:cs="Times New Roman"/>
          <w:i/>
          <w:iCs/>
          <w:color w:val="000000" w:themeColor="text1"/>
          <w:sz w:val="26"/>
          <w:szCs w:val="26"/>
          <w14:textFill>
            <w14:solidFill>
              <w14:schemeClr w14:val="tx1"/>
            </w14:solidFill>
          </w14:textFill>
        </w:rPr>
        <w:t>Moringa Oleifera</w:t>
      </w:r>
      <w:r>
        <w:rPr>
          <w:rFonts w:ascii="Times New Roman" w:hAnsi="Times New Roman" w:cs="Times New Roman"/>
          <w:color w:val="000000" w:themeColor="text1"/>
          <w:sz w:val="26"/>
          <w:szCs w:val="26"/>
          <w14:textFill>
            <w14:solidFill>
              <w14:schemeClr w14:val="tx1"/>
            </w14:solidFill>
          </w14:textFill>
        </w:rPr>
        <w:t xml:space="preserve"> leaf extract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The phyto-components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w:t>
      </w:r>
      <w:r>
        <w:rPr>
          <w:rFonts w:hint="default" w:ascii="Times New Roman" w:hAnsi="Times New Roman" w:cs="Times New Roman"/>
          <w:color w:val="000000" w:themeColor="text1"/>
          <w:sz w:val="26"/>
          <w:szCs w:val="26"/>
          <w:lang w:val="en-US"/>
          <w14:textFill>
            <w14:solidFill>
              <w14:schemeClr w14:val="tx1"/>
            </w14:solidFill>
          </w14:textFill>
        </w:rPr>
        <w:t>were</w:t>
      </w:r>
      <w:r>
        <w:rPr>
          <w:rFonts w:ascii="Times New Roman" w:hAnsi="Times New Roman" w:cs="Times New Roman"/>
          <w:color w:val="000000" w:themeColor="text1"/>
          <w:sz w:val="26"/>
          <w:szCs w:val="26"/>
          <w14:textFill>
            <w14:solidFill>
              <w14:schemeClr w14:val="tx1"/>
            </w14:solidFill>
          </w14:textFill>
        </w:rPr>
        <w:t xml:space="preserve"> identified in </w:t>
      </w:r>
      <w:r>
        <w:rPr>
          <w:rFonts w:ascii="Times New Roman" w:hAnsi="Times New Roman" w:cs="Times New Roman"/>
          <w:b/>
          <w:bCs/>
          <w:color w:val="000000" w:themeColor="text1"/>
          <w:sz w:val="26"/>
          <w:szCs w:val="26"/>
          <w14:textFill>
            <w14:solidFill>
              <w14:schemeClr w14:val="tx1"/>
            </w14:solidFill>
          </w14:textFill>
        </w:rPr>
        <w:t>Fig</w:t>
      </w:r>
      <w:r>
        <w:rPr>
          <w:rFonts w:ascii="Times New Roman" w:hAnsi="Times New Roman" w:cs="Times New Roman"/>
          <w:color w:val="000000" w:themeColor="text1"/>
          <w:sz w:val="26"/>
          <w:szCs w:val="26"/>
          <w14:textFill>
            <w14:solidFill>
              <w14:schemeClr w14:val="tx1"/>
            </w14:solidFill>
          </w14:textFill>
        </w:rPr>
        <w:t xml:space="preserve">. 4. The result shows that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contains significant amounts of Quercetin (&gt;25 %), Kaempferol (&gt;20 %) and Artemetin (&gt;10 %) flavonoids. Other compounds within 5–10 % concentration range include Daidzin, Robinolic, and Ferrulic phenolic acid acid. Several reports have highlighted the anti-oxidant properties of quercetin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&lt;EndNote&gt;&lt;Cite&gt;&lt;Author&gt;Marrufo&lt;/Author&gt;&lt;Year&gt;2013&lt;/Year&gt;&lt;RecNum&gt;135&lt;/RecNum&gt;&lt;DisplayText&gt;(Marrufo et al., 2013)&lt;/DisplayText&gt;&lt;record&gt;&lt;rec-number&gt;135&lt;/rec-number&gt;&lt;foreign-keys&gt;&lt;key app="EN" db-id="edvassfwttpfsqe0xsop2wwg2f05wx552500" timestamp="1699434551"&gt;135&lt;/key&gt;&lt;/foreign-keys&gt;&lt;ref-type name="Journal Article"&gt;17&lt;/ref-type&gt;&lt;contributors&gt;&lt;authors&gt;&lt;author&gt;Marrufo, Tatiana&lt;/author&gt;&lt;author&gt;Nazzaro, Filomena&lt;/author&gt;&lt;author&gt;Mancini, Emilia&lt;/author&gt;&lt;author&gt;Fratianni, Florinda&lt;/author&gt;&lt;author&gt;Coppola, Raffaele&lt;/author&gt;&lt;author&gt;De Martino, Laura&lt;/author&gt;&lt;author&gt;Agostinho, Adelaide Bela&lt;/author&gt;&lt;author&gt;De Feo, Vincenzo&lt;/author&gt;&lt;/authors&gt;&lt;/contributors&gt;&lt;titles&gt;&lt;title&gt;Chemical composition and biological activity of the essential oil from leaves of Moringa oleifera Lam. cultivated in Mozambique&lt;/title&gt;&lt;secondary-title&gt;Molecules&lt;/secondary-title&gt;&lt;/titles&gt;&lt;periodical&gt;&lt;full-title&gt;Molecules&lt;/full-title&gt;&lt;/periodical&gt;&lt;pages&gt;10989-11000&lt;/pages&gt;&lt;volume&gt;18&lt;/volume&gt;&lt;number&gt;9&lt;/number&gt;&lt;dates&gt;&lt;year&gt;2013&lt;/year&gt;&lt;/dates&gt;&lt;isbn&gt;1420-3049&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(Marrufo et al., 2013)</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and kaempferol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&lt;EndNote&gt;&lt;Cite&gt;&lt;Author&gt;Tian&lt;/Author&gt;&lt;Year&gt;2021&lt;/Year&gt;&lt;RecNum&gt;138&lt;/RecNum&gt;&lt;DisplayText&gt;(Tian et al., 2021)&lt;/DisplayText&gt;&lt;record&gt;&lt;rec-number&gt;138&lt;/rec-number&gt;&lt;foreign-keys&gt;&lt;key app="EN" db-id="edvassfwttpfsqe0xsop2wwg2f05wx552500" timestamp="1699515231"&gt;138&lt;/key&gt;&lt;/foreign-keys&gt;&lt;ref-type name="Journal Article"&gt;17&lt;/ref-type&gt;&lt;contributors&gt;&lt;authors&gt;&lt;author&gt;Tian, Chunlian&lt;/author&gt;&lt;author&gt;Liu, Xin&lt;/author&gt;&lt;author&gt;Chang, Yu&lt;/author&gt;&lt;author&gt;Wang, Ruxia&lt;/author&gt;&lt;author&gt;Lv, Tianmeng&lt;/author&gt;&lt;author&gt;Cui, Cancan&lt;/author&gt;&lt;author&gt;Liu, Mingchun&lt;/author&gt;&lt;/authors&gt;&lt;/contributors&gt;&lt;titles&gt;&lt;title&gt;Investigation of the anti-inflammatory and antioxidant activities of luteolin, kaempferol, apigenin and quercetin&lt;/title&gt;&lt;secondary-title&gt;South African Journal of Botany&lt;/secondary-title&gt;&lt;/titles&gt;&lt;periodical&gt;&lt;full-title&gt;South African Journal of Botany&lt;/full-title&gt;&lt;/periodical&gt;&lt;pages&gt;257-264&lt;/pages&gt;&lt;volume&gt;137&lt;/volume&gt;&lt;dates&gt;&lt;year&gt;2021&lt;/year&gt;&lt;/dates&gt;&lt;isbn&gt;0254-6299&lt;/isbn&gt;&lt;urls&gt;&lt;/urls&gt;&lt;/record&gt;&lt;/Cite&gt;&lt;/EndNote&gt;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(Tian et al., 2021)</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Also, quercetin has been reported to exhibit natural cross-linking abilities, which is highly desirable in forming biochemical mixtures between plant extracts and other substrates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&lt;EndNote&gt;&lt;Cite&gt;&lt;Author&gt;Wiggers&lt;/Author&gt;&lt;Year&gt;2022&lt;/Year&gt;&lt;RecNum&gt;140&lt;/RecNum&gt;&lt;DisplayText&gt;(Wiggers et al., 2022, Hong et al., 2022)&lt;/DisplayText&gt;&lt;record&gt;&lt;rec-number&gt;140&lt;/rec-number&gt;&lt;foreign-keys&gt;&lt;key app="EN" db-id="edvassfwttpfsqe0xsop2wwg2f05wx552500" timestamp="1699515675"&gt;140&lt;/key&gt;&lt;/foreign-keys&gt;&lt;ref-type name="Journal Article"&gt;17&lt;/ref-type&gt;&lt;contributors&gt;&lt;authors&gt;&lt;author&gt;Wiggers, Helton José&lt;/author&gt;&lt;author&gt;Chevallier, Pascale&lt;/author&gt;&lt;author&gt;Copes, Francesco&lt;/author&gt;&lt;author&gt;Simch, Fernanda Heloisa&lt;/author&gt;&lt;author&gt;da Silva Veloso, Felipe&lt;/author&gt;&lt;author&gt;Genevro, Giovana Maria&lt;/author&gt;&lt;author&gt;Mantovani, Diego&lt;/author&gt;&lt;/authors&gt;&lt;/contributors&gt;&lt;titles&gt;&lt;title&gt;Quercetin-Crosslinked Chitosan Films for Controlled Release of Antimicrobial Drugs&lt;/title&gt;&lt;secondary-title&gt;Frontiers in Bioengineering and Biotechnology&lt;/secondary-title&gt;&lt;/titles&gt;&lt;periodical&gt;&lt;full-title&gt;Frontiers in Bioengineering and Biotechnology&lt;/full-title&gt;&lt;/periodical&gt;&lt;pages&gt;814162&lt;/pages&gt;&lt;volume&gt;10&lt;/volume&gt;&lt;dates&gt;&lt;year&gt;2022&lt;/year&gt;&lt;/dates&gt;&lt;isbn&gt;2296-4185&lt;/isbn&gt;&lt;urls&gt;&lt;/urls&gt;&lt;/record&gt;&lt;/Cite&gt;&lt;Cite&gt;&lt;Author&gt;Hong&lt;/Author&gt;&lt;Year&gt;2022&lt;/Year&gt;&lt;RecNum&gt;141&lt;/RecNum&gt;&lt;record&gt;&lt;rec-number&gt;141&lt;/rec-number&gt;&lt;foreign-keys&gt;&lt;key app="EN" db-id="edvassfwttpfsqe0xsop2wwg2f05wx552500" timestamp="1699515715"&gt;141&lt;/key&gt;&lt;/foreign-keys&gt;&lt;ref-type name="Journal Article"&gt;17&lt;/ref-type&gt;&lt;contributors&gt;&lt;authors&gt;&lt;author&gt;Hong, Deng-wei&lt;/author&gt;&lt;author&gt;Chen, Li-bing&lt;/author&gt;&lt;author&gt;Lin, Xiu-jiao&lt;/author&gt;&lt;author&gt;Attin, Thomas&lt;/author&gt;&lt;author&gt;Yu, Hao&lt;/author&gt;&lt;/authors&gt;&lt;/contributors&gt;&lt;titles&gt;&lt;title&gt;Dual function of quercetin as an MMP inhibitor and crosslinker in preventing dentin erosion and abrasion: An in situ/in vivo study&lt;/title&gt;&lt;secondary-title&gt;Dental Materials&lt;/secondary-title&gt;&lt;/titles&gt;&lt;periodical&gt;&lt;full-title&gt;Dental Materials&lt;/full-title&gt;&lt;/periodical&gt;&lt;pages&gt;e297-e307&lt;/pages&gt;&lt;volume&gt;38&lt;/volume&gt;&lt;number&gt;12&lt;/number&gt;&lt;dates&gt;&lt;year&gt;2022&lt;/year&gt;&lt;/dates&gt;&lt;isbn&gt;0109-5641&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(Wiggers et al., 2022, Hong et al., 2022)</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The concentration hierarchy of these </w:t>
      </w:r>
      <w:r>
        <w:rPr>
          <w:rFonts w:ascii="Times New Roman" w:hAnsi="Times New Roman" w:cs="Times New Roman"/>
          <w:color w:val="000000" w:themeColor="text1"/>
          <w:sz w:val="26"/>
          <w:szCs w:val="26"/>
          <w:lang w:val="en-US"/>
          <w14:textFill>
            <w14:solidFill>
              <w14:schemeClr w14:val="tx1"/>
            </w14:solidFill>
          </w14:textFill>
        </w:rPr>
        <w:t>flavonoids</w:t>
      </w:r>
      <w:r>
        <w:rPr>
          <w:rFonts w:ascii="Times New Roman" w:hAnsi="Times New Roman" w:cs="Times New Roman"/>
          <w:color w:val="000000" w:themeColor="text1"/>
          <w:sz w:val="26"/>
          <w:szCs w:val="26"/>
          <w14:textFill>
            <w14:solidFill>
              <w14:schemeClr w14:val="tx1"/>
            </w14:solidFill>
          </w14:textFill>
        </w:rPr>
        <w:t xml:space="preserve"> are comparable to the findings of Kashyap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&lt;EndNote&gt;&lt;Cite&gt;&lt;Author&gt;Kashyap&lt;/Author&gt;&lt;Year&gt;2022&lt;/Year&gt;&lt;RecNum&gt;142&lt;/RecNum&gt;&lt;DisplayText&gt;(Kashyap et al., 2022)&lt;/DisplayText&gt;&lt;record&gt;&lt;rec-number&gt;142&lt;/rec-number&gt;&lt;foreign-keys&gt;&lt;key app="EN" db-id="edvassfwttpfsqe0xsop2wwg2f05wx552500" timestamp="1699516083"&gt;142&lt;/key&gt;&lt;/foreign-keys&gt;&lt;ref-type name="Journal Article"&gt;17&lt;/ref-type&gt;&lt;contributors&gt;&lt;authors&gt;&lt;author&gt;Kashyap, Piyush&lt;/author&gt;&lt;author&gt;Kumar, Shiv&lt;/author&gt;&lt;author&gt;Riar, Charanjit Singh&lt;/author&gt;&lt;author&gt;Jindal, Navdeep&lt;/author&gt;&lt;author&gt;Baniwal, Poonam&lt;/author&gt;&lt;author&gt;Guiné, Raquel PF&lt;/author&gt;&lt;author&gt;Correia, Paula MR&lt;/author&gt;&lt;author&gt;Mehra, Rahul&lt;/author&gt;&lt;author&gt;Kumar, Harish&lt;/author&gt;&lt;/authors&gt;&lt;/contributors&gt;&lt;titles&gt;&lt;title&gt;Recent advances in Drumstick (Moringa oleifera) leaves bioactive compounds: Composition, health benefits, bioaccessibility, and dietary applications&lt;/title&gt;&lt;secondary-title&gt;Antioxidants&lt;/secondary-title&gt;&lt;/titles&gt;&lt;periodical&gt;&lt;full-title&gt;Antioxidants&lt;/full-title&gt;&lt;/periodical&gt;&lt;pages&gt;402&lt;/pages&gt;&lt;volume&gt;11&lt;/volume&gt;&lt;number&gt;2&lt;/number&gt;&lt;dates&gt;&lt;year&gt;2022&lt;/year&gt;&lt;/dates&gt;&lt;isbn&gt;2076-3921&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(Kashyap et al., 2022)</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and Lin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&lt;EndNote&gt;&lt;Cite&gt;&lt;Author&gt;Lin&lt;/Author&gt;&lt;Year&gt;2018&lt;/Year&gt;&lt;RecNum&gt;144&lt;/RecNum&gt;&lt;DisplayText&gt;(Lin et al., 2018)&lt;/DisplayText&gt;&lt;record&gt;&lt;rec-number&gt;144&lt;/rec-number&gt;&lt;foreign-keys&gt;&lt;key app="EN" db-id="edvassfwttpfsqe0xsop2wwg2f05wx552500" timestamp="1699516297"&gt;144&lt;/key&gt;&lt;/foreign-keys&gt;&lt;ref-type name="Journal Article"&gt;17&lt;/ref-type&gt;&lt;contributors&gt;&lt;authors&gt;&lt;author&gt;Lin, Mengfei&lt;/author&gt;&lt;author&gt;Zhang, Junjie&lt;/author&gt;&lt;author&gt;Chen, Xiaoyang&lt;/author&gt;&lt;/authors&gt;&lt;/contributors&gt;&lt;titles&gt;&lt;title&gt;Bioactive flavonoids in Moringa oleifera and their health-promoting properties&lt;/title&gt;&lt;secondary-title&gt;Journal of functional foods&lt;/secondary-title&gt;&lt;/titles&gt;&lt;periodical&gt;&lt;full-title&gt;Journal of functional foods&lt;/full-title&gt;&lt;/periodical&gt;&lt;pages&gt;469-479&lt;/pages&gt;&lt;volume&gt;47&lt;/volume&gt;&lt;dates&gt;&lt;year&gt;2018&lt;/year&gt;&lt;/dates&gt;&lt;isbn&gt;1756-4646&lt;/isbn&gt;&lt;urls&gt;&lt;/urls&gt;&lt;/record&gt;&lt;/Cite&gt;&lt;/EndNote&gt;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(Lin et al., 2018)</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who reported the phytochemical constituents of </w:t>
      </w:r>
      <w:r>
        <w:rPr>
          <w:rFonts w:ascii="Times New Roman" w:hAnsi="Times New Roman" w:cs="Times New Roman"/>
          <w:i/>
          <w:iCs/>
          <w:color w:val="000000" w:themeColor="text1"/>
          <w:sz w:val="26"/>
          <w:szCs w:val="26"/>
          <w14:textFill>
            <w14:solidFill>
              <w14:schemeClr w14:val="tx1"/>
            </w14:solidFill>
          </w14:textFill>
        </w:rPr>
        <w:t>Moringa Oleifera</w:t>
      </w:r>
      <w:r>
        <w:rPr>
          <w:rFonts w:ascii="Times New Roman" w:hAnsi="Times New Roman" w:cs="Times New Roman"/>
          <w:color w:val="000000" w:themeColor="text1"/>
          <w:sz w:val="26"/>
          <w:szCs w:val="26"/>
          <w14:textFill>
            <w14:solidFill>
              <w14:schemeClr w14:val="tx1"/>
            </w14:solidFill>
          </w14:textFill>
        </w:rPr>
        <w:t xml:space="preserve"> leaf extracts. These observations emphasize the suitability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to inhibit oxidation and microbial attack </w:t>
      </w:r>
      <w:r>
        <w:rPr>
          <w:rFonts w:hint="default" w:ascii="Times New Roman" w:hAnsi="Times New Roman" w:cs="Times New Roman"/>
          <w:color w:val="000000" w:themeColor="text1"/>
          <w:sz w:val="26"/>
          <w:szCs w:val="26"/>
          <w:lang w:val="en-US"/>
          <w14:textFill>
            <w14:solidFill>
              <w14:schemeClr w14:val="tx1"/>
            </w14:solidFill>
          </w14:textFill>
        </w:rPr>
        <w:t>of</w:t>
      </w:r>
      <w:r>
        <w:rPr>
          <w:rFonts w:ascii="Times New Roman" w:hAnsi="Times New Roman" w:cs="Times New Roman"/>
          <w:color w:val="000000" w:themeColor="text1"/>
          <w:sz w:val="26"/>
          <w:szCs w:val="26"/>
          <w14:textFill>
            <w14:solidFill>
              <w14:schemeClr w14:val="tx1"/>
            </w14:solidFill>
          </w14:textFill>
        </w:rPr>
        <w:t xml:space="preserve"> fruits and vegetables coated with MOLE biofilm.</w:t>
      </w:r>
    </w:p>
    <w:p>
      <w:pPr>
        <w:keepNext w:val="0"/>
        <w:keepLines w:val="0"/>
        <w:pageBreakBefore w:val="0"/>
        <w:widowControl/>
        <w:kinsoku/>
        <w:wordWrap/>
        <w:overflowPunct/>
        <w:topLinePunct w:val="0"/>
        <w:autoSpaceDE/>
        <w:autoSpaceDN/>
        <w:bidi w:val="0"/>
        <w:adjustRightInd/>
        <w:snapToGrid/>
        <w:spacing w:after="181" w:afterLines="50" w:line="360" w:lineRule="auto"/>
        <w:jc w:val="both"/>
        <w:textAlignment w:val="auto"/>
        <w:rPr>
          <w:rFonts w:ascii="Times New Roman" w:hAnsi="Times New Roman" w:cs="Times New Roman"/>
          <w:color w:val="FF0000"/>
          <w:sz w:val="28"/>
          <w:szCs w:val="28"/>
        </w:rPr>
      </w:pPr>
      <w:r>
        <w:rPr>
          <w:rFonts w:ascii="Times New Roman" w:hAnsi="Times New Roman" w:cs="Times New Roman"/>
          <w:color w:val="000000" w:themeColor="text1"/>
          <w:sz w:val="26"/>
          <w:szCs w:val="26"/>
          <w14:textFill>
            <w14:solidFill>
              <w14:schemeClr w14:val="tx1"/>
            </w14:solidFill>
          </w14:textFill>
        </w:rPr>
        <w:t xml:space="preserve">The phyto-components of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biofilm showed a decline in the concentrations of some major constituents found in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The concentration of quercetin declined significantly from 26.5035 % in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to 10.2656 % in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while the presence of </w:t>
      </w:r>
      <w:r>
        <w:rPr>
          <w:rFonts w:ascii="Times New Roman" w:hAnsi="Times New Roman" w:cs="Times New Roman"/>
          <w:color w:val="000000" w:themeColor="text1"/>
          <w:sz w:val="26"/>
          <w:szCs w:val="26"/>
          <w:lang w:val="en-US"/>
          <w14:textFill>
            <w14:solidFill>
              <w14:schemeClr w14:val="tx1"/>
            </w14:solidFill>
          </w14:textFill>
        </w:rPr>
        <w:t>Kaempferol</w:t>
      </w:r>
      <w:r>
        <w:rPr>
          <w:rFonts w:ascii="Times New Roman" w:hAnsi="Times New Roman" w:cs="Times New Roman"/>
          <w:color w:val="000000" w:themeColor="text1"/>
          <w:sz w:val="26"/>
          <w:szCs w:val="26"/>
          <w14:textFill>
            <w14:solidFill>
              <w14:schemeClr w14:val="tx1"/>
            </w14:solidFill>
          </w14:textFill>
        </w:rPr>
        <w:t xml:space="preserve"> was not detected. This reduction in concentration is attributed to the active participation of quercetin in cross linking with chitosan biopolymer. The disappearance of kaempferol in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biofilm implies that it was consumed in the formation of a new </w:t>
      </w:r>
      <w:r>
        <w:rPr>
          <w:rFonts w:ascii="Times New Roman" w:hAnsi="Times New Roman" w:cs="Times New Roman"/>
          <w:i/>
          <w:iCs/>
          <w:color w:val="000000" w:themeColor="text1"/>
          <w:sz w:val="26"/>
          <w:szCs w:val="26"/>
          <w14:textFill>
            <w14:solidFill>
              <w14:schemeClr w14:val="tx1"/>
            </w14:solidFill>
          </w14:textFill>
        </w:rPr>
        <w:t>MO</w:t>
      </w:r>
      <w:r>
        <w:rPr>
          <w:rFonts w:hint="default" w:ascii="Times New Roman" w:hAnsi="Times New Roman" w:cs="Times New Roman"/>
          <w:i/>
          <w:iCs/>
          <w:color w:val="000000" w:themeColor="text1"/>
          <w:sz w:val="26"/>
          <w:szCs w:val="26"/>
          <w:lang w:val="en-US"/>
          <w14:textFill>
            <w14:solidFill>
              <w14:schemeClr w14:val="tx1"/>
            </w14:solidFill>
          </w14:textFill>
        </w:rPr>
        <w:t>C</w:t>
      </w:r>
      <w:r>
        <w:rPr>
          <w:rFonts w:ascii="Times New Roman" w:hAnsi="Times New Roman" w:cs="Times New Roman"/>
          <w:i/>
          <w:iCs/>
          <w:color w:val="000000" w:themeColor="text1"/>
          <w:sz w:val="26"/>
          <w:szCs w:val="26"/>
          <w14:textFill>
            <w14:solidFill>
              <w14:schemeClr w14:val="tx1"/>
            </w14:solidFill>
          </w14:textFill>
        </w:rPr>
        <w:t>EB</w:t>
      </w:r>
      <w:r>
        <w:rPr>
          <w:rFonts w:ascii="Times New Roman" w:hAnsi="Times New Roman" w:cs="Times New Roman"/>
          <w:color w:val="000000" w:themeColor="text1"/>
          <w:sz w:val="26"/>
          <w:szCs w:val="26"/>
          <w14:textFill>
            <w14:solidFill>
              <w14:schemeClr w14:val="tx1"/>
            </w14:solidFill>
          </w14:textFill>
        </w:rPr>
        <w:t xml:space="preserve"> bioconjugate. A general comparative overview of the phytochemical constituents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reveals that a significant amount of flavonoid and phenolic compounds were involved in the synthesis of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lang w:val="en-US"/>
          <w14:textFill>
            <w14:solidFill>
              <w14:schemeClr w14:val="tx1"/>
            </w14:solidFill>
          </w14:textFill>
        </w:rPr>
        <w:t>biofilm</w:t>
      </w: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FF0000"/>
          <w:sz w:val="28"/>
          <w:szCs w:val="28"/>
        </w:rPr>
        <w:t xml:space="preserve"> </w:t>
      </w:r>
    </w:p>
    <w:tbl>
      <w:tblPr>
        <w:tblStyle w:val="3"/>
        <w:tblW w:w="8331" w:type="dxa"/>
        <w:tblInd w:w="96" w:type="dxa"/>
        <w:tblLayout w:type="fixed"/>
        <w:tblCellMar>
          <w:top w:w="0" w:type="dxa"/>
          <w:left w:w="108" w:type="dxa"/>
          <w:bottom w:w="0" w:type="dxa"/>
          <w:right w:w="108" w:type="dxa"/>
        </w:tblCellMar>
      </w:tblPr>
      <w:tblGrid>
        <w:gridCol w:w="2401"/>
        <w:gridCol w:w="1710"/>
        <w:gridCol w:w="1549"/>
        <w:gridCol w:w="1251"/>
        <w:gridCol w:w="1420"/>
      </w:tblGrid>
      <w:tr>
        <w:tblPrEx>
          <w:tblCellMar>
            <w:top w:w="0" w:type="dxa"/>
            <w:left w:w="108" w:type="dxa"/>
            <w:bottom w:w="0" w:type="dxa"/>
            <w:right w:w="108" w:type="dxa"/>
          </w:tblCellMar>
        </w:tblPrEx>
        <w:trPr>
          <w:trHeight w:val="288" w:hRule="atLeast"/>
        </w:trPr>
        <w:tc>
          <w:tcPr>
            <w:tcW w:w="8331" w:type="dxa"/>
            <w:gridSpan w:val="5"/>
            <w:tcBorders>
              <w:top w:val="nil"/>
              <w:left w:val="nil"/>
              <w:bottom w:val="single" w:color="auto" w:sz="4" w:space="0"/>
              <w:right w:val="nil"/>
            </w:tcBorders>
            <w:shd w:val="clear" w:color="auto" w:fill="auto"/>
            <w:noWrap/>
            <w:vAlign w:val="center"/>
          </w:tcPr>
          <w:p>
            <w:pPr>
              <w:spacing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Table 2</w:t>
            </w:r>
            <w:r>
              <w:rPr>
                <w:rFonts w:ascii="Times New Roman" w:hAnsi="Times New Roman" w:cs="Times New Roman"/>
                <w:color w:val="000000"/>
                <w:sz w:val="24"/>
                <w:szCs w:val="24"/>
              </w:rPr>
              <w:t xml:space="preserve">: GC-MS results of </w:t>
            </w:r>
            <w:r>
              <w:rPr>
                <w:rFonts w:ascii="Times New Roman" w:hAnsi="Times New Roman" w:cs="Times New Roman"/>
                <w:i/>
                <w:iCs/>
                <w:color w:val="000000"/>
                <w:sz w:val="24"/>
                <w:szCs w:val="24"/>
              </w:rPr>
              <w:t>M</w:t>
            </w:r>
            <w:r>
              <w:rPr>
                <w:rFonts w:ascii="Times New Roman" w:hAnsi="Times New Roman" w:cs="Times New Roman"/>
                <w:i/>
                <w:iCs/>
                <w:color w:val="000000"/>
                <w:sz w:val="24"/>
                <w:szCs w:val="24"/>
                <w:lang w:val="en-GB"/>
              </w:rPr>
              <w:t>O</w:t>
            </w:r>
            <w:r>
              <w:rPr>
                <w:rFonts w:ascii="Times New Roman" w:hAnsi="Times New Roman" w:cs="Times New Roman"/>
                <w:i/>
                <w:iCs/>
                <w:color w:val="000000"/>
                <w:sz w:val="24"/>
                <w:szCs w:val="24"/>
              </w:rPr>
              <w:t>LE</w:t>
            </w:r>
            <w:r>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MOCEB</w:t>
            </w:r>
            <w:bookmarkStart w:id="0" w:name="_GoBack"/>
            <w:bookmarkEnd w:id="0"/>
          </w:p>
        </w:tc>
      </w:tr>
      <w:tr>
        <w:tblPrEx>
          <w:tblCellMar>
            <w:top w:w="0" w:type="dxa"/>
            <w:left w:w="108" w:type="dxa"/>
            <w:bottom w:w="0" w:type="dxa"/>
            <w:right w:w="108" w:type="dxa"/>
          </w:tblCellMar>
        </w:tblPrEx>
        <w:trPr>
          <w:trHeight w:val="256" w:hRule="atLeast"/>
        </w:trPr>
        <w:tc>
          <w:tcPr>
            <w:tcW w:w="8331" w:type="dxa"/>
            <w:gridSpan w:val="5"/>
            <w:tcBorders>
              <w:top w:val="single" w:color="auto" w:sz="4" w:space="0"/>
              <w:left w:val="nil"/>
              <w:bottom w:val="single" w:color="auto" w:sz="4" w:space="0"/>
              <w:right w:val="nil"/>
            </w:tcBorders>
            <w:shd w:val="clear" w:color="auto" w:fill="auto"/>
            <w:noWrap/>
            <w:vAlign w:val="center"/>
          </w:tcPr>
          <w:p>
            <w:pPr>
              <w:spacing w:line="240" w:lineRule="auto"/>
              <w:jc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 xml:space="preserve">Hydrocarbon constituents of </w:t>
            </w:r>
            <w:r>
              <w:rPr>
                <w:rFonts w:ascii="Times New Roman" w:hAnsi="Times New Roman" w:eastAsia="SimSun" w:cs="Times New Roman"/>
                <w:i/>
                <w:iCs/>
                <w:color w:val="000000"/>
                <w:sz w:val="24"/>
                <w:szCs w:val="24"/>
                <w:lang w:bidi="ar"/>
              </w:rPr>
              <w:t>MOLE</w:t>
            </w:r>
          </w:p>
        </w:tc>
      </w:tr>
      <w:tr>
        <w:tblPrEx>
          <w:tblCellMar>
            <w:top w:w="0" w:type="dxa"/>
            <w:left w:w="108" w:type="dxa"/>
            <w:bottom w:w="0" w:type="dxa"/>
            <w:right w:w="108" w:type="dxa"/>
          </w:tblCellMar>
        </w:tblPrEx>
        <w:trPr>
          <w:trHeight w:val="288" w:hRule="atLeast"/>
        </w:trPr>
        <w:tc>
          <w:tcPr>
            <w:tcW w:w="2401"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Hydrocarbon content</w:t>
            </w:r>
          </w:p>
        </w:tc>
        <w:tc>
          <w:tcPr>
            <w:tcW w:w="1710"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MW(g/mol)</w:t>
            </w:r>
          </w:p>
        </w:tc>
        <w:tc>
          <w:tcPr>
            <w:tcW w:w="1549"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rPr>
              <w:t>RT (min)</w:t>
            </w:r>
          </w:p>
        </w:tc>
        <w:tc>
          <w:tcPr>
            <w:tcW w:w="1251"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Area</w:t>
            </w:r>
          </w:p>
        </w:tc>
        <w:tc>
          <w:tcPr>
            <w:tcW w:w="1420"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Conc (%)</w:t>
            </w:r>
          </w:p>
        </w:tc>
      </w:tr>
      <w:tr>
        <w:tblPrEx>
          <w:tblCellMar>
            <w:top w:w="0" w:type="dxa"/>
            <w:left w:w="108" w:type="dxa"/>
            <w:bottom w:w="0" w:type="dxa"/>
            <w:right w:w="108" w:type="dxa"/>
          </w:tblCellMar>
        </w:tblPrEx>
        <w:trPr>
          <w:trHeight w:val="288" w:hRule="atLeast"/>
        </w:trPr>
        <w:tc>
          <w:tcPr>
            <w:tcW w:w="2401" w:type="dxa"/>
            <w:tcBorders>
              <w:top w:val="single" w:color="auto" w:sz="4" w:space="0"/>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Dodecane</w:t>
            </w:r>
          </w:p>
        </w:tc>
        <w:tc>
          <w:tcPr>
            <w:tcW w:w="1710"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170.34</w:t>
            </w:r>
          </w:p>
        </w:tc>
        <w:tc>
          <w:tcPr>
            <w:tcW w:w="1549"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7.235</w:t>
            </w:r>
          </w:p>
        </w:tc>
        <w:tc>
          <w:tcPr>
            <w:tcW w:w="1251"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1.21769</w:t>
            </w:r>
          </w:p>
        </w:tc>
        <w:tc>
          <w:tcPr>
            <w:tcW w:w="1420"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4.682</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Tridecane</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184.4</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8.0374</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3.22123</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12.386</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tetradecane</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198.39</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9.396</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10.72631</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41.246</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Pentadecane</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212.42</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9.296</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4.8008</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18.46</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Hexadecane</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226.45</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10.341</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1.25744</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4.8351</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Hexacosane</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366.71</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16.378</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1.65823</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6.376</w:t>
            </w:r>
          </w:p>
        </w:tc>
      </w:tr>
      <w:tr>
        <w:tblPrEx>
          <w:tblCellMar>
            <w:top w:w="0" w:type="dxa"/>
            <w:left w:w="108" w:type="dxa"/>
            <w:bottom w:w="0" w:type="dxa"/>
            <w:right w:w="108" w:type="dxa"/>
          </w:tblCellMar>
        </w:tblPrEx>
        <w:trPr>
          <w:trHeight w:val="288" w:hRule="atLeast"/>
        </w:trPr>
        <w:tc>
          <w:tcPr>
            <w:tcW w:w="2401" w:type="dxa"/>
            <w:tcBorders>
              <w:top w:val="nil"/>
              <w:left w:val="nil"/>
              <w:bottom w:val="single" w:color="auto" w:sz="4" w:space="0"/>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Heptacosane</w:t>
            </w:r>
          </w:p>
        </w:tc>
        <w:tc>
          <w:tcPr>
            <w:tcW w:w="1710"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380.74</w:t>
            </w:r>
          </w:p>
        </w:tc>
        <w:tc>
          <w:tcPr>
            <w:tcW w:w="1549"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16.785</w:t>
            </w:r>
          </w:p>
        </w:tc>
        <w:tc>
          <w:tcPr>
            <w:tcW w:w="1251"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3.12467</w:t>
            </w:r>
          </w:p>
        </w:tc>
        <w:tc>
          <w:tcPr>
            <w:tcW w:w="1420"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12.013</w:t>
            </w:r>
          </w:p>
        </w:tc>
      </w:tr>
      <w:tr>
        <w:tblPrEx>
          <w:tblCellMar>
            <w:top w:w="0" w:type="dxa"/>
            <w:left w:w="108" w:type="dxa"/>
            <w:bottom w:w="0" w:type="dxa"/>
            <w:right w:w="108" w:type="dxa"/>
          </w:tblCellMar>
        </w:tblPrEx>
        <w:trPr>
          <w:trHeight w:val="288" w:hRule="atLeast"/>
        </w:trPr>
        <w:tc>
          <w:tcPr>
            <w:tcW w:w="8331" w:type="dxa"/>
            <w:gridSpan w:val="5"/>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 xml:space="preserve">Phytochemical quantitative result of </w:t>
            </w:r>
            <w:r>
              <w:rPr>
                <w:rFonts w:ascii="Times New Roman" w:hAnsi="Times New Roman" w:eastAsia="SimSun" w:cs="Times New Roman"/>
                <w:i/>
                <w:iCs/>
                <w:color w:val="000000"/>
                <w:sz w:val="24"/>
                <w:szCs w:val="24"/>
                <w:lang w:bidi="ar"/>
              </w:rPr>
              <w:t>MOLE</w:t>
            </w:r>
          </w:p>
        </w:tc>
      </w:tr>
      <w:tr>
        <w:tblPrEx>
          <w:tblCellMar>
            <w:top w:w="0" w:type="dxa"/>
            <w:left w:w="108" w:type="dxa"/>
            <w:bottom w:w="0" w:type="dxa"/>
            <w:right w:w="108" w:type="dxa"/>
          </w:tblCellMar>
        </w:tblPrEx>
        <w:trPr>
          <w:trHeight w:val="288" w:hRule="atLeast"/>
        </w:trPr>
        <w:tc>
          <w:tcPr>
            <w:tcW w:w="2401"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Compound</w:t>
            </w:r>
          </w:p>
        </w:tc>
        <w:tc>
          <w:tcPr>
            <w:tcW w:w="1710"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MW(g/mol)</w:t>
            </w:r>
          </w:p>
        </w:tc>
        <w:tc>
          <w:tcPr>
            <w:tcW w:w="1549"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rPr>
              <w:t>RT (min)</w:t>
            </w:r>
          </w:p>
        </w:tc>
        <w:tc>
          <w:tcPr>
            <w:tcW w:w="1251"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Area</w:t>
            </w:r>
          </w:p>
        </w:tc>
        <w:tc>
          <w:tcPr>
            <w:tcW w:w="1420"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Conc (%)</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Apigenin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270.0528</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3.884</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1.87208</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2.23448</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Artemetin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388.37</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5.56</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6.58526</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10.46861</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Quercetin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302.236</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7.537</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22.27661</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26.50350</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Daidzin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254.23</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8.246</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5.0254</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6.11321</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Butein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272.25</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9.286</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2.73057</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3.28393</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Naringenin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272.257</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10.054</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2.64946</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3.18328</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Luteolin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286.24</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10.592</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3.876688</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4.69589</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Kaempferol</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286.23</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11.124</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16.41721</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20.14230</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Epicatechin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290.26</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11.779</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1.57236</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1.74839</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Daidzein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254.23</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12.671</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1.26927</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1.47638</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Robinetin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302.238</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13.899</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4.48533</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5.43520</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Myricetin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318.2351</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14.865</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3.59993</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4.23879</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Cinnamic acid</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148.1586</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17.981</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1.30506</w:t>
            </w:r>
          </w:p>
        </w:tc>
        <w:tc>
          <w:tcPr>
            <w:tcW w:w="1420" w:type="dxa"/>
            <w:tcBorders>
              <w:top w:val="nil"/>
              <w:left w:val="nil"/>
              <w:bottom w:val="nil"/>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1.44220</w:t>
            </w:r>
          </w:p>
        </w:tc>
      </w:tr>
      <w:tr>
        <w:tblPrEx>
          <w:tblCellMar>
            <w:top w:w="0" w:type="dxa"/>
            <w:left w:w="108" w:type="dxa"/>
            <w:bottom w:w="0" w:type="dxa"/>
            <w:right w:w="108" w:type="dxa"/>
          </w:tblCellMar>
        </w:tblPrEx>
        <w:trPr>
          <w:trHeight w:val="288" w:hRule="atLeast"/>
        </w:trPr>
        <w:tc>
          <w:tcPr>
            <w:tcW w:w="2401" w:type="dxa"/>
            <w:tcBorders>
              <w:top w:val="nil"/>
              <w:left w:val="nil"/>
              <w:bottom w:val="single" w:color="auto" w:sz="4" w:space="0"/>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Ferrulicn acid</w:t>
            </w:r>
          </w:p>
        </w:tc>
        <w:tc>
          <w:tcPr>
            <w:tcW w:w="1710"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194.18</w:t>
            </w:r>
          </w:p>
        </w:tc>
        <w:tc>
          <w:tcPr>
            <w:tcW w:w="1549"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20.037</w:t>
            </w:r>
          </w:p>
        </w:tc>
        <w:tc>
          <w:tcPr>
            <w:tcW w:w="1251"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7.4216</w:t>
            </w:r>
          </w:p>
        </w:tc>
        <w:tc>
          <w:tcPr>
            <w:tcW w:w="1420" w:type="dxa"/>
            <w:tcBorders>
              <w:top w:val="nil"/>
              <w:left w:val="nil"/>
              <w:bottom w:val="single" w:color="auto" w:sz="4" w:space="0"/>
              <w:right w:val="nil"/>
            </w:tcBorders>
            <w:shd w:val="clear" w:color="auto" w:fill="auto"/>
            <w:noWrap/>
            <w:vAlign w:val="center"/>
          </w:tcPr>
          <w:p>
            <w:pPr>
              <w:spacing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9.03383</w:t>
            </w:r>
          </w:p>
        </w:tc>
      </w:tr>
      <w:tr>
        <w:tblPrEx>
          <w:tblCellMar>
            <w:top w:w="0" w:type="dxa"/>
            <w:left w:w="108" w:type="dxa"/>
            <w:bottom w:w="0" w:type="dxa"/>
            <w:right w:w="108" w:type="dxa"/>
          </w:tblCellMar>
        </w:tblPrEx>
        <w:trPr>
          <w:trHeight w:val="288" w:hRule="atLeast"/>
        </w:trPr>
        <w:tc>
          <w:tcPr>
            <w:tcW w:w="8331" w:type="dxa"/>
            <w:gridSpan w:val="5"/>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 xml:space="preserve">Phytochemical quantitative result of </w:t>
            </w:r>
            <w:r>
              <w:rPr>
                <w:rFonts w:ascii="Times New Roman" w:hAnsi="Times New Roman" w:eastAsia="SimSun" w:cs="Times New Roman"/>
                <w:i/>
                <w:iCs/>
                <w:color w:val="000000"/>
                <w:sz w:val="24"/>
                <w:szCs w:val="24"/>
                <w:lang w:bidi="ar"/>
              </w:rPr>
              <w:t>MOCEB</w:t>
            </w:r>
          </w:p>
        </w:tc>
      </w:tr>
      <w:tr>
        <w:tblPrEx>
          <w:tblCellMar>
            <w:top w:w="0" w:type="dxa"/>
            <w:left w:w="108" w:type="dxa"/>
            <w:bottom w:w="0" w:type="dxa"/>
            <w:right w:w="108" w:type="dxa"/>
          </w:tblCellMar>
        </w:tblPrEx>
        <w:trPr>
          <w:trHeight w:val="288" w:hRule="atLeast"/>
        </w:trPr>
        <w:tc>
          <w:tcPr>
            <w:tcW w:w="2401"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compound</w:t>
            </w:r>
          </w:p>
        </w:tc>
        <w:tc>
          <w:tcPr>
            <w:tcW w:w="1710"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MW (g/mol)</w:t>
            </w:r>
          </w:p>
        </w:tc>
        <w:tc>
          <w:tcPr>
            <w:tcW w:w="1549"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rPr>
              <w:t>RT (min)</w:t>
            </w:r>
          </w:p>
        </w:tc>
        <w:tc>
          <w:tcPr>
            <w:tcW w:w="1251"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Area</w:t>
            </w:r>
          </w:p>
        </w:tc>
        <w:tc>
          <w:tcPr>
            <w:tcW w:w="1420" w:type="dxa"/>
            <w:tcBorders>
              <w:top w:val="single" w:color="auto" w:sz="4" w:space="0"/>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Conc (%)</w:t>
            </w:r>
          </w:p>
        </w:tc>
      </w:tr>
      <w:tr>
        <w:tblPrEx>
          <w:tblCellMar>
            <w:top w:w="0" w:type="dxa"/>
            <w:left w:w="108" w:type="dxa"/>
            <w:bottom w:w="0" w:type="dxa"/>
            <w:right w:w="108" w:type="dxa"/>
          </w:tblCellMar>
        </w:tblPrEx>
        <w:trPr>
          <w:trHeight w:val="288" w:hRule="atLeast"/>
        </w:trPr>
        <w:tc>
          <w:tcPr>
            <w:tcW w:w="2401" w:type="dxa"/>
            <w:tcBorders>
              <w:top w:val="single" w:color="auto" w:sz="4" w:space="0"/>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Catechin</w:t>
            </w:r>
          </w:p>
        </w:tc>
        <w:tc>
          <w:tcPr>
            <w:tcW w:w="1710"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290.26</w:t>
            </w:r>
          </w:p>
        </w:tc>
        <w:tc>
          <w:tcPr>
            <w:tcW w:w="1549"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3.8884</w:t>
            </w:r>
          </w:p>
        </w:tc>
        <w:tc>
          <w:tcPr>
            <w:tcW w:w="1251"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1.87208</w:t>
            </w:r>
          </w:p>
        </w:tc>
        <w:tc>
          <w:tcPr>
            <w:tcW w:w="1420" w:type="dxa"/>
            <w:tcBorders>
              <w:top w:val="single" w:color="auto" w:sz="4" w:space="0"/>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2.8536</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Quercetin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302.236</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5.56</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6.58526</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10.2656</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Artemetin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388.37</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7.537</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22.27661</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34.9662</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Retusin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358.34</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8.246</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5.0254</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7.807</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Ellagic acid</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302.197</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9.286</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2.73057</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4.138</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Vanillic acid</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168.14</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10.054</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2.64946</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4.0653</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Naringenin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272.257</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10.592</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3.87668</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5.997</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Apigenin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270.0528</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11.779</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1.57236</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2.2328</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Myricetin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318.2351</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12.671</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1.26927</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1.8854</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Daidzein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254.23</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13.899</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4.48533</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6.9412</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Genistein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270.241</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14.865</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3.59993</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5.4133</w:t>
            </w:r>
          </w:p>
        </w:tc>
      </w:tr>
      <w:tr>
        <w:tblPrEx>
          <w:tblCellMar>
            <w:top w:w="0" w:type="dxa"/>
            <w:left w:w="108" w:type="dxa"/>
            <w:bottom w:w="0" w:type="dxa"/>
            <w:right w:w="108" w:type="dxa"/>
          </w:tblCellMar>
        </w:tblPrEx>
        <w:trPr>
          <w:trHeight w:val="288" w:hRule="atLeast"/>
        </w:trPr>
        <w:tc>
          <w:tcPr>
            <w:tcW w:w="2401" w:type="dxa"/>
            <w:tcBorders>
              <w:top w:val="nil"/>
              <w:left w:val="nil"/>
              <w:bottom w:val="nil"/>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Naringenin</w:t>
            </w:r>
          </w:p>
        </w:tc>
        <w:tc>
          <w:tcPr>
            <w:tcW w:w="171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272.257</w:t>
            </w:r>
          </w:p>
        </w:tc>
        <w:tc>
          <w:tcPr>
            <w:tcW w:w="1549"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17.981</w:t>
            </w:r>
          </w:p>
        </w:tc>
        <w:tc>
          <w:tcPr>
            <w:tcW w:w="1251"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1.30506</w:t>
            </w:r>
          </w:p>
        </w:tc>
        <w:tc>
          <w:tcPr>
            <w:tcW w:w="1420" w:type="dxa"/>
            <w:tcBorders>
              <w:top w:val="nil"/>
              <w:left w:val="nil"/>
              <w:bottom w:val="nil"/>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1.8418</w:t>
            </w:r>
          </w:p>
        </w:tc>
      </w:tr>
      <w:tr>
        <w:tblPrEx>
          <w:tblCellMar>
            <w:top w:w="0" w:type="dxa"/>
            <w:left w:w="108" w:type="dxa"/>
            <w:bottom w:w="0" w:type="dxa"/>
            <w:right w:w="108" w:type="dxa"/>
          </w:tblCellMar>
        </w:tblPrEx>
        <w:trPr>
          <w:trHeight w:val="288" w:hRule="atLeast"/>
        </w:trPr>
        <w:tc>
          <w:tcPr>
            <w:tcW w:w="2401" w:type="dxa"/>
            <w:tcBorders>
              <w:top w:val="nil"/>
              <w:left w:val="nil"/>
              <w:bottom w:val="single" w:color="auto" w:sz="4" w:space="0"/>
              <w:right w:val="nil"/>
            </w:tcBorders>
            <w:shd w:val="clear" w:color="auto" w:fill="auto"/>
            <w:noWrap/>
            <w:vAlign w:val="center"/>
          </w:tcPr>
          <w:p>
            <w:pPr>
              <w:spacing w:after="120" w:afterLines="50" w:line="240" w:lineRule="auto"/>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Baicalein</w:t>
            </w:r>
          </w:p>
        </w:tc>
        <w:tc>
          <w:tcPr>
            <w:tcW w:w="1710"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270.237</w:t>
            </w:r>
          </w:p>
        </w:tc>
        <w:tc>
          <w:tcPr>
            <w:tcW w:w="1549"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20.037</w:t>
            </w:r>
          </w:p>
        </w:tc>
        <w:tc>
          <w:tcPr>
            <w:tcW w:w="1251"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7.4216</w:t>
            </w:r>
          </w:p>
        </w:tc>
        <w:tc>
          <w:tcPr>
            <w:tcW w:w="1420" w:type="dxa"/>
            <w:tcBorders>
              <w:top w:val="nil"/>
              <w:left w:val="nil"/>
              <w:bottom w:val="single" w:color="auto" w:sz="4" w:space="0"/>
              <w:right w:val="nil"/>
            </w:tcBorders>
            <w:shd w:val="clear" w:color="auto" w:fill="auto"/>
            <w:noWrap/>
            <w:vAlign w:val="center"/>
          </w:tcPr>
          <w:p>
            <w:pPr>
              <w:spacing w:after="120" w:afterLines="50" w:line="240" w:lineRule="auto"/>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11.5369</w:t>
            </w:r>
          </w:p>
        </w:tc>
      </w:tr>
    </w:tbl>
    <w:p>
      <w:pPr>
        <w:keepNext w:val="0"/>
        <w:keepLines w:val="0"/>
        <w:pageBreakBefore w:val="0"/>
        <w:widowControl/>
        <w:kinsoku/>
        <w:wordWrap/>
        <w:overflowPunct/>
        <w:topLinePunct w:val="0"/>
        <w:autoSpaceDE/>
        <w:autoSpaceDN/>
        <w:bidi w:val="0"/>
        <w:adjustRightInd/>
        <w:snapToGrid/>
        <w:spacing w:before="361" w:beforeLines="100" w:after="0" w:line="240" w:lineRule="auto"/>
        <w:jc w:val="both"/>
        <w:textAlignment w:val="auto"/>
        <w:rPr>
          <w:rFonts w:ascii="Times New Roman" w:hAnsi="Times New Roman" w:cs="Times New Roman"/>
          <w:color w:val="FF0000"/>
          <w:sz w:val="26"/>
          <w:szCs w:val="26"/>
        </w:rPr>
      </w:pPr>
      <w:r>
        <w:rPr>
          <w:rFonts w:ascii="Times New Roman" w:hAnsi="Times New Roman" w:cs="Times New Roman"/>
          <w:color w:val="FF0000"/>
          <w:sz w:val="26"/>
          <w:szCs w:val="26"/>
        </w:rPr>
        <w:drawing>
          <wp:inline distT="0" distB="0" distL="114300" distR="114300">
            <wp:extent cx="6120765" cy="3758565"/>
            <wp:effectExtent l="0" t="0" r="5715" b="5715"/>
            <wp:docPr id="38" name="Picture 38" descr="HC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C Content"/>
                    <pic:cNvPicPr>
                      <a:picLocks noChangeAspect="1"/>
                    </pic:cNvPicPr>
                  </pic:nvPicPr>
                  <pic:blipFill>
                    <a:blip r:embed="rId11"/>
                    <a:stretch>
                      <a:fillRect/>
                    </a:stretch>
                  </pic:blipFill>
                  <pic:spPr>
                    <a:xfrm>
                      <a:off x="0" y="0"/>
                      <a:ext cx="6120765" cy="3758565"/>
                    </a:xfrm>
                    <a:prstGeom prst="rect">
                      <a:avLst/>
                    </a:prstGeom>
                  </pic:spPr>
                </pic:pic>
              </a:graphicData>
            </a:graphic>
          </wp:inline>
        </w:drawing>
      </w:r>
    </w:p>
    <w:p>
      <w:pPr>
        <w:spacing w:after="240" w:afterLines="100" w:line="360" w:lineRule="auto"/>
        <w:jc w:val="both"/>
        <w:rPr>
          <w:rFonts w:ascii="Times New Roman" w:hAnsi="Times New Roman" w:cs="Times New Roman"/>
          <w:sz w:val="26"/>
          <w:szCs w:val="26"/>
        </w:rPr>
      </w:pPr>
      <w:r>
        <w:rPr>
          <w:rFonts w:ascii="Times New Roman" w:hAnsi="Times New Roman" w:cs="Times New Roman"/>
          <w:sz w:val="26"/>
          <w:szCs w:val="26"/>
        </w:rPr>
        <w:t>Fig</w:t>
      </w:r>
      <w:r>
        <w:rPr>
          <w:rFonts w:hint="default" w:ascii="Times New Roman" w:hAnsi="Times New Roman" w:cs="Times New Roman"/>
          <w:sz w:val="26"/>
          <w:szCs w:val="26"/>
          <w:lang w:val="en-US"/>
        </w:rPr>
        <w:t>.</w:t>
      </w:r>
      <w:r>
        <w:rPr>
          <w:rFonts w:ascii="Times New Roman" w:hAnsi="Times New Roman" w:cs="Times New Roman"/>
          <w:sz w:val="26"/>
          <w:szCs w:val="26"/>
        </w:rPr>
        <w:t xml:space="preserve"> 4</w:t>
      </w:r>
      <w:r>
        <w:rPr>
          <w:rFonts w:hint="default" w:ascii="Times New Roman" w:hAnsi="Times New Roman" w:cs="Times New Roman"/>
          <w:sz w:val="26"/>
          <w:szCs w:val="26"/>
          <w:lang w:val="en-US"/>
        </w:rPr>
        <w:t>.</w:t>
      </w:r>
      <w:r>
        <w:rPr>
          <w:rFonts w:ascii="Times New Roman" w:hAnsi="Times New Roman" w:cs="Times New Roman"/>
          <w:sz w:val="26"/>
          <w:szCs w:val="26"/>
        </w:rPr>
        <w:t xml:space="preserve"> GC-MS result of hydrocarbon constituents of </w:t>
      </w:r>
      <w:r>
        <w:rPr>
          <w:rFonts w:ascii="Times New Roman" w:hAnsi="Times New Roman" w:cs="Times New Roman"/>
          <w:i/>
          <w:iCs/>
          <w:sz w:val="26"/>
          <w:szCs w:val="26"/>
        </w:rPr>
        <w:t>MOLE</w:t>
      </w:r>
    </w:p>
    <w:p>
      <w:pPr>
        <w:spacing w:after="240" w:afterLines="100" w:line="360" w:lineRule="auto"/>
        <w:jc w:val="both"/>
        <w:rPr>
          <w:rFonts w:ascii="Times New Roman" w:hAnsi="Times New Roman" w:cs="Times New Roman"/>
          <w:sz w:val="26"/>
          <w:szCs w:val="26"/>
        </w:rPr>
      </w:pPr>
    </w:p>
    <w:p>
      <w:pPr>
        <w:spacing w:after="240" w:afterLines="100" w:line="360" w:lineRule="auto"/>
        <w:jc w:val="both"/>
        <w:rPr>
          <w:rFonts w:hint="default" w:ascii="Times New Roman" w:hAnsi="Times New Roman" w:cs="Times New Roman"/>
          <w:sz w:val="26"/>
          <w:szCs w:val="26"/>
          <w:lang w:val="en-US"/>
        </w:rPr>
      </w:pPr>
    </w:p>
    <w:p>
      <w:pPr>
        <w:spacing w:after="0" w:line="240" w:lineRule="auto"/>
        <w:jc w:val="both"/>
        <w:rPr>
          <w:rFonts w:ascii="Times New Roman" w:hAnsi="Times New Roman" w:cs="Times New Roman"/>
          <w:color w:val="FF0000"/>
          <w:sz w:val="26"/>
          <w:szCs w:val="26"/>
        </w:rPr>
      </w:pPr>
      <w:r>
        <w:rPr>
          <w:sz w:val="26"/>
        </w:rPr>
        <mc:AlternateContent>
          <mc:Choice Requires="wps">
            <w:drawing>
              <wp:anchor distT="0" distB="0" distL="114300" distR="114300" simplePos="0" relativeHeight="251659264" behindDoc="0" locked="0" layoutInCell="1" allowOverlap="1">
                <wp:simplePos x="0" y="0"/>
                <wp:positionH relativeFrom="column">
                  <wp:posOffset>4479925</wp:posOffset>
                </wp:positionH>
                <wp:positionV relativeFrom="paragraph">
                  <wp:posOffset>427990</wp:posOffset>
                </wp:positionV>
                <wp:extent cx="544830" cy="414655"/>
                <wp:effectExtent l="0" t="0" r="3810" b="12065"/>
                <wp:wrapNone/>
                <wp:docPr id="17" name="Text Box 17"/>
                <wp:cNvGraphicFramePr/>
                <a:graphic xmlns:a="http://schemas.openxmlformats.org/drawingml/2006/main">
                  <a:graphicData uri="http://schemas.microsoft.com/office/word/2010/wordprocessingShape">
                    <wps:wsp>
                      <wps:cNvSpPr txBox="1"/>
                      <wps:spPr>
                        <a:xfrm>
                          <a:off x="5622925" y="1342390"/>
                          <a:ext cx="544830" cy="414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Black" w:hAnsi="Arial Black" w:cs="Arial Black"/>
                                <w:b/>
                                <w:bCs/>
                                <w:sz w:val="36"/>
                                <w:szCs w:val="36"/>
                                <w:lang w:val="en-US"/>
                              </w:rPr>
                            </w:pPr>
                            <w:r>
                              <w:rPr>
                                <w:rFonts w:hint="default" w:ascii="Arial Black" w:hAnsi="Arial Black" w:cs="Arial Black"/>
                                <w:b/>
                                <w:bCs/>
                                <w:sz w:val="36"/>
                                <w:szCs w:val="36"/>
                                <w:lang w:val="en-U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75pt;margin-top:33.7pt;height:32.65pt;width:42.9pt;z-index:251659264;mso-width-relative:page;mso-height-relative:page;" fillcolor="#FFFFFF [3201]" filled="t" stroked="f" coordsize="21600,21600" o:gfxdata="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1cPUNUAAAAKAQAADwAAAAAAAAABACAA&#10;AAAiAAAAZHJzL2Rvd25yZXYueG1sUEsBAhQAFAAAAAgAh07iQIXGMYhJAgAAmwQAAA4AAAAAAAAA&#10;AQAgAAAAJAEAAGRycy9lMm9Eb2MueG1sUEsFBgAAAAAGAAYAWQEAAN8FAAAAAA==&#10;">
                <v:fill on="t" focussize="0,0"/>
                <v:stroke on="f" weight="0.5pt"/>
                <v:imagedata o:title=""/>
                <o:lock v:ext="edit" aspectratio="f"/>
                <v:textbox>
                  <w:txbxContent>
                    <w:p>
                      <w:pPr>
                        <w:rPr>
                          <w:rFonts w:hint="default" w:ascii="Arial Black" w:hAnsi="Arial Black" w:cs="Arial Black"/>
                          <w:b/>
                          <w:bCs/>
                          <w:sz w:val="36"/>
                          <w:szCs w:val="36"/>
                          <w:lang w:val="en-US"/>
                        </w:rPr>
                      </w:pPr>
                      <w:r>
                        <w:rPr>
                          <w:rFonts w:hint="default" w:ascii="Arial Black" w:hAnsi="Arial Black" w:cs="Arial Black"/>
                          <w:b/>
                          <w:bCs/>
                          <w:sz w:val="36"/>
                          <w:szCs w:val="36"/>
                          <w:lang w:val="en-US"/>
                        </w:rPr>
                        <w:t>(a)</w:t>
                      </w:r>
                    </w:p>
                  </w:txbxContent>
                </v:textbox>
              </v:shape>
            </w:pict>
          </mc:Fallback>
        </mc:AlternateContent>
      </w:r>
      <w:r>
        <w:rPr>
          <w:rFonts w:ascii="Times New Roman" w:hAnsi="Times New Roman" w:cs="Times New Roman"/>
          <w:color w:val="FF0000"/>
          <w:sz w:val="26"/>
          <w:szCs w:val="26"/>
        </w:rPr>
        <w:drawing>
          <wp:inline distT="0" distB="0" distL="114300" distR="114300">
            <wp:extent cx="6168390" cy="3935095"/>
            <wp:effectExtent l="0" t="0" r="3810" b="12065"/>
            <wp:docPr id="39" name="Picture 39" descr="MLE 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LE GC"/>
                    <pic:cNvPicPr>
                      <a:picLocks noChangeAspect="1"/>
                    </pic:cNvPicPr>
                  </pic:nvPicPr>
                  <pic:blipFill>
                    <a:blip r:embed="rId12"/>
                    <a:stretch>
                      <a:fillRect/>
                    </a:stretch>
                  </pic:blipFill>
                  <pic:spPr>
                    <a:xfrm>
                      <a:off x="0" y="0"/>
                      <a:ext cx="6168390" cy="3935095"/>
                    </a:xfrm>
                    <a:prstGeom prst="rect">
                      <a:avLst/>
                    </a:prstGeom>
                  </pic:spPr>
                </pic:pic>
              </a:graphicData>
            </a:graphic>
          </wp:inline>
        </w:drawing>
      </w:r>
    </w:p>
    <w:p>
      <w:pPr>
        <w:spacing w:after="0" w:line="240" w:lineRule="auto"/>
        <w:jc w:val="both"/>
        <w:rPr>
          <w:rFonts w:ascii="Times New Roman" w:hAnsi="Times New Roman" w:cs="Times New Roman"/>
          <w:color w:val="FF0000"/>
          <w:sz w:val="26"/>
          <w:szCs w:val="26"/>
        </w:rPr>
      </w:pPr>
      <w:r>
        <w:rPr>
          <w:sz w:val="26"/>
        </w:rPr>
        <mc:AlternateContent>
          <mc:Choice Requires="wps">
            <w:drawing>
              <wp:anchor distT="0" distB="0" distL="114300" distR="114300" simplePos="0" relativeHeight="251660288" behindDoc="0" locked="0" layoutInCell="1" allowOverlap="1">
                <wp:simplePos x="0" y="0"/>
                <wp:positionH relativeFrom="column">
                  <wp:posOffset>4485005</wp:posOffset>
                </wp:positionH>
                <wp:positionV relativeFrom="paragraph">
                  <wp:posOffset>500380</wp:posOffset>
                </wp:positionV>
                <wp:extent cx="544830" cy="414655"/>
                <wp:effectExtent l="0" t="0" r="3810" b="12065"/>
                <wp:wrapNone/>
                <wp:docPr id="18" name="Text Box 18"/>
                <wp:cNvGraphicFramePr/>
                <a:graphic xmlns:a="http://schemas.openxmlformats.org/drawingml/2006/main">
                  <a:graphicData uri="http://schemas.microsoft.com/office/word/2010/wordprocessingShape">
                    <wps:wsp>
                      <wps:cNvSpPr txBox="1"/>
                      <wps:spPr>
                        <a:xfrm>
                          <a:off x="0" y="0"/>
                          <a:ext cx="544830" cy="414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Black" w:hAnsi="Arial Black" w:cs="Arial Black"/>
                                <w:b/>
                                <w:bCs/>
                                <w:sz w:val="36"/>
                                <w:szCs w:val="36"/>
                                <w:lang w:val="en-US"/>
                              </w:rPr>
                            </w:pPr>
                            <w:r>
                              <w:rPr>
                                <w:rFonts w:hint="default" w:ascii="Arial Black" w:hAnsi="Arial Black" w:cs="Arial Black"/>
                                <w:b/>
                                <w:bCs/>
                                <w:sz w:val="36"/>
                                <w:szCs w:val="36"/>
                                <w:lang w:val="en-U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15pt;margin-top:39.4pt;height:32.65pt;width:42.9pt;z-index:251660288;mso-width-relative:page;mso-height-relative:page;" fillcolor="#FFFFFF [3201]" filled="t" stroked="f" coordsize="21600,21600" o:gfxdata="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pw/STVAAAACgEAAA8AAAAAAAAAAQAgAAAAIgAAAGRycy9k&#10;b3ducmV2LnhtbFBLAQIUABQAAAAIAIdO4kDdCor1PgIAAI8EAAAOAAAAAAAAAAEAIAAAACQBAABk&#10;cnMvZTJvRG9jLnhtbFBLBQYAAAAABgAGAFkBAADUBQAAAAA=&#10;">
                <v:fill on="t" focussize="0,0"/>
                <v:stroke on="f" weight="0.5pt"/>
                <v:imagedata o:title=""/>
                <o:lock v:ext="edit" aspectratio="f"/>
                <v:textbox>
                  <w:txbxContent>
                    <w:p>
                      <w:pPr>
                        <w:rPr>
                          <w:rFonts w:hint="default" w:ascii="Arial Black" w:hAnsi="Arial Black" w:cs="Arial Black"/>
                          <w:b/>
                          <w:bCs/>
                          <w:sz w:val="36"/>
                          <w:szCs w:val="36"/>
                          <w:lang w:val="en-US"/>
                        </w:rPr>
                      </w:pPr>
                      <w:r>
                        <w:rPr>
                          <w:rFonts w:hint="default" w:ascii="Arial Black" w:hAnsi="Arial Black" w:cs="Arial Black"/>
                          <w:b/>
                          <w:bCs/>
                          <w:sz w:val="36"/>
                          <w:szCs w:val="36"/>
                          <w:lang w:val="en-US"/>
                        </w:rPr>
                        <w:t>(b)</w:t>
                      </w:r>
                    </w:p>
                  </w:txbxContent>
                </v:textbox>
              </v:shape>
            </w:pict>
          </mc:Fallback>
        </mc:AlternateContent>
      </w:r>
      <w:r>
        <w:rPr>
          <w:rFonts w:ascii="Times New Roman" w:hAnsi="Times New Roman" w:cs="Times New Roman"/>
          <w:color w:val="FF0000"/>
          <w:sz w:val="26"/>
          <w:szCs w:val="26"/>
        </w:rPr>
        <w:drawing>
          <wp:inline distT="0" distB="0" distL="114300" distR="114300">
            <wp:extent cx="6176010" cy="4301490"/>
            <wp:effectExtent l="0" t="0" r="11430" b="11430"/>
            <wp:docPr id="40" name="Picture 40" descr="MOCEB 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OCEB GC"/>
                    <pic:cNvPicPr>
                      <a:picLocks noChangeAspect="1"/>
                    </pic:cNvPicPr>
                  </pic:nvPicPr>
                  <pic:blipFill>
                    <a:blip r:embed="rId13"/>
                    <a:stretch>
                      <a:fillRect/>
                    </a:stretch>
                  </pic:blipFill>
                  <pic:spPr>
                    <a:xfrm>
                      <a:off x="0" y="0"/>
                      <a:ext cx="6176010" cy="43014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541" w:afterLines="150" w:line="360" w:lineRule="auto"/>
        <w:jc w:val="both"/>
        <w:textAlignment w:val="auto"/>
        <w:rPr>
          <w:rFonts w:hint="default" w:ascii="Times New Roman" w:hAnsi="Times New Roman" w:cs="Times New Roman"/>
          <w:sz w:val="26"/>
          <w:szCs w:val="26"/>
          <w:lang w:val="en-US"/>
        </w:rPr>
      </w:pPr>
      <w:r>
        <w:rPr>
          <w:rFonts w:ascii="Times New Roman" w:hAnsi="Times New Roman" w:cs="Times New Roman"/>
          <w:sz w:val="26"/>
          <w:szCs w:val="26"/>
        </w:rPr>
        <w:t xml:space="preserve">Fig </w:t>
      </w:r>
      <w:r>
        <w:rPr>
          <w:rFonts w:hint="default" w:ascii="Times New Roman" w:hAnsi="Times New Roman" w:cs="Times New Roman"/>
          <w:sz w:val="26"/>
          <w:szCs w:val="26"/>
          <w:lang w:val="en-US"/>
        </w:rPr>
        <w:t>5.</w:t>
      </w:r>
      <w:r>
        <w:rPr>
          <w:rFonts w:ascii="Times New Roman" w:hAnsi="Times New Roman" w:cs="Times New Roman"/>
          <w:sz w:val="26"/>
          <w:szCs w:val="26"/>
        </w:rPr>
        <w:t xml:space="preserve"> </w:t>
      </w:r>
      <w:r>
        <w:rPr>
          <w:rFonts w:hint="default" w:ascii="Times New Roman" w:hAnsi="Times New Roman" w:cs="Times New Roman"/>
          <w:sz w:val="26"/>
          <w:szCs w:val="26"/>
          <w:lang w:val="en-US"/>
        </w:rPr>
        <w:t>P</w:t>
      </w:r>
      <w:r>
        <w:rPr>
          <w:rFonts w:ascii="Times New Roman" w:hAnsi="Times New Roman" w:cs="Times New Roman"/>
          <w:sz w:val="26"/>
          <w:szCs w:val="26"/>
        </w:rPr>
        <w:t>hytochemical constituents of</w:t>
      </w:r>
      <w:r>
        <w:rPr>
          <w:rFonts w:hint="default" w:ascii="Times New Roman" w:hAnsi="Times New Roman" w:cs="Times New Roman"/>
          <w:sz w:val="26"/>
          <w:szCs w:val="26"/>
          <w:lang w:val="en-US"/>
        </w:rPr>
        <w:t xml:space="preserve"> (a) </w:t>
      </w:r>
      <w:r>
        <w:rPr>
          <w:rFonts w:hint="default" w:ascii="Times New Roman" w:hAnsi="Times New Roman" w:cs="Times New Roman"/>
          <w:i/>
          <w:iCs/>
          <w:sz w:val="26"/>
          <w:szCs w:val="26"/>
          <w:lang w:val="en-US"/>
        </w:rPr>
        <w:t>MOLE</w:t>
      </w:r>
      <w:r>
        <w:rPr>
          <w:rFonts w:hint="default" w:ascii="Times New Roman" w:hAnsi="Times New Roman" w:cs="Times New Roman"/>
          <w:sz w:val="26"/>
          <w:szCs w:val="26"/>
          <w:lang w:val="en-US"/>
        </w:rPr>
        <w:t xml:space="preserve"> and (b)</w:t>
      </w:r>
      <w:r>
        <w:rPr>
          <w:rFonts w:ascii="Times New Roman" w:hAnsi="Times New Roman" w:cs="Times New Roman"/>
          <w:sz w:val="26"/>
          <w:szCs w:val="26"/>
        </w:rPr>
        <w:t xml:space="preserve"> </w:t>
      </w:r>
      <w:r>
        <w:rPr>
          <w:rFonts w:ascii="Times New Roman" w:hAnsi="Times New Roman" w:cs="Times New Roman"/>
          <w:i/>
          <w:iCs/>
          <w:sz w:val="26"/>
          <w:szCs w:val="26"/>
        </w:rPr>
        <w:t>MOCEB</w:t>
      </w:r>
    </w:p>
    <w:p>
      <w:p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3.2 Effect of bio-preservation variables</w:t>
      </w:r>
    </w:p>
    <w:p>
      <w:p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3.2.1 Effect of chitosan concentration</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ascii="Times New Roman" w:hAnsi="Times New Roman" w:cs="Times New Roman"/>
          <w:sz w:val="26"/>
          <w:szCs w:val="26"/>
        </w:rPr>
      </w:pPr>
      <w:r>
        <w:rPr>
          <w:rFonts w:ascii="Times New Roman" w:hAnsi="Times New Roman" w:cs="Times New Roman"/>
          <w:sz w:val="26"/>
          <w:szCs w:val="26"/>
        </w:rPr>
        <w:t xml:space="preserve">The effect of chitosan concentration on titratable acidity (TA) of fresh tomatoes fruits was investigated at five levels (0.5 %, 1.0 %, 1.5 %, 2.0 % and 2.5 %). The results were sampled at day 5, 10, 15, and 20, using a </w:t>
      </w:r>
      <w:r>
        <w:rPr>
          <w:rFonts w:ascii="Times New Roman" w:hAnsi="Times New Roman" w:cs="Times New Roman"/>
          <w:i/>
          <w:iCs/>
          <w:sz w:val="26"/>
          <w:szCs w:val="26"/>
        </w:rPr>
        <w:t>MOCEB</w:t>
      </w:r>
      <w:r>
        <w:rPr>
          <w:rFonts w:ascii="Times New Roman" w:hAnsi="Times New Roman" w:cs="Times New Roman"/>
          <w:sz w:val="26"/>
          <w:szCs w:val="26"/>
        </w:rPr>
        <w:t xml:space="preserve"> mixing ratio of 50:50 (</w:t>
      </w:r>
      <w:r>
        <w:rPr>
          <w:rFonts w:ascii="Times New Roman" w:hAnsi="Times New Roman" w:cs="Times New Roman"/>
          <w:i/>
          <w:iCs/>
          <w:sz w:val="26"/>
          <w:szCs w:val="26"/>
        </w:rPr>
        <w:t>MOLE</w:t>
      </w:r>
      <w:r>
        <w:rPr>
          <w:rFonts w:ascii="Times New Roman" w:hAnsi="Times New Roman" w:cs="Times New Roman"/>
          <w:sz w:val="26"/>
          <w:szCs w:val="26"/>
        </w:rPr>
        <w:t xml:space="preserve">:chitosan, v/v). From the results presented in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6</w:t>
      </w:r>
      <w:r>
        <w:rPr>
          <w:rFonts w:ascii="Times New Roman" w:hAnsi="Times New Roman" w:cs="Times New Roman"/>
          <w:sz w:val="26"/>
          <w:szCs w:val="26"/>
        </w:rPr>
        <w:t xml:space="preserve">, on the 5th day of incubation, the value of TA increased from 3.607 g/kg to 3.738 g/kg at chitosan concentrations of 0.5 % and 1.0 %, respectively. Beyond 1.0 % conc., the measured TA value maintained a negligible difference until the </w:t>
      </w:r>
      <w:r>
        <w:rPr>
          <w:rFonts w:hint="default" w:ascii="Times New Roman" w:hAnsi="Times New Roman" w:cs="Times New Roman"/>
          <w:sz w:val="26"/>
          <w:szCs w:val="26"/>
          <w:lang w:val="en-US"/>
        </w:rPr>
        <w:t>peak</w:t>
      </w:r>
      <w:r>
        <w:rPr>
          <w:rFonts w:ascii="Times New Roman" w:hAnsi="Times New Roman" w:cs="Times New Roman"/>
          <w:sz w:val="26"/>
          <w:szCs w:val="26"/>
        </w:rPr>
        <w:t xml:space="preserve"> at 2.5 % chitosan concentration. The increment in TA value at higher chitosan concentration is attributed to the complimentary sealing effect of chitosan in </w:t>
      </w:r>
      <w:r>
        <w:rPr>
          <w:rFonts w:ascii="Times New Roman" w:hAnsi="Times New Roman" w:cs="Times New Roman"/>
          <w:i/>
          <w:iCs/>
          <w:sz w:val="26"/>
          <w:szCs w:val="26"/>
        </w:rPr>
        <w:t>MOCEB</w:t>
      </w:r>
      <w:r>
        <w:rPr>
          <w:rFonts w:ascii="Times New Roman" w:hAnsi="Times New Roman" w:cs="Times New Roman"/>
          <w:sz w:val="26"/>
          <w:szCs w:val="26"/>
        </w:rPr>
        <w:t xml:space="preserve"> biofilm for coating of tomato fruit. From the result in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6</w:t>
      </w:r>
      <w:r>
        <w:rPr>
          <w:rFonts w:ascii="Times New Roman" w:hAnsi="Times New Roman" w:cs="Times New Roman"/>
          <w:sz w:val="26"/>
          <w:szCs w:val="26"/>
        </w:rPr>
        <w:t xml:space="preserve">, this effect was significantly enhanced when chitosan concentration increased from 0.5 - 1.0 %, but was negligibly improved beyond this conc. range. Consequently, 1.0 % conc. of chitosan was taken to be the best for subsequent studies. Similar results have been reported by other researchers who investigated the effect of chitosan concentration on shelf extension of fruits and vegetables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&lt;EndNote&gt;&lt;Cite&gt;&lt;Author&gt;Chien&lt;/Author&gt;&lt;Year&gt;2007&lt;/Year&gt;&lt;RecNum&gt;158&lt;/RecNum&gt;&lt;DisplayText&gt;(Chien et al., 2007, Dong et al., 2004)&lt;/DisplayText&gt;&lt;record&gt;&lt;rec-number&gt;158&lt;/rec-number&gt;&lt;foreign-keys&gt;&lt;key app="EN" db-id="edvassfwttpfsqe0xsop2wwg2f05wx552500" timestamp="1700891611"&gt;158&lt;/key&gt;&lt;/foreign-keys&gt;&lt;ref-type name="Journal Article"&gt;17&lt;/ref-type&gt;&lt;contributors&gt;&lt;authors&gt;&lt;author&gt;Chien, Po-Jung&lt;/author&gt;&lt;author&gt;Sheu, Fuu&lt;/author&gt;&lt;author&gt;Huang, Wan-Ting&lt;/author&gt;&lt;author&gt;Su, Min-Sheng&lt;/author&gt;&lt;/authors&gt;&lt;/contributors&gt;&lt;titles&gt;&lt;title&gt;Effect of molecular weight of chitosans on their antioxidative activities in apple juice&lt;/title&gt;&lt;secondary-title&gt;Food chemistry&lt;/secondary-title&gt;&lt;/titles&gt;&lt;periodical&gt;&lt;full-title&gt;Food chemistry&lt;/full-title&gt;&lt;/periodical&gt;&lt;pages&gt;1192-1198&lt;/pages&gt;&lt;volume&gt;102&lt;/volume&gt;&lt;number&gt;4&lt;/number&gt;&lt;dates&gt;&lt;year&gt;2007&lt;/year&gt;&lt;/dates&gt;&lt;isbn&gt;0308-8146&lt;/isbn&gt;&lt;urls&gt;&lt;/urls&gt;&lt;/record&gt;&lt;/Cite&gt;&lt;Cite&gt;&lt;Author&gt;Dong&lt;/Author&gt;&lt;Year&gt;2004&lt;/Year&gt;&lt;RecNum&gt;159&lt;/RecNum&gt;&lt;record&gt;&lt;rec-number&gt;159&lt;/rec-number&gt;&lt;foreign-keys&gt;&lt;key app="EN" db-id="edvassfwttpfsqe0xsop2wwg2f05wx552500" timestamp="1700891677"&gt;159&lt;/key&gt;&lt;/foreign-keys&gt;&lt;ref-type name="Journal Article"&gt;17&lt;/ref-type&gt;&lt;contributors&gt;&lt;authors&gt;&lt;author&gt;Dong, Huaqiang&lt;/author&gt;&lt;author&gt;Cheng, Liangying&lt;/author&gt;&lt;author&gt;Tan, Jiahou&lt;/author&gt;&lt;author&gt;Zheng, Kunwang&lt;/author&gt;&lt;author&gt;Jiang, Yueming&lt;/author&gt;&lt;/authors&gt;&lt;/contributors&gt;&lt;titles&gt;&lt;title&gt;Effects of chitosan coating on quality and shelf life of peeled litchi fruit&lt;/title&gt;&lt;secondary-title&gt;Journal of food engineering&lt;/secondary-title&gt;&lt;/titles&gt;&lt;periodical&gt;&lt;full-title&gt;Journal of food engineering&lt;/full-title&gt;&lt;/periodical&gt;&lt;pages&gt;355-358&lt;/pages&gt;&lt;volume&gt;64&lt;/volume&gt;&lt;number&gt;3&lt;/number&gt;&lt;dates&gt;&lt;year&gt;2004&lt;/year&gt;&lt;/dates&gt;&lt;isbn&gt;0260-8774&lt;/isbn&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(Chien et al., 2007, Dong et al., 2004)</w:t>
      </w:r>
      <w:r>
        <w:rPr>
          <w:rFonts w:ascii="Times New Roman" w:hAnsi="Times New Roman" w:cs="Times New Roman"/>
          <w:sz w:val="26"/>
          <w:szCs w:val="26"/>
        </w:rPr>
        <w:fldChar w:fldCharType="end"/>
      </w:r>
      <w:r>
        <w:rPr>
          <w:rFonts w:ascii="Times New Roman" w:hAnsi="Times New Roman" w:cs="Times New Roman"/>
          <w:sz w:val="26"/>
          <w:szCs w:val="26"/>
        </w:rPr>
        <w:t>.</w:t>
      </w:r>
    </w:p>
    <w:p>
      <w:pPr>
        <w:spacing w:after="0" w:line="240" w:lineRule="auto"/>
        <w:jc w:val="both"/>
        <w:rPr>
          <w:rFonts w:ascii="Times New Roman" w:hAnsi="Times New Roman" w:cs="Times New Roman"/>
          <w:sz w:val="28"/>
          <w:szCs w:val="28"/>
          <w:lang w:val="en-GB"/>
        </w:rPr>
      </w:pPr>
      <w:r>
        <w:drawing>
          <wp:inline distT="0" distB="0" distL="114300" distR="114300">
            <wp:extent cx="5246370" cy="3175000"/>
            <wp:effectExtent l="0" t="0" r="11430" b="1016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cs="Times New Roman"/>
          <w:sz w:val="26"/>
          <w:szCs w:val="26"/>
          <w:lang w:val="en-US"/>
        </w:rPr>
      </w:pP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6.</w:t>
      </w:r>
      <w:r>
        <w:rPr>
          <w:rFonts w:ascii="Times New Roman" w:hAnsi="Times New Roman" w:cs="Times New Roman"/>
          <w:sz w:val="26"/>
          <w:szCs w:val="26"/>
        </w:rPr>
        <w:t xml:space="preserve"> Effect of chitosan concentration on TA</w:t>
      </w:r>
      <w:r>
        <w:rPr>
          <w:rFonts w:hint="default" w:ascii="Times New Roman" w:hAnsi="Times New Roman" w:cs="Times New Roman"/>
          <w:sz w:val="26"/>
          <w:szCs w:val="26"/>
          <w:lang w:val="en-US"/>
        </w:rPr>
        <w:t xml:space="preserve">  </w:t>
      </w:r>
    </w:p>
    <w:p>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3.2.2 Effect of </w:t>
      </w:r>
      <w:r>
        <w:rPr>
          <w:rFonts w:hint="default" w:ascii="Times New Roman" w:hAnsi="Times New Roman" w:cs="Times New Roman"/>
          <w:b w:val="0"/>
          <w:bCs w:val="0"/>
          <w:i/>
          <w:iCs/>
          <w:sz w:val="26"/>
          <w:szCs w:val="26"/>
          <w:lang w:val="en-US"/>
        </w:rPr>
        <w:t>MOCEB</w:t>
      </w:r>
      <w:r>
        <w:rPr>
          <w:rFonts w:hint="default" w:ascii="Times New Roman" w:hAnsi="Times New Roman" w:cs="Times New Roman"/>
          <w:sz w:val="26"/>
          <w:szCs w:val="26"/>
          <w:lang w:val="en-US"/>
        </w:rPr>
        <w:t xml:space="preserve"> mixing ratio</w:t>
      </w:r>
    </w:p>
    <w:p>
      <w:pPr>
        <w:keepNext w:val="0"/>
        <w:keepLines w:val="0"/>
        <w:pageBreakBefore w:val="0"/>
        <w:widowControl/>
        <w:kinsoku/>
        <w:wordWrap/>
        <w:overflowPunct/>
        <w:topLinePunct w:val="0"/>
        <w:autoSpaceDE/>
        <w:autoSpaceDN/>
        <w:bidi w:val="0"/>
        <w:adjustRightInd/>
        <w:snapToGrid/>
        <w:spacing w:after="721" w:afterLines="200" w:line="360" w:lineRule="auto"/>
        <w:jc w:val="both"/>
        <w:textAlignment w:val="auto"/>
        <w:rPr>
          <w:rFonts w:ascii="Times New Roman" w:hAnsi="Times New Roman" w:cs="Times New Roman"/>
          <w:sz w:val="28"/>
          <w:szCs w:val="28"/>
          <w:lang w:val="en-GB"/>
        </w:rPr>
      </w:pPr>
      <w:r>
        <w:rPr>
          <w:rFonts w:ascii="Times New Roman" w:hAnsi="Times New Roman" w:cs="Times New Roman"/>
          <w:sz w:val="26"/>
          <w:szCs w:val="26"/>
        </w:rPr>
        <w:t xml:space="preserve">The effect of </w:t>
      </w:r>
      <w:r>
        <w:rPr>
          <w:rFonts w:ascii="Times New Roman" w:hAnsi="Times New Roman" w:cs="Times New Roman"/>
          <w:i/>
          <w:iCs/>
          <w:sz w:val="26"/>
          <w:szCs w:val="26"/>
        </w:rPr>
        <w:t>MOCEB</w:t>
      </w:r>
      <w:r>
        <w:rPr>
          <w:rFonts w:ascii="Times New Roman" w:hAnsi="Times New Roman" w:cs="Times New Roman"/>
          <w:sz w:val="26"/>
          <w:szCs w:val="26"/>
        </w:rPr>
        <w:t xml:space="preserve"> bio</w:t>
      </w:r>
      <w:r>
        <w:rPr>
          <w:rFonts w:hint="default" w:ascii="Times New Roman" w:hAnsi="Times New Roman" w:cs="Times New Roman"/>
          <w:sz w:val="26"/>
          <w:szCs w:val="26"/>
          <w:lang w:val="en-US"/>
        </w:rPr>
        <w:t>film</w:t>
      </w:r>
      <w:r>
        <w:rPr>
          <w:rFonts w:ascii="Times New Roman" w:hAnsi="Times New Roman" w:cs="Times New Roman"/>
          <w:sz w:val="26"/>
          <w:szCs w:val="26"/>
        </w:rPr>
        <w:t xml:space="preserve"> ratio on weight loss rate and TA of coated tomato species at different sampling time were depicted in </w:t>
      </w:r>
      <w:r>
        <w:rPr>
          <w:rFonts w:ascii="Times New Roman" w:hAnsi="Times New Roman" w:cs="Times New Roman"/>
          <w:b/>
          <w:bCs/>
          <w:sz w:val="26"/>
          <w:szCs w:val="26"/>
        </w:rPr>
        <w:t>Figs.</w:t>
      </w:r>
      <w:r>
        <w:rPr>
          <w:rFonts w:ascii="Times New Roman" w:hAnsi="Times New Roman" w:cs="Times New Roman"/>
          <w:sz w:val="26"/>
          <w:szCs w:val="26"/>
        </w:rPr>
        <w:t xml:space="preserve"> </w:t>
      </w:r>
      <w:r>
        <w:rPr>
          <w:rFonts w:hint="default" w:ascii="Times New Roman" w:hAnsi="Times New Roman" w:cs="Times New Roman"/>
          <w:sz w:val="26"/>
          <w:szCs w:val="26"/>
          <w:lang w:val="en-US"/>
        </w:rPr>
        <w:t>7 (a)</w:t>
      </w:r>
      <w:r>
        <w:rPr>
          <w:rFonts w:ascii="Times New Roman" w:hAnsi="Times New Roman" w:cs="Times New Roman"/>
          <w:sz w:val="26"/>
          <w:szCs w:val="26"/>
        </w:rPr>
        <w:t xml:space="preserve"> and </w:t>
      </w:r>
      <w:r>
        <w:rPr>
          <w:rFonts w:hint="default" w:ascii="Times New Roman" w:hAnsi="Times New Roman" w:cs="Times New Roman"/>
          <w:sz w:val="26"/>
          <w:szCs w:val="26"/>
          <w:lang w:val="en-US"/>
        </w:rPr>
        <w:t>(b)</w:t>
      </w:r>
      <w:r>
        <w:rPr>
          <w:rFonts w:ascii="Times New Roman" w:hAnsi="Times New Roman" w:cs="Times New Roman"/>
          <w:sz w:val="26"/>
          <w:szCs w:val="26"/>
        </w:rPr>
        <w:t>, respectively</w:t>
      </w:r>
      <w:r>
        <w:rPr>
          <w:rFonts w:hint="default" w:ascii="Times New Roman" w:hAnsi="Times New Roman" w:cs="Times New Roman"/>
          <w:sz w:val="26"/>
          <w:szCs w:val="26"/>
          <w:lang w:val="en-US"/>
        </w:rPr>
        <w:t xml:space="preserve">, while a pictorial illustration was depicted in </w:t>
      </w:r>
      <w:r>
        <w:rPr>
          <w:rFonts w:hint="default" w:ascii="Times New Roman" w:hAnsi="Times New Roman" w:cs="Times New Roman"/>
          <w:b/>
          <w:bCs/>
          <w:sz w:val="26"/>
          <w:szCs w:val="26"/>
          <w:lang w:val="en-US"/>
        </w:rPr>
        <w:t>Fig.</w:t>
      </w:r>
      <w:r>
        <w:rPr>
          <w:rFonts w:hint="default" w:ascii="Times New Roman" w:hAnsi="Times New Roman" w:cs="Times New Roman"/>
          <w:sz w:val="26"/>
          <w:szCs w:val="26"/>
          <w:lang w:val="en-US"/>
        </w:rPr>
        <w:t xml:space="preserve"> 8</w:t>
      </w:r>
      <w:r>
        <w:rPr>
          <w:rFonts w:ascii="Times New Roman" w:hAnsi="Times New Roman" w:cs="Times New Roman"/>
          <w:sz w:val="26"/>
          <w:szCs w:val="26"/>
        </w:rPr>
        <w:t xml:space="preserve">. Figure </w:t>
      </w:r>
      <w:r>
        <w:rPr>
          <w:rFonts w:hint="default" w:ascii="Times New Roman" w:hAnsi="Times New Roman" w:cs="Times New Roman"/>
          <w:sz w:val="26"/>
          <w:szCs w:val="26"/>
          <w:lang w:val="en-US"/>
        </w:rPr>
        <w:t>7 (a)</w:t>
      </w:r>
      <w:r>
        <w:rPr>
          <w:rFonts w:ascii="Times New Roman" w:hAnsi="Times New Roman" w:cs="Times New Roman"/>
          <w:sz w:val="26"/>
          <w:szCs w:val="26"/>
        </w:rPr>
        <w:t xml:space="preserve"> demonstrated that the weight loss rate in g/day remained approximate</w:t>
      </w:r>
      <w:r>
        <w:rPr>
          <w:rFonts w:hint="default" w:ascii="Times New Roman" w:hAnsi="Times New Roman" w:cs="Times New Roman"/>
          <w:sz w:val="26"/>
          <w:szCs w:val="26"/>
          <w:lang w:val="en-US"/>
        </w:rPr>
        <w:t>ly</w:t>
      </w:r>
      <w:r>
        <w:rPr>
          <w:rFonts w:ascii="Times New Roman" w:hAnsi="Times New Roman" w:cs="Times New Roman"/>
          <w:sz w:val="26"/>
          <w:szCs w:val="26"/>
        </w:rPr>
        <w:t xml:space="preserve"> idem as the </w:t>
      </w:r>
      <w:r>
        <w:rPr>
          <w:rFonts w:ascii="Times New Roman" w:hAnsi="Times New Roman" w:cs="Times New Roman"/>
          <w:i/>
          <w:iCs/>
          <w:sz w:val="26"/>
          <w:szCs w:val="26"/>
        </w:rPr>
        <w:t>MOLE</w:t>
      </w:r>
      <w:r>
        <w:rPr>
          <w:rFonts w:ascii="Times New Roman" w:hAnsi="Times New Roman" w:cs="Times New Roman"/>
          <w:sz w:val="26"/>
          <w:szCs w:val="26"/>
        </w:rPr>
        <w:t xml:space="preserve"> composition increased from 0 to 40 %. Beyond 40 % </w:t>
      </w:r>
      <w:r>
        <w:rPr>
          <w:rFonts w:ascii="Times New Roman" w:hAnsi="Times New Roman" w:cs="Times New Roman"/>
          <w:i/>
          <w:iCs/>
          <w:sz w:val="26"/>
          <w:szCs w:val="26"/>
        </w:rPr>
        <w:t>MOLE</w:t>
      </w:r>
      <w:r>
        <w:rPr>
          <w:rFonts w:ascii="Times New Roman" w:hAnsi="Times New Roman" w:cs="Times New Roman"/>
          <w:sz w:val="26"/>
          <w:szCs w:val="26"/>
        </w:rPr>
        <w:t xml:space="preserve"> composition, the rate of weight loss continued to increase until the final </w:t>
      </w:r>
      <w:r>
        <w:rPr>
          <w:rFonts w:ascii="Times New Roman" w:hAnsi="Times New Roman" w:cs="Times New Roman"/>
          <w:i/>
          <w:iCs/>
          <w:sz w:val="26"/>
          <w:szCs w:val="26"/>
        </w:rPr>
        <w:t>MOCEB</w:t>
      </w:r>
      <w:r>
        <w:rPr>
          <w:rFonts w:ascii="Times New Roman" w:hAnsi="Times New Roman" w:cs="Times New Roman"/>
          <w:sz w:val="26"/>
          <w:szCs w:val="26"/>
        </w:rPr>
        <w:t xml:space="preserve"> mixing ratio of 100:0 (</w:t>
      </w:r>
      <w:r>
        <w:rPr>
          <w:rFonts w:ascii="Times New Roman" w:hAnsi="Times New Roman" w:cs="Times New Roman"/>
          <w:i/>
          <w:iCs/>
          <w:sz w:val="26"/>
          <w:szCs w:val="26"/>
        </w:rPr>
        <w:t>MOLE</w:t>
      </w:r>
      <w:r>
        <w:rPr>
          <w:rFonts w:ascii="Times New Roman" w:hAnsi="Times New Roman" w:cs="Times New Roman"/>
          <w:sz w:val="26"/>
          <w:szCs w:val="26"/>
        </w:rPr>
        <w:t xml:space="preserve">:Chitosan, v/v). A similar observation was recorded for titratable acidity measurement where the highest value was noted at a </w:t>
      </w:r>
      <w:r>
        <w:rPr>
          <w:rFonts w:ascii="Times New Roman" w:hAnsi="Times New Roman" w:cs="Times New Roman"/>
          <w:i/>
          <w:iCs/>
          <w:sz w:val="26"/>
          <w:szCs w:val="26"/>
        </w:rPr>
        <w:t>MOCEB</w:t>
      </w:r>
      <w:r>
        <w:rPr>
          <w:rFonts w:ascii="Times New Roman" w:hAnsi="Times New Roman" w:cs="Times New Roman"/>
          <w:sz w:val="26"/>
          <w:szCs w:val="26"/>
        </w:rPr>
        <w:t xml:space="preserve"> ratio of 40:60 (</w:t>
      </w:r>
      <w:r>
        <w:rPr>
          <w:rFonts w:ascii="Times New Roman" w:hAnsi="Times New Roman" w:cs="Times New Roman"/>
          <w:i/>
          <w:iCs/>
          <w:sz w:val="26"/>
          <w:szCs w:val="26"/>
        </w:rPr>
        <w:t>MOLE</w:t>
      </w:r>
      <w:r>
        <w:rPr>
          <w:rFonts w:ascii="Times New Roman" w:hAnsi="Times New Roman" w:cs="Times New Roman"/>
          <w:sz w:val="26"/>
          <w:szCs w:val="26"/>
        </w:rPr>
        <w:t>:Chitosan, v/v). According to Chen et a</w:t>
      </w:r>
      <w:r>
        <w:rPr>
          <w:rFonts w:hint="default" w:ascii="Times New Roman" w:hAnsi="Times New Roman" w:cs="Times New Roman"/>
          <w:sz w:val="26"/>
          <w:szCs w:val="26"/>
          <w:lang w:val="en-US"/>
        </w:rPr>
        <w:t xml:space="preserve">l. </w:t>
      </w:r>
      <w:r>
        <w:rPr>
          <w:rFonts w:hint="default" w:ascii="Times New Roman" w:hAnsi="Times New Roman" w:cs="Times New Roman"/>
          <w:sz w:val="26"/>
          <w:szCs w:val="26"/>
          <w:lang w:val="en-US"/>
        </w:rPr>
        <w:fldChar w:fldCharType="begin"/>
      </w:r>
      <w:r>
        <w:rPr>
          <w:rFonts w:hint="default" w:ascii="Times New Roman" w:hAnsi="Times New Roman" w:cs="Times New Roman"/>
          <w:sz w:val="26"/>
          <w:szCs w:val="26"/>
          <w:lang w:val="en-US"/>
        </w:rPr>
        <w:instrText xml:space="preserve"> ADDIN EN.CITE &lt;EndNote&gt;&lt;Cite&gt;&lt;Author&gt;Chen&lt;/Author&gt;&lt;Year&gt;2019&lt;/Year&gt;&lt;RecNum&gt;428&lt;/RecNum&gt;&lt;DisplayText&gt;(Chen et al., 2019)&lt;/DisplayText&gt;&lt;record&gt;&lt;rec-number&gt;428&lt;/rec-number&gt;&lt;foreign-keys&gt;&lt;key app="EN" db-id="edvassfwttpfsqe0xsop2wwg2f05wx552500" timestamp="1705050994"&gt;428&lt;/key&gt;&lt;/foreign-keys&gt;&lt;ref-type name="Journal Article"&gt;17&lt;/ref-type&gt;&lt;contributors&gt;&lt;authors&gt;&lt;author&gt;Chen, Hongbo&lt;/author&gt;&lt;author&gt;Wang, Jingjing&lt;/author&gt;&lt;author&gt;Cheng, Yaohua&lt;/author&gt;&lt;author&gt;Wang, Chuansheng&lt;/author&gt;&lt;author&gt;Liu, Haichao&lt;/author&gt;&lt;author&gt;Bian, Huiguang&lt;/author&gt;&lt;author&gt;Pan, Yiren&lt;/author&gt;&lt;author&gt;Sun, Jingyao&lt;/author&gt;&lt;author&gt;Han, Wenwen&lt;/author&gt;&lt;/authors&gt;&lt;/contributors&gt;&lt;titles&gt;&lt;title&gt;Application of protein-based films and coatings for food packaging: A review&lt;/title&gt;&lt;secondary-title&gt;Polymers&lt;/secondary-title&gt;&lt;/titles&gt;&lt;periodical&gt;&lt;full-title&gt;Polymers&lt;/full-title&gt;&lt;/periodical&gt;&lt;pages&gt;2039&lt;/pages&gt;&lt;volume&gt;11&lt;/volume&gt;&lt;number&gt;12&lt;/number&gt;&lt;dates&gt;&lt;year&gt;2019&lt;/year&gt;&lt;/dates&gt;&lt;isbn&gt;2073-4360&lt;/isbn&gt;&lt;urls&gt;&lt;/urls&gt;&lt;/record&gt;&lt;/Cite&gt;&lt;/EndNote&gt;</w:instrText>
      </w:r>
      <w:r>
        <w:rPr>
          <w:rFonts w:hint="default" w:ascii="Times New Roman" w:hAnsi="Times New Roman" w:cs="Times New Roman"/>
          <w:sz w:val="26"/>
          <w:szCs w:val="26"/>
          <w:lang w:val="en-US"/>
        </w:rPr>
        <w:fldChar w:fldCharType="separate"/>
      </w:r>
      <w:r>
        <w:rPr>
          <w:rFonts w:hint="default" w:ascii="Times New Roman" w:hAnsi="Times New Roman" w:cs="Times New Roman" w:eastAsiaTheme="minorEastAsia"/>
          <w:sz w:val="26"/>
          <w:szCs w:val="26"/>
          <w:lang w:val="en-US" w:eastAsia="zh-CN" w:bidi="ar-SA"/>
        </w:rPr>
        <w:t>(Chen et al., 2019)</w:t>
      </w:r>
      <w:r>
        <w:rPr>
          <w:rFonts w:hint="default" w:ascii="Times New Roman" w:hAnsi="Times New Roman" w:cs="Times New Roman"/>
          <w:sz w:val="26"/>
          <w:szCs w:val="26"/>
          <w:lang w:val="en-US"/>
        </w:rPr>
        <w:fldChar w:fldCharType="end"/>
      </w:r>
      <w:r>
        <w:rPr>
          <w:rFonts w:ascii="Times New Roman" w:hAnsi="Times New Roman" w:cs="Times New Roman"/>
          <w:sz w:val="26"/>
          <w:szCs w:val="26"/>
        </w:rPr>
        <w:t>, a reduced rate of weight loss is desirable for optimum shelf life preservation of fruits and vegetables. Reduced rate of weight loss signals controlled loss of organic acid content of tomato fruit. The increase in weight loss rate (Fig</w:t>
      </w:r>
      <w:r>
        <w:rPr>
          <w:rFonts w:hint="default" w:ascii="Times New Roman" w:hAnsi="Times New Roman" w:cs="Times New Roman"/>
          <w:sz w:val="26"/>
          <w:szCs w:val="26"/>
          <w:lang w:val="en-US"/>
        </w:rPr>
        <w:t>. 7 (a)</w:t>
      </w:r>
      <w:r>
        <w:rPr>
          <w:rFonts w:ascii="Times New Roman" w:hAnsi="Times New Roman" w:cs="Times New Roman"/>
          <w:sz w:val="26"/>
          <w:szCs w:val="26"/>
        </w:rPr>
        <w:t>) and reduction in titratable acidity (Fig</w:t>
      </w:r>
      <w:r>
        <w:rPr>
          <w:rFonts w:hint="default" w:ascii="Times New Roman" w:hAnsi="Times New Roman" w:cs="Times New Roman"/>
          <w:sz w:val="26"/>
          <w:szCs w:val="26"/>
          <w:lang w:val="en-US"/>
        </w:rPr>
        <w:t>. 7 (b)</w:t>
      </w:r>
      <w:r>
        <w:rPr>
          <w:rFonts w:ascii="Times New Roman" w:hAnsi="Times New Roman" w:cs="Times New Roman"/>
          <w:sz w:val="26"/>
          <w:szCs w:val="26"/>
        </w:rPr>
        <w:t xml:space="preserve">) were occasioned by the reducing composition of chitosan in the mixing ratio of </w:t>
      </w:r>
      <w:r>
        <w:rPr>
          <w:rFonts w:ascii="Times New Roman" w:hAnsi="Times New Roman" w:cs="Times New Roman"/>
          <w:i/>
          <w:iCs/>
          <w:sz w:val="26"/>
          <w:szCs w:val="26"/>
        </w:rPr>
        <w:t>MOCEB</w:t>
      </w:r>
      <w:r>
        <w:rPr>
          <w:rFonts w:ascii="Times New Roman" w:hAnsi="Times New Roman" w:cs="Times New Roman"/>
          <w:sz w:val="26"/>
          <w:szCs w:val="26"/>
        </w:rPr>
        <w:t xml:space="preserve"> biofilm. The slight increment in titratable acidity which was stimulated by increase in </w:t>
      </w:r>
      <w:r>
        <w:rPr>
          <w:rFonts w:ascii="Times New Roman" w:hAnsi="Times New Roman" w:cs="Times New Roman"/>
          <w:i/>
          <w:iCs/>
          <w:sz w:val="26"/>
          <w:szCs w:val="26"/>
        </w:rPr>
        <w:t>MOCEB</w:t>
      </w:r>
      <w:r>
        <w:rPr>
          <w:rFonts w:ascii="Times New Roman" w:hAnsi="Times New Roman" w:cs="Times New Roman"/>
          <w:sz w:val="26"/>
          <w:szCs w:val="26"/>
        </w:rPr>
        <w:t xml:space="preserve"> mixing ratio could be attributed to the complimentary nature of </w:t>
      </w:r>
      <w:r>
        <w:rPr>
          <w:rFonts w:ascii="Times New Roman" w:hAnsi="Times New Roman" w:cs="Times New Roman"/>
          <w:i/>
          <w:iCs/>
          <w:sz w:val="26"/>
          <w:szCs w:val="26"/>
        </w:rPr>
        <w:t>MOLE</w:t>
      </w:r>
      <w:r>
        <w:rPr>
          <w:rFonts w:ascii="Times New Roman" w:hAnsi="Times New Roman" w:cs="Times New Roman"/>
          <w:sz w:val="26"/>
          <w:szCs w:val="26"/>
        </w:rPr>
        <w:t xml:space="preserve"> increment in bio activity of chitosan.</w:t>
      </w:r>
    </w:p>
    <w:p>
      <w:pPr>
        <w:spacing w:after="0" w:line="240" w:lineRule="auto"/>
        <w:jc w:val="both"/>
        <w:rPr>
          <w:rFonts w:ascii="Times New Roman" w:hAnsi="Times New Roman" w:cs="Times New Roman"/>
          <w:sz w:val="28"/>
          <w:szCs w:val="28"/>
          <w:lang w:val="en-GB"/>
        </w:rPr>
      </w:pPr>
      <w:r>
        <w:rPr>
          <w:sz w:val="26"/>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549910" cy="414655"/>
                <wp:effectExtent l="0" t="0" r="13970" b="12065"/>
                <wp:wrapNone/>
                <wp:docPr id="21" name="Text Box 21"/>
                <wp:cNvGraphicFramePr/>
                <a:graphic xmlns:a="http://schemas.openxmlformats.org/drawingml/2006/main">
                  <a:graphicData uri="http://schemas.microsoft.com/office/word/2010/wordprocessingShape">
                    <wps:wsp>
                      <wps:cNvSpPr txBox="1"/>
                      <wps:spPr>
                        <a:xfrm>
                          <a:off x="0" y="0"/>
                          <a:ext cx="549910" cy="414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Black" w:hAnsi="Arial Black" w:cs="Arial Black"/>
                                <w:b/>
                                <w:bCs/>
                                <w:sz w:val="36"/>
                                <w:szCs w:val="36"/>
                                <w:lang w:val="en-US"/>
                              </w:rPr>
                            </w:pPr>
                            <w:r>
                              <w:rPr>
                                <w:rFonts w:hint="default" w:ascii="Arial Black" w:hAnsi="Arial Black" w:cs="Arial Black"/>
                                <w:b/>
                                <w:bCs/>
                                <w:sz w:val="36"/>
                                <w:szCs w:val="36"/>
                                <w:lang w:val="en-U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25pt;height:32.65pt;width:43.3pt;z-index:251661312;mso-width-relative:page;mso-height-relative:page;" fillcolor="#FFFFFF [3201]" filled="t" stroked="f" coordsize="21600,21600" o:gfxdata="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939FjRAAAABAEAAA8AAAAAAAAAAQAgAAAAIgAAAGRycy9kb3du&#10;cmV2LnhtbFBLAQIUABQAAAAIAIdO4kBDJ3fNPwIAAI8EAAAOAAAAAAAAAAEAIAAAACABAABkcnMv&#10;ZTJvRG9jLnhtbFBLBQYAAAAABgAGAFkBAADRBQAAAAA=&#10;">
                <v:fill on="t" focussize="0,0"/>
                <v:stroke on="f" weight="0.5pt"/>
                <v:imagedata o:title=""/>
                <o:lock v:ext="edit" aspectratio="f"/>
                <v:textbox>
                  <w:txbxContent>
                    <w:p>
                      <w:pPr>
                        <w:rPr>
                          <w:rFonts w:hint="default" w:ascii="Arial Black" w:hAnsi="Arial Black" w:cs="Arial Black"/>
                          <w:b/>
                          <w:bCs/>
                          <w:sz w:val="36"/>
                          <w:szCs w:val="36"/>
                          <w:lang w:val="en-US"/>
                        </w:rPr>
                      </w:pPr>
                      <w:r>
                        <w:rPr>
                          <w:rFonts w:hint="default" w:ascii="Arial Black" w:hAnsi="Arial Black" w:cs="Arial Black"/>
                          <w:b/>
                          <w:bCs/>
                          <w:sz w:val="36"/>
                          <w:szCs w:val="36"/>
                          <w:lang w:val="en-US"/>
                        </w:rPr>
                        <w:t>(a)</w:t>
                      </w:r>
                    </w:p>
                  </w:txbxContent>
                </v:textbox>
              </v:shape>
            </w:pict>
          </mc:Fallback>
        </mc:AlternateContent>
      </w:r>
      <w:r>
        <w:drawing>
          <wp:inline distT="0" distB="0" distL="114300" distR="114300">
            <wp:extent cx="5740400" cy="3470910"/>
            <wp:effectExtent l="0" t="0" r="5080" b="3810"/>
            <wp:docPr id="64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after="0" w:line="240" w:lineRule="auto"/>
        <w:jc w:val="both"/>
        <w:rPr>
          <w:rFonts w:ascii="Times New Roman" w:hAnsi="Times New Roman" w:cs="Times New Roman"/>
          <w:sz w:val="28"/>
          <w:szCs w:val="28"/>
          <w:lang w:val="en-GB"/>
        </w:rPr>
      </w:pPr>
      <w:r>
        <w:rPr>
          <w:sz w:val="26"/>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8890</wp:posOffset>
                </wp:positionV>
                <wp:extent cx="549910" cy="414655"/>
                <wp:effectExtent l="0" t="0" r="13970" b="12065"/>
                <wp:wrapNone/>
                <wp:docPr id="23" name="Text Box 23"/>
                <wp:cNvGraphicFramePr/>
                <a:graphic xmlns:a="http://schemas.openxmlformats.org/drawingml/2006/main">
                  <a:graphicData uri="http://schemas.microsoft.com/office/word/2010/wordprocessingShape">
                    <wps:wsp>
                      <wps:cNvSpPr txBox="1"/>
                      <wps:spPr>
                        <a:xfrm>
                          <a:off x="0" y="0"/>
                          <a:ext cx="549910" cy="414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Black" w:hAnsi="Arial Black" w:cs="Arial Black"/>
                                <w:b/>
                                <w:bCs/>
                                <w:sz w:val="36"/>
                                <w:szCs w:val="36"/>
                                <w:lang w:val="en-US"/>
                              </w:rPr>
                            </w:pPr>
                            <w:r>
                              <w:rPr>
                                <w:rFonts w:hint="default" w:ascii="Arial Black" w:hAnsi="Arial Black" w:cs="Arial Black"/>
                                <w:b/>
                                <w:bCs/>
                                <w:sz w:val="36"/>
                                <w:szCs w:val="36"/>
                                <w:lang w:val="en-U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7pt;height:32.65pt;width:43.3pt;z-index:251662336;mso-width-relative:page;mso-height-relative:page;" fillcolor="#FFFFFF [3201]" filled="t" stroked="f" coordsize="21600,21600" o:gfxdata="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ALirfRAAAABAEAAA8AAAAAAAAAAQAgAAAAIgAAAGRycy9kb3du&#10;cmV2LnhtbFBLAQIUABQAAAAIAIdO4kC5xPe/PwIAAI8EAAAOAAAAAAAAAAEAIAAAACABAABkcnMv&#10;ZTJvRG9jLnhtbFBLBQYAAAAABgAGAFkBAADRBQAAAAA=&#10;">
                <v:fill on="t" focussize="0,0"/>
                <v:stroke on="f" weight="0.5pt"/>
                <v:imagedata o:title=""/>
                <o:lock v:ext="edit" aspectratio="f"/>
                <v:textbox>
                  <w:txbxContent>
                    <w:p>
                      <w:pPr>
                        <w:rPr>
                          <w:rFonts w:hint="default" w:ascii="Arial Black" w:hAnsi="Arial Black" w:cs="Arial Black"/>
                          <w:b/>
                          <w:bCs/>
                          <w:sz w:val="36"/>
                          <w:szCs w:val="36"/>
                          <w:lang w:val="en-US"/>
                        </w:rPr>
                      </w:pPr>
                      <w:r>
                        <w:rPr>
                          <w:rFonts w:hint="default" w:ascii="Arial Black" w:hAnsi="Arial Black" w:cs="Arial Black"/>
                          <w:b/>
                          <w:bCs/>
                          <w:sz w:val="36"/>
                          <w:szCs w:val="36"/>
                          <w:lang w:val="en-US"/>
                        </w:rPr>
                        <w:t>(b)</w:t>
                      </w:r>
                    </w:p>
                  </w:txbxContent>
                </v:textbox>
              </v:shape>
            </w:pict>
          </mc:Fallback>
        </mc:AlternateContent>
      </w:r>
      <w:r>
        <w:drawing>
          <wp:inline distT="0" distB="0" distL="114300" distR="114300">
            <wp:extent cx="5736590" cy="3512185"/>
            <wp:effectExtent l="0" t="0" r="8890" b="8255"/>
            <wp:docPr id="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after="0" w:line="480" w:lineRule="auto"/>
        <w:jc w:val="both"/>
        <w:rPr>
          <w:rFonts w:ascii="Times New Roman" w:hAnsi="Times New Roman" w:cs="Times New Roman"/>
          <w:sz w:val="28"/>
          <w:szCs w:val="28"/>
          <w:lang w:val="en-GB"/>
        </w:rPr>
      </w:pPr>
      <w:r>
        <w:rPr>
          <w:rFonts w:ascii="Times New Roman" w:hAnsi="Times New Roman" w:cs="Times New Roman"/>
          <w:sz w:val="28"/>
          <w:szCs w:val="28"/>
        </w:rPr>
        <w:t>Fig</w:t>
      </w:r>
      <w:r>
        <w:rPr>
          <w:rFonts w:hint="default" w:ascii="Times New Roman" w:hAnsi="Times New Roman" w:cs="Times New Roman"/>
          <w:sz w:val="28"/>
          <w:szCs w:val="28"/>
          <w:lang w:val="en-US"/>
        </w:rPr>
        <w:t>.</w:t>
      </w:r>
      <w:r>
        <w:rPr>
          <w:rFonts w:ascii="Times New Roman" w:hAnsi="Times New Roman" w:cs="Times New Roman"/>
          <w:sz w:val="28"/>
          <w:szCs w:val="28"/>
        </w:rPr>
        <w:t xml:space="preserve"> </w:t>
      </w:r>
      <w:r>
        <w:rPr>
          <w:rFonts w:hint="default" w:ascii="Times New Roman" w:hAnsi="Times New Roman" w:cs="Times New Roman"/>
          <w:sz w:val="28"/>
          <w:szCs w:val="28"/>
          <w:lang w:val="en-US"/>
        </w:rPr>
        <w:t>7.</w:t>
      </w:r>
      <w:r>
        <w:rPr>
          <w:rFonts w:ascii="Times New Roman" w:hAnsi="Times New Roman" w:cs="Times New Roman"/>
          <w:sz w:val="28"/>
          <w:szCs w:val="28"/>
        </w:rPr>
        <w:t xml:space="preserve"> Effect of mixing ratio on</w:t>
      </w:r>
      <w:r>
        <w:rPr>
          <w:rFonts w:hint="default" w:ascii="Times New Roman" w:hAnsi="Times New Roman" w:cs="Times New Roman"/>
          <w:sz w:val="28"/>
          <w:szCs w:val="28"/>
          <w:lang w:val="en-US"/>
        </w:rPr>
        <w:t xml:space="preserve"> (a)</w:t>
      </w:r>
      <w:r>
        <w:rPr>
          <w:rFonts w:ascii="Times New Roman" w:hAnsi="Times New Roman" w:cs="Times New Roman"/>
          <w:sz w:val="28"/>
          <w:szCs w:val="28"/>
        </w:rPr>
        <w:t xml:space="preserve"> TA</w:t>
      </w:r>
      <w:r>
        <w:rPr>
          <w:rFonts w:hint="default" w:ascii="Times New Roman" w:hAnsi="Times New Roman" w:cs="Times New Roman"/>
          <w:sz w:val="28"/>
          <w:szCs w:val="28"/>
          <w:lang w:val="en-US"/>
        </w:rPr>
        <w:t>, (b) w</w:t>
      </w:r>
      <w:r>
        <w:rPr>
          <w:rFonts w:ascii="Times New Roman" w:hAnsi="Times New Roman" w:cs="Times New Roman"/>
          <w:sz w:val="28"/>
          <w:szCs w:val="28"/>
        </w:rPr>
        <w:t>eight loss rate</w:t>
      </w:r>
    </w:p>
    <w:p>
      <w:pPr>
        <w:spacing w:after="0" w:line="480" w:lineRule="auto"/>
        <w:jc w:val="both"/>
        <w:rPr>
          <w:rFonts w:hint="default" w:ascii="Times New Roman" w:hAnsi="Times New Roman" w:cs="Times New Roman"/>
          <w:sz w:val="28"/>
          <w:szCs w:val="28"/>
          <w:lang w:val="en-US"/>
        </w:rPr>
      </w:pPr>
    </w:p>
    <w:p>
      <w:pPr>
        <w:spacing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drawing>
          <wp:inline distT="0" distB="0" distL="114300" distR="114300">
            <wp:extent cx="5814060" cy="1450975"/>
            <wp:effectExtent l="0" t="0" r="7620" b="12065"/>
            <wp:docPr id="3" name="Picture 3" descr="2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30"/>
                    <pic:cNvPicPr>
                      <a:picLocks noChangeAspect="1"/>
                    </pic:cNvPicPr>
                  </pic:nvPicPr>
                  <pic:blipFill>
                    <a:blip r:embed="rId17"/>
                    <a:srcRect t="18276"/>
                    <a:stretch>
                      <a:fillRect/>
                    </a:stretch>
                  </pic:blipFill>
                  <pic:spPr>
                    <a:xfrm>
                      <a:off x="0" y="0"/>
                      <a:ext cx="5814060" cy="14509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color w:val="000000" w:themeColor="text1"/>
          <w:sz w:val="28"/>
          <w:szCs w:val="28"/>
          <w:lang w:val="en-US"/>
          <w14:textFill>
            <w14:solidFill>
              <w14:schemeClr w14:val="tx1"/>
            </w14:solidFill>
          </w14:textFill>
        </w:rPr>
        <w:t>Fig.</w:t>
      </w:r>
      <w:r>
        <w:rPr>
          <w:rFonts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8.</w:t>
      </w:r>
      <w:r>
        <w:rPr>
          <w:rFonts w:ascii="Times New Roman" w:hAnsi="Times New Roman" w:cs="Times New Roman"/>
          <w:color w:val="000000" w:themeColor="text1"/>
          <w:sz w:val="28"/>
          <w:szCs w:val="28"/>
          <w14:textFill>
            <w14:solidFill>
              <w14:schemeClr w14:val="tx1"/>
            </w14:solidFill>
          </w14:textFill>
        </w:rPr>
        <w:t xml:space="preserve"> Pictorial illustration of different concentrations of </w:t>
      </w:r>
      <w:r>
        <w:rPr>
          <w:rFonts w:ascii="Times New Roman" w:hAnsi="Times New Roman" w:cs="Times New Roman"/>
          <w:i/>
          <w:iCs/>
          <w:color w:val="000000" w:themeColor="text1"/>
          <w:sz w:val="28"/>
          <w:szCs w:val="28"/>
          <w14:textFill>
            <w14:solidFill>
              <w14:schemeClr w14:val="tx1"/>
            </w14:solidFill>
          </w14:textFill>
        </w:rPr>
        <w:t>MOCEB</w:t>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3.2.3 Effect of storage time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influence of incubation time on titratable acidity of coated and uncoated tomato fruits at best chitosan conc. and best </w:t>
      </w:r>
      <w:r>
        <w:rPr>
          <w:rFonts w:ascii="Times New Roman" w:hAnsi="Times New Roman" w:cs="Times New Roman"/>
          <w:i/>
          <w:iCs/>
          <w:sz w:val="26"/>
          <w:szCs w:val="26"/>
        </w:rPr>
        <w:t>MOCEB</w:t>
      </w:r>
      <w:r>
        <w:rPr>
          <w:rFonts w:ascii="Times New Roman" w:hAnsi="Times New Roman" w:cs="Times New Roman"/>
          <w:sz w:val="26"/>
          <w:szCs w:val="26"/>
        </w:rPr>
        <w:t xml:space="preserve"> mixing ratio were illustrated in </w:t>
      </w:r>
      <w:r>
        <w:rPr>
          <w:rFonts w:ascii="Times New Roman" w:hAnsi="Times New Roman" w:cs="Times New Roman"/>
          <w:b/>
          <w:bCs/>
          <w:sz w:val="26"/>
          <w:szCs w:val="26"/>
        </w:rPr>
        <w:t>Figs.</w:t>
      </w:r>
      <w:r>
        <w:rPr>
          <w:rFonts w:ascii="Times New Roman" w:hAnsi="Times New Roman" w:cs="Times New Roman"/>
          <w:sz w:val="26"/>
          <w:szCs w:val="26"/>
        </w:rPr>
        <w:t xml:space="preserve"> </w:t>
      </w:r>
      <w:r>
        <w:rPr>
          <w:rFonts w:hint="default" w:ascii="Times New Roman" w:hAnsi="Times New Roman" w:cs="Times New Roman"/>
          <w:sz w:val="26"/>
          <w:szCs w:val="26"/>
          <w:lang w:val="en-US"/>
        </w:rPr>
        <w:t>9 (a)</w:t>
      </w:r>
      <w:r>
        <w:rPr>
          <w:rFonts w:ascii="Times New Roman" w:hAnsi="Times New Roman" w:cs="Times New Roman"/>
          <w:sz w:val="26"/>
          <w:szCs w:val="26"/>
        </w:rPr>
        <w:t xml:space="preserve"> and </w:t>
      </w:r>
      <w:r>
        <w:rPr>
          <w:rFonts w:hint="default" w:ascii="Times New Roman" w:hAnsi="Times New Roman" w:cs="Times New Roman"/>
          <w:sz w:val="26"/>
          <w:szCs w:val="26"/>
          <w:lang w:val="en-US"/>
        </w:rPr>
        <w:t>9 (b),</w:t>
      </w:r>
      <w:r>
        <w:rPr>
          <w:rFonts w:ascii="Times New Roman" w:hAnsi="Times New Roman" w:cs="Times New Roman"/>
          <w:sz w:val="26"/>
          <w:szCs w:val="26"/>
        </w:rPr>
        <w:t xml:space="preserve"> respectively. The weight loss rate measurement of both coated and uncoated species were depicted in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10 (a)</w:t>
      </w:r>
      <w:r>
        <w:rPr>
          <w:rFonts w:ascii="Times New Roman" w:hAnsi="Times New Roman" w:cs="Times New Roman"/>
          <w:sz w:val="26"/>
          <w:szCs w:val="26"/>
        </w:rPr>
        <w:t xml:space="preserve"> (for best mixing ratio of 40:60), and 1</w:t>
      </w:r>
      <w:r>
        <w:rPr>
          <w:rFonts w:hint="default" w:ascii="Times New Roman" w:hAnsi="Times New Roman" w:cs="Times New Roman"/>
          <w:sz w:val="26"/>
          <w:szCs w:val="26"/>
          <w:lang w:val="en-US"/>
        </w:rPr>
        <w:t>0 (b)</w:t>
      </w:r>
      <w:r>
        <w:rPr>
          <w:rFonts w:ascii="Times New Roman" w:hAnsi="Times New Roman" w:cs="Times New Roman"/>
          <w:sz w:val="26"/>
          <w:szCs w:val="26"/>
        </w:rPr>
        <w:t xml:space="preserve"> (for best chitosan conc of 1%). From the graphical results, it is discernible that, for both coated and uncoated species, the values of TA reduced proportionally with increase in storage time. The decline in titratable acidity is attributed to the dynamic reduction of citric acid which takes place during the storage respiration process. According to Gol et al.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&lt;EndNote&gt;&lt;Cite&gt;&lt;Author&gt;Gol&lt;/Author&gt;&lt;Year&gt;2013&lt;/Year&gt;&lt;RecNum&gt;145&lt;/RecNum&gt;&lt;DisplayText&gt;(Gol et al., 2013)&lt;/DisplayText&gt;&lt;record&gt;&lt;rec-number&gt;145&lt;/rec-number&gt;&lt;foreign-keys&gt;&lt;key app="EN" db-id="edvassfwttpfsqe0xsop2wwg2f05wx552500" timestamp="1699632724"&gt;145&lt;/key&gt;&lt;/foreign-keys&gt;&lt;ref-type name="Journal Article"&gt;17&lt;/ref-type&gt;&lt;contributors&gt;&lt;authors&gt;&lt;author&gt;Gol, Neeta B&lt;/author&gt;&lt;author&gt;Patel, Pooja R&lt;/author&gt;&lt;author&gt;Rao, TV Ramana&lt;/author&gt;&lt;/authors&gt;&lt;/contributors&gt;&lt;titles&gt;&lt;title&gt;Improvement of quality and shelf-life of strawberries with edible coatings enriched with chitosan&lt;/title&gt;&lt;secondary-title&gt;Postharvest Biology and Technology&lt;/secondary-title&gt;&lt;/titles&gt;&lt;periodical&gt;&lt;full-title&gt;Postharvest Biology and Technology&lt;/full-title&gt;&lt;/periodical&gt;&lt;pages&gt;185-195&lt;/pages&gt;&lt;volume&gt;85&lt;/volume&gt;&lt;dates&gt;&lt;year&gt;2013&lt;/year&gt;&lt;/dates&gt;&lt;isbn&gt;0925-5214&lt;/isbn&gt;&lt;urls&gt;&lt;/urls&gt;&lt;/record&gt;&lt;/Cite&gt;&lt;/EndNote&gt;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(Gol et al., 2013)</w:t>
      </w:r>
      <w:r>
        <w:rPr>
          <w:rFonts w:ascii="Times New Roman" w:hAnsi="Times New Roman" w:cs="Times New Roman"/>
          <w:sz w:val="26"/>
          <w:szCs w:val="26"/>
        </w:rPr>
        <w:fldChar w:fldCharType="end"/>
      </w:r>
      <w:r>
        <w:rPr>
          <w:rFonts w:ascii="Times New Roman" w:hAnsi="Times New Roman" w:cs="Times New Roman"/>
          <w:sz w:val="26"/>
          <w:szCs w:val="26"/>
        </w:rPr>
        <w:t xml:space="preserve"> given that titratable acidity and organic acid content are strongly correlated, a decrease in acidity may be anticipated during incubation due to the respiration induced metabolic changes which consumes the organic acids. For all species, the titratable acidity of the uncoated samples were much lower than the </w:t>
      </w:r>
      <w:r>
        <w:rPr>
          <w:rFonts w:ascii="Times New Roman" w:hAnsi="Times New Roman" w:cs="Times New Roman"/>
          <w:i/>
          <w:iCs/>
          <w:sz w:val="26"/>
          <w:szCs w:val="26"/>
        </w:rPr>
        <w:t>MOCEB</w:t>
      </w:r>
      <w:r>
        <w:rPr>
          <w:rFonts w:ascii="Times New Roman" w:hAnsi="Times New Roman" w:cs="Times New Roman"/>
          <w:sz w:val="26"/>
          <w:szCs w:val="26"/>
        </w:rPr>
        <w:t xml:space="preserve"> coated samples. This underscores the coating effectiveness of </w:t>
      </w:r>
      <w:r>
        <w:rPr>
          <w:rFonts w:ascii="Times New Roman" w:hAnsi="Times New Roman" w:cs="Times New Roman"/>
          <w:i/>
          <w:iCs/>
          <w:sz w:val="26"/>
          <w:szCs w:val="26"/>
        </w:rPr>
        <w:t>MOCEB</w:t>
      </w:r>
      <w:r>
        <w:rPr>
          <w:rFonts w:ascii="Times New Roman" w:hAnsi="Times New Roman" w:cs="Times New Roman"/>
          <w:sz w:val="26"/>
          <w:szCs w:val="26"/>
        </w:rPr>
        <w:t xml:space="preserve"> biofilm in controlling the decomposition of citric acid during the respiration process of the tomato fruits. Furthermore, the coated tomato fruit maintained good quality throughout the incubation period, while the quality of the uncoated sample went below</w:t>
      </w:r>
      <w:r>
        <w:rPr>
          <w:rFonts w:hint="default" w:ascii="Times New Roman" w:hAnsi="Times New Roman" w:cs="Times New Roman"/>
          <w:sz w:val="26"/>
          <w:szCs w:val="26"/>
          <w:lang w:val="en-US"/>
        </w:rPr>
        <w:t xml:space="preserve"> 0.30 g/kg</w:t>
      </w:r>
      <w:r>
        <w:rPr>
          <w:rFonts w:ascii="Times New Roman" w:hAnsi="Times New Roman" w:cs="Times New Roman"/>
          <w:sz w:val="26"/>
          <w:szCs w:val="26"/>
        </w:rPr>
        <w:t xml:space="preserve"> threshold (TA = 0.30 g/kg) on the 15th day of sampling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&lt;EndNote&gt;&lt;Cite&gt;&lt;Author&gt;Kayode&lt;/Author&gt;&lt;Year&gt;2014&lt;/Year&gt;&lt;RecNum&gt;147&lt;/RecNum&gt;&lt;DisplayText&gt;(Kayode and Afolayan, 2014)&lt;/DisplayText&gt;&lt;record&gt;&lt;rec-number&gt;147&lt;/rec-number&gt;&lt;foreign-keys&gt;&lt;key app="EN" db-id="edvassfwttpfsqe0xsop2wwg2f05wx552500" timestamp="1700163269"&gt;147&lt;/key&gt;&lt;/foreign-keys&gt;&lt;ref-type name="Journal Article"&gt;17&lt;/ref-type&gt;&lt;contributors&gt;&lt;authors&gt;&lt;author&gt;Kayode, Rowland MO&lt;/author&gt;&lt;author&gt;Afolayan, Anthony J&lt;/author&gt;&lt;/authors&gt;&lt;/contributors&gt;&lt;titles&gt;&lt;title&gt;Microbiological and chemical evaluation of decomposed open pollinated tomato (Lycopersicon esculentum) fruits in storage&lt;/title&gt;&lt;secondary-title&gt;Journal of Pure and Applied Microbiology&lt;/secondary-title&gt;&lt;/titles&gt;&lt;periodical&gt;&lt;full-title&gt;Journal of Pure and Applied Microbiology&lt;/full-title&gt;&lt;/periodical&gt;&lt;pages&gt;4441-4449&lt;/pages&gt;&lt;volume&gt;8&lt;/volume&gt;&lt;number&gt;6&lt;/number&gt;&lt;dates&gt;&lt;year&gt;2014&lt;/year&gt;&lt;/dates&gt;&lt;urls&gt;&lt;/urls&gt;&lt;/record&gt;&lt;/Cite&gt;&lt;/EndNote&gt;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(Kayode and Afolayan, 2014)</w:t>
      </w:r>
      <w:r>
        <w:rPr>
          <w:rFonts w:ascii="Times New Roman" w:hAnsi="Times New Roman" w:cs="Times New Roman"/>
          <w:sz w:val="26"/>
          <w:szCs w:val="26"/>
        </w:rPr>
        <w:fldChar w:fldCharType="end"/>
      </w:r>
      <w:r>
        <w:rPr>
          <w:rFonts w:ascii="Times New Roman" w:hAnsi="Times New Roman" w:cs="Times New Roman"/>
          <w:sz w:val="26"/>
          <w:szCs w:val="26"/>
        </w:rPr>
        <w:t>. It is also important to note that during respiration, the tomato fruit losses its moisture content which culminate</w:t>
      </w:r>
      <w:r>
        <w:rPr>
          <w:rFonts w:hint="default" w:ascii="Times New Roman" w:hAnsi="Times New Roman" w:cs="Times New Roman"/>
          <w:sz w:val="26"/>
          <w:szCs w:val="26"/>
          <w:lang w:val="en-US"/>
        </w:rPr>
        <w:t>d</w:t>
      </w:r>
      <w:r>
        <w:rPr>
          <w:rFonts w:ascii="Times New Roman" w:hAnsi="Times New Roman" w:cs="Times New Roman"/>
          <w:sz w:val="26"/>
          <w:szCs w:val="26"/>
        </w:rPr>
        <w:t xml:space="preserve"> in cumulative</w:t>
      </w:r>
      <w:r>
        <w:rPr>
          <w:rFonts w:hint="default" w:ascii="Times New Roman" w:hAnsi="Times New Roman" w:cs="Times New Roman"/>
          <w:sz w:val="26"/>
          <w:szCs w:val="26"/>
          <w:lang w:val="en-US"/>
        </w:rPr>
        <w:t xml:space="preserve"> </w:t>
      </w:r>
      <w:r>
        <w:rPr>
          <w:rFonts w:ascii="Times New Roman" w:hAnsi="Times New Roman" w:cs="Times New Roman"/>
          <w:sz w:val="26"/>
          <w:szCs w:val="26"/>
        </w:rPr>
        <w:t xml:space="preserve">weight loss (%) depicted in </w:t>
      </w:r>
      <w:r>
        <w:rPr>
          <w:rFonts w:ascii="Times New Roman" w:hAnsi="Times New Roman" w:cs="Times New Roman"/>
          <w:b/>
          <w:bCs/>
          <w:sz w:val="26"/>
          <w:szCs w:val="26"/>
        </w:rPr>
        <w:t>Fig</w:t>
      </w:r>
      <w:r>
        <w:rPr>
          <w:rFonts w:hint="default" w:ascii="Times New Roman" w:hAnsi="Times New Roman" w:cs="Times New Roman"/>
          <w:b/>
          <w:bCs/>
          <w:sz w:val="26"/>
          <w:szCs w:val="26"/>
          <w:lang w:val="en-US"/>
        </w:rPr>
        <w:t xml:space="preserve">. </w:t>
      </w:r>
      <w:r>
        <w:rPr>
          <w:rFonts w:hint="default" w:ascii="Times New Roman" w:hAnsi="Times New Roman" w:cs="Times New Roman"/>
          <w:b w:val="0"/>
          <w:bCs w:val="0"/>
          <w:sz w:val="26"/>
          <w:szCs w:val="26"/>
          <w:lang w:val="en-US"/>
        </w:rPr>
        <w:t>11</w:t>
      </w:r>
      <w:r>
        <w:rPr>
          <w:rFonts w:ascii="Times New Roman" w:hAnsi="Times New Roman" w:cs="Times New Roman"/>
          <w:b w:val="0"/>
          <w:bCs w:val="0"/>
          <w:sz w:val="26"/>
          <w:szCs w:val="26"/>
        </w:rPr>
        <w:t>.</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weight loss rate (</w:t>
      </w:r>
      <w:r>
        <w:rPr>
          <w:rFonts w:ascii="Times New Roman" w:hAnsi="Times New Roman" w:cs="Times New Roman"/>
          <w:b/>
          <w:bCs/>
          <w:sz w:val="26"/>
          <w:szCs w:val="26"/>
        </w:rPr>
        <w:t>Figs.</w:t>
      </w:r>
      <w:r>
        <w:rPr>
          <w:rFonts w:ascii="Times New Roman" w:hAnsi="Times New Roman" w:cs="Times New Roman"/>
          <w:sz w:val="26"/>
          <w:szCs w:val="26"/>
        </w:rPr>
        <w:t xml:space="preserve"> </w:t>
      </w:r>
      <w:r>
        <w:rPr>
          <w:rFonts w:hint="default" w:ascii="Times New Roman" w:hAnsi="Times New Roman" w:cs="Times New Roman"/>
          <w:sz w:val="26"/>
          <w:szCs w:val="26"/>
          <w:lang w:val="en-US"/>
        </w:rPr>
        <w:t>10 (a)</w:t>
      </w:r>
      <w:r>
        <w:rPr>
          <w:rFonts w:ascii="Times New Roman" w:hAnsi="Times New Roman" w:cs="Times New Roman"/>
          <w:sz w:val="26"/>
          <w:szCs w:val="26"/>
        </w:rPr>
        <w:t xml:space="preserve"> and </w:t>
      </w:r>
      <w:r>
        <w:rPr>
          <w:rFonts w:hint="default" w:ascii="Times New Roman" w:hAnsi="Times New Roman" w:cs="Times New Roman"/>
          <w:sz w:val="26"/>
          <w:szCs w:val="26"/>
          <w:lang w:val="en-US"/>
        </w:rPr>
        <w:t>10 (a)</w:t>
      </w:r>
      <w:r>
        <w:rPr>
          <w:rFonts w:ascii="Times New Roman" w:hAnsi="Times New Roman" w:cs="Times New Roman"/>
          <w:sz w:val="26"/>
          <w:szCs w:val="26"/>
        </w:rPr>
        <w:t>) of the coated tomato fruit displayed a quadratic relationship with storage time. The first region of accelerated weight loss rate was observed between 2 - 9 days of storage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10 (a)</w:t>
      </w:r>
      <w:r>
        <w:rPr>
          <w:rFonts w:ascii="Times New Roman" w:hAnsi="Times New Roman" w:cs="Times New Roman"/>
          <w:sz w:val="26"/>
          <w:szCs w:val="26"/>
        </w:rPr>
        <w:t xml:space="preserve">). During this period, the weight loss rate increased from 0.068 g/day - 0.6762 g/day. The rapid rate of weight loss could be attributed to the initial characteristics (soft and permeable) of the </w:t>
      </w:r>
      <w:r>
        <w:rPr>
          <w:rFonts w:ascii="Times New Roman" w:hAnsi="Times New Roman" w:cs="Times New Roman"/>
          <w:i/>
          <w:iCs/>
          <w:sz w:val="26"/>
          <w:szCs w:val="26"/>
        </w:rPr>
        <w:t>MOCEB</w:t>
      </w:r>
      <w:r>
        <w:rPr>
          <w:rFonts w:ascii="Times New Roman" w:hAnsi="Times New Roman" w:cs="Times New Roman"/>
          <w:sz w:val="26"/>
          <w:szCs w:val="26"/>
        </w:rPr>
        <w:t xml:space="preserve"> coated tomato fruit surface, which did not</w:t>
      </w:r>
      <w:r>
        <w:rPr>
          <w:rFonts w:hint="default" w:ascii="Times New Roman" w:hAnsi="Times New Roman" w:cs="Times New Roman"/>
          <w:sz w:val="26"/>
          <w:szCs w:val="26"/>
          <w:lang w:val="en-US"/>
        </w:rPr>
        <w:t xml:space="preserve"> significantly</w:t>
      </w:r>
      <w:r>
        <w:rPr>
          <w:rFonts w:ascii="Times New Roman" w:hAnsi="Times New Roman" w:cs="Times New Roman"/>
          <w:sz w:val="26"/>
          <w:szCs w:val="26"/>
        </w:rPr>
        <w:t xml:space="preserve"> resist the permeability of water through the membrane. As the storage time increased, the </w:t>
      </w:r>
      <w:r>
        <w:rPr>
          <w:rFonts w:ascii="Times New Roman" w:hAnsi="Times New Roman" w:cs="Times New Roman"/>
          <w:i/>
          <w:iCs/>
          <w:sz w:val="26"/>
          <w:szCs w:val="26"/>
        </w:rPr>
        <w:t>MOCEB</w:t>
      </w:r>
      <w:r>
        <w:rPr>
          <w:rFonts w:ascii="Times New Roman" w:hAnsi="Times New Roman" w:cs="Times New Roman"/>
          <w:sz w:val="26"/>
          <w:szCs w:val="26"/>
        </w:rPr>
        <w:t xml:space="preserve"> biofilm became increasingly </w:t>
      </w:r>
      <w:r>
        <w:rPr>
          <w:rFonts w:hint="default" w:ascii="Times New Roman" w:hAnsi="Times New Roman" w:cs="Times New Roman"/>
          <w:sz w:val="26"/>
          <w:szCs w:val="26"/>
          <w:lang w:val="en-US"/>
        </w:rPr>
        <w:t>hardened</w:t>
      </w:r>
      <w:r>
        <w:rPr>
          <w:rFonts w:ascii="Times New Roman" w:hAnsi="Times New Roman" w:cs="Times New Roman"/>
          <w:sz w:val="26"/>
          <w:szCs w:val="26"/>
        </w:rPr>
        <w:t xml:space="preserve"> resulting in the equilibrium stage (Day 10: 0.7103 g/day - Day 14: 0.7146 g/day) and reduced rate of weight loss (Day 15: 0.6826 g/day - Day 20: 0.3246 g/day). A slightly extended period of accelerated weight loss rate was noted at best chitosan concentration depicted in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10 (b)</w:t>
      </w:r>
      <w:r>
        <w:rPr>
          <w:rFonts w:ascii="Times New Roman" w:hAnsi="Times New Roman" w:cs="Times New Roman"/>
          <w:sz w:val="26"/>
          <w:szCs w:val="26"/>
        </w:rPr>
        <w:t xml:space="preserve">. Due to the unprotected surface of the uncoated tomato fruit, the weight loss rate was approximately 2.6 times higher than the </w:t>
      </w:r>
      <w:r>
        <w:rPr>
          <w:rFonts w:ascii="Times New Roman" w:hAnsi="Times New Roman" w:cs="Times New Roman"/>
          <w:i/>
          <w:iCs/>
          <w:sz w:val="26"/>
          <w:szCs w:val="26"/>
        </w:rPr>
        <w:t>MOCEB</w:t>
      </w:r>
      <w:r>
        <w:rPr>
          <w:rFonts w:ascii="Times New Roman" w:hAnsi="Times New Roman" w:cs="Times New Roman"/>
          <w:sz w:val="26"/>
          <w:szCs w:val="26"/>
        </w:rPr>
        <w:t xml:space="preserve"> coated species during the storage period. This magnitude of protection further underscores the importance of </w:t>
      </w:r>
      <w:r>
        <w:rPr>
          <w:rFonts w:ascii="Times New Roman" w:hAnsi="Times New Roman" w:cs="Times New Roman"/>
          <w:i/>
          <w:iCs/>
          <w:sz w:val="26"/>
          <w:szCs w:val="26"/>
        </w:rPr>
        <w:t>MOCEB</w:t>
      </w:r>
      <w:r>
        <w:rPr>
          <w:rFonts w:ascii="Times New Roman" w:hAnsi="Times New Roman" w:cs="Times New Roman"/>
          <w:sz w:val="26"/>
          <w:szCs w:val="26"/>
        </w:rPr>
        <w:t xml:space="preserve"> coating in enhancing the membrane resistance to moisture loss. </w:t>
      </w:r>
    </w:p>
    <w:p>
      <w:pPr>
        <w:spacing w:line="360" w:lineRule="auto"/>
        <w:jc w:val="both"/>
        <w:rPr>
          <w:rFonts w:hint="default" w:ascii="Times New Roman" w:hAnsi="Times New Roman" w:cs="Times New Roman"/>
          <w:sz w:val="26"/>
          <w:szCs w:val="26"/>
          <w:lang w:val="en-US"/>
        </w:rPr>
      </w:pPr>
      <w:r>
        <w:rPr>
          <w:rFonts w:ascii="Times New Roman" w:hAnsi="Times New Roman" w:cs="Times New Roman"/>
          <w:sz w:val="26"/>
          <w:szCs w:val="26"/>
        </w:rPr>
        <w:t xml:space="preserve">Another important graphical representation of the effect of storage time is the percentage weight loss (see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11 (a) and (b)</w:t>
      </w:r>
      <w:r>
        <w:rPr>
          <w:rFonts w:ascii="Times New Roman" w:hAnsi="Times New Roman" w:cs="Times New Roman"/>
          <w:sz w:val="26"/>
          <w:szCs w:val="26"/>
        </w:rPr>
        <w:t xml:space="preserve">). While the weight loss rate accurately captures how phase changes in </w:t>
      </w:r>
      <w:r>
        <w:rPr>
          <w:rFonts w:ascii="Times New Roman" w:hAnsi="Times New Roman" w:cs="Times New Roman"/>
          <w:i/>
          <w:iCs/>
          <w:sz w:val="26"/>
          <w:szCs w:val="26"/>
        </w:rPr>
        <w:t>MOCEB</w:t>
      </w:r>
      <w:r>
        <w:rPr>
          <w:rFonts w:ascii="Times New Roman" w:hAnsi="Times New Roman" w:cs="Times New Roman"/>
          <w:sz w:val="26"/>
          <w:szCs w:val="26"/>
        </w:rPr>
        <w:t xml:space="preserve"> coating controls the weight loss during storage, the percentage weight loss depicts the progressive loss in moisture which affects the total weight during storage. The percentage weight loss is a natural process observed during post harvest incubation of fruit and vegetables. As demonstrated in </w:t>
      </w:r>
      <w:r>
        <w:rPr>
          <w:rFonts w:ascii="Times New Roman" w:hAnsi="Times New Roman" w:cs="Times New Roman"/>
          <w:b/>
          <w:bCs/>
          <w:sz w:val="26"/>
          <w:szCs w:val="26"/>
        </w:rPr>
        <w:t>Figs.</w:t>
      </w:r>
      <w:r>
        <w:rPr>
          <w:rFonts w:ascii="Times New Roman" w:hAnsi="Times New Roman" w:cs="Times New Roman"/>
          <w:sz w:val="26"/>
          <w:szCs w:val="26"/>
        </w:rPr>
        <w:t xml:space="preserve"> </w:t>
      </w:r>
      <w:r>
        <w:rPr>
          <w:rFonts w:hint="default" w:ascii="Times New Roman" w:hAnsi="Times New Roman" w:cs="Times New Roman"/>
          <w:sz w:val="26"/>
          <w:szCs w:val="26"/>
          <w:lang w:val="en-US"/>
        </w:rPr>
        <w:t>11 (a) and (b)</w:t>
      </w:r>
      <w:r>
        <w:rPr>
          <w:rFonts w:ascii="Times New Roman" w:hAnsi="Times New Roman" w:cs="Times New Roman"/>
          <w:sz w:val="26"/>
          <w:szCs w:val="26"/>
        </w:rPr>
        <w:t xml:space="preserve">, all species showcased progressive weight loss throughout the incubation period. The progressive weight loss was a direct consequence of moisture loss which resulted in shriveling of the coated species (see </w:t>
      </w:r>
      <w:r>
        <w:rPr>
          <w:rFonts w:hint="default" w:ascii="Times New Roman" w:hAnsi="Times New Roman" w:cs="Times New Roman"/>
          <w:b/>
          <w:bCs/>
          <w:sz w:val="26"/>
          <w:szCs w:val="26"/>
          <w:lang w:val="en-US"/>
        </w:rPr>
        <w:t>Fig</w:t>
      </w:r>
      <w:r>
        <w:rPr>
          <w:rFonts w:hint="default" w:ascii="Times New Roman" w:hAnsi="Times New Roman" w:cs="Times New Roman"/>
          <w:sz w:val="26"/>
          <w:szCs w:val="26"/>
          <w:lang w:val="en-US"/>
        </w:rPr>
        <w:t>.</w:t>
      </w:r>
      <w:r>
        <w:rPr>
          <w:rFonts w:ascii="Times New Roman" w:hAnsi="Times New Roman" w:cs="Times New Roman"/>
          <w:sz w:val="26"/>
          <w:szCs w:val="26"/>
        </w:rPr>
        <w:t xml:space="preserve"> </w:t>
      </w:r>
      <w:r>
        <w:rPr>
          <w:rFonts w:hint="default" w:ascii="Times New Roman" w:hAnsi="Times New Roman" w:cs="Times New Roman"/>
          <w:sz w:val="26"/>
          <w:szCs w:val="26"/>
          <w:lang w:val="en-US"/>
        </w:rPr>
        <w:t>12</w:t>
      </w:r>
      <w:r>
        <w:rPr>
          <w:rFonts w:ascii="Times New Roman" w:hAnsi="Times New Roman" w:cs="Times New Roman"/>
          <w:sz w:val="26"/>
          <w:szCs w:val="26"/>
        </w:rPr>
        <w:t xml:space="preserve">), and rupturing of the uncoated species. At the end of 20 days incubation period, the uncoated samples lost 32.88 % of their initial weight, while the coated samples (at best </w:t>
      </w:r>
      <w:r>
        <w:rPr>
          <w:rFonts w:ascii="Times New Roman" w:hAnsi="Times New Roman" w:cs="Times New Roman"/>
          <w:i/>
          <w:iCs/>
          <w:sz w:val="26"/>
          <w:szCs w:val="26"/>
        </w:rPr>
        <w:t>MOCEB</w:t>
      </w:r>
      <w:r>
        <w:rPr>
          <w:rFonts w:ascii="Times New Roman" w:hAnsi="Times New Roman" w:cs="Times New Roman"/>
          <w:sz w:val="26"/>
          <w:szCs w:val="26"/>
        </w:rPr>
        <w:t xml:space="preserve"> mixing ratio) lost 12.87 wt%. The weight loss obtained in this study for uncoated tomato species is slightly higher than the value obtained by other researchers who performed tomato incubation at ambient conditions </w:t>
      </w:r>
      <w:r>
        <w:rPr>
          <w:rFonts w:ascii="Times New Roman" w:hAnsi="Times New Roman" w:cs="Times New Roman"/>
          <w:sz w:val="26"/>
          <w:szCs w:val="26"/>
        </w:rPr>
        <w:fldChar w:fldCharType="begin">
          <w:fldData xml:space="preserve">PEVuZE5vdGU+PENpdGU+PEF1dGhvcj5NYWhmb3VkaGk8L0F1dGhvcj48WWVhcj4yMDE0PC9ZZWFy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</w:fldData>
        </w:fldChar>
      </w:r>
      <w:r>
        <w:rPr>
          <w:rFonts w:ascii="Times New Roman" w:hAnsi="Times New Roman" w:cs="Times New Roman"/>
          <w:sz w:val="26"/>
          <w:szCs w:val="26"/>
        </w:rPr>
        <w:instrText xml:space="preserve"> ADDIN EN.CITE </w:instrText>
      </w:r>
      <w:r>
        <w:rPr>
          <w:rFonts w:ascii="Times New Roman" w:hAnsi="Times New Roman" w:cs="Times New Roman"/>
          <w:sz w:val="26"/>
          <w:szCs w:val="26"/>
        </w:rPr>
        <w:fldChar w:fldCharType="begin">
          <w:fldData xml:space="preserve">PEVuZE5vdGU+PENpdGU+PEF1dGhvcj5NYWhmb3VkaGk8L0F1dGhvcj48WWVhcj4yMDE0PC9ZZWFy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</w:fldData>
        </w:fldChar>
      </w:r>
      <w:r>
        <w:rPr>
          <w:rFonts w:ascii="Times New Roman" w:hAnsi="Times New Roman" w:cs="Times New Roman"/>
          <w:sz w:val="26"/>
          <w:szCs w:val="26"/>
        </w:rPr>
        <w:instrText xml:space="preserve"> ADDIN EN.CITE.DATA </w:instrText>
      </w:r>
      <w:r>
        <w:rPr>
          <w:rFonts w:ascii="Times New Roman" w:hAnsi="Times New Roman" w:cs="Times New Roman"/>
          <w:sz w:val="26"/>
          <w:szCs w:val="26"/>
        </w:rPr>
        <w:fldChar w:fldCharType="end"/>
      </w:r>
      <w:r>
        <w:rPr>
          <w:rFonts w:ascii="Times New Roman" w:hAnsi="Times New Roman" w:cs="Times New Roman"/>
          <w:sz w:val="26"/>
          <w:szCs w:val="26"/>
        </w:rPr>
        <w:fldChar w:fldCharType="separate"/>
      </w:r>
      <w:r>
        <w:rPr>
          <w:rFonts w:ascii="Times New Roman" w:hAnsi="Times New Roman" w:cs="Times New Roman"/>
          <w:sz w:val="26"/>
          <w:szCs w:val="26"/>
        </w:rPr>
        <w:t>(Mahfoudhi et al., 2014, Tarangini et al., 2022, Ruelas-Chacon et al., 2017)</w:t>
      </w:r>
      <w:r>
        <w:rPr>
          <w:rFonts w:ascii="Times New Roman" w:hAnsi="Times New Roman" w:cs="Times New Roman"/>
          <w:sz w:val="26"/>
          <w:szCs w:val="26"/>
        </w:rPr>
        <w:fldChar w:fldCharType="end"/>
      </w:r>
      <w:r>
        <w:rPr>
          <w:rFonts w:ascii="Times New Roman" w:hAnsi="Times New Roman" w:cs="Times New Roman"/>
          <w:sz w:val="26"/>
          <w:szCs w:val="26"/>
        </w:rPr>
        <w:t>. After 20 days of incubating tomato fruit</w:t>
      </w:r>
      <w:r>
        <w:rPr>
          <w:rFonts w:hint="default" w:ascii="Times New Roman" w:hAnsi="Times New Roman" w:cs="Times New Roman"/>
          <w:sz w:val="26"/>
          <w:szCs w:val="26"/>
          <w:lang w:val="en-US"/>
        </w:rPr>
        <w:t>s</w:t>
      </w:r>
      <w:r>
        <w:rPr>
          <w:rFonts w:ascii="Times New Roman" w:hAnsi="Times New Roman" w:cs="Times New Roman"/>
          <w:sz w:val="26"/>
          <w:szCs w:val="26"/>
        </w:rPr>
        <w:t xml:space="preserve">, Mahfoudhi et al., (2012), recorded 23.65 wt% loss of initial weight, while Tarangini et al., (2022), obtained 27 wt% loss. The difference between these results and our findings could be attributed to variations in physicochemical environments such as fluctuations in temperature and humidity. However, it is important to note that the performance of </w:t>
      </w:r>
      <w:r>
        <w:rPr>
          <w:rFonts w:ascii="Times New Roman" w:hAnsi="Times New Roman" w:cs="Times New Roman"/>
          <w:i/>
          <w:iCs/>
          <w:sz w:val="26"/>
          <w:szCs w:val="26"/>
        </w:rPr>
        <w:t>MOCEB</w:t>
      </w:r>
      <w:r>
        <w:rPr>
          <w:rFonts w:ascii="Times New Roman" w:hAnsi="Times New Roman" w:cs="Times New Roman"/>
          <w:sz w:val="26"/>
          <w:szCs w:val="26"/>
        </w:rPr>
        <w:t xml:space="preserve"> biofilm was superior to almond gum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&lt;EndNote&gt;&lt;Cite&gt;&lt;Author&gt;Mahfoudhi&lt;/Author&gt;&lt;Year&gt;2014&lt;/Year&gt;&lt;RecNum&gt;149&lt;/RecNum&gt;&lt;DisplayText&gt;(Mahfoudhi et al., 2014)&lt;/DisplayText&gt;&lt;record&gt;&lt;rec-number&gt;149&lt;/rec-number&gt;&lt;foreign-keys&gt;&lt;key app="EN" db-id="edvassfwttpfsqe0xsop2wwg2f05wx552500" timestamp="1700474194"&gt;149&lt;/key&gt;&lt;/foreign-keys&gt;&lt;ref-type name="Journal Article"&gt;17&lt;/ref-type&gt;&lt;contributors&gt;&lt;authors&gt;&lt;author&gt;Mahfoudhi, Nesrine&lt;/author&gt;&lt;author&gt;Chouaibi, Moncef&lt;/author&gt;&lt;author&gt;Hamdi, Salem&lt;/author&gt;&lt;/authors&gt;&lt;/contributors&gt;&lt;titles&gt;&lt;title&gt;Effectiveness of almond gum trees exudate as a novel edible coating for improving postharvest quality of tomato (Solanum lycopersicum L.) fruits&lt;/title&gt;&lt;secondary-title&gt;Food Science and Technology International&lt;/secondary-title&gt;&lt;/titles&gt;&lt;periodical&gt;&lt;full-title&gt;Food Science and Technology International&lt;/full-title&gt;&lt;/periodical&gt;&lt;pages&gt;33-43&lt;/pages&gt;&lt;volume&gt;20&lt;/volume&gt;&lt;number&gt;1&lt;/number&gt;&lt;dates&gt;&lt;year&gt;2014&lt;/year&gt;&lt;/dates&gt;&lt;isbn&gt;1082-0132&lt;/isbn&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(Mahfoudhi et al., 2014)</w:t>
      </w:r>
      <w:r>
        <w:rPr>
          <w:rFonts w:ascii="Times New Roman" w:hAnsi="Times New Roman" w:cs="Times New Roman"/>
          <w:sz w:val="26"/>
          <w:szCs w:val="26"/>
        </w:rPr>
        <w:fldChar w:fldCharType="end"/>
      </w:r>
      <w:r>
        <w:rPr>
          <w:rFonts w:ascii="Times New Roman" w:hAnsi="Times New Roman" w:cs="Times New Roman"/>
          <w:sz w:val="26"/>
          <w:szCs w:val="26"/>
        </w:rPr>
        <w:t xml:space="preserve"> and sericin complex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&lt;EndNote&gt;&lt;Cite&gt;&lt;Author&gt;Tarangini&lt;/Author&gt;&lt;Year&gt;2022&lt;/Year&gt;&lt;RecNum&gt;148&lt;/RecNum&gt;&lt;DisplayText&gt;(Tarangini et al., 2022)&lt;/DisplayText&gt;&lt;record&gt;&lt;rec-number&gt;148&lt;/rec-number&gt;&lt;foreign-keys&gt;&lt;key app="EN" db-id="edvassfwttpfsqe0xsop2wwg2f05wx552500" timestamp="1700474157"&gt;148&lt;/key&gt;&lt;/foreign-keys&gt;&lt;ref-type name="Journal Article"&gt;17&lt;/ref-type&gt;&lt;contributors&gt;&lt;authors&gt;&lt;author&gt;Tarangini, Korumilli&lt;/author&gt;&lt;author&gt;Kavi, Palepu&lt;/author&gt;&lt;author&gt;Jagajjanani Rao, Korukonda&lt;/author&gt;&lt;/authors&gt;&lt;/contributors&gt;&lt;titles&gt;&lt;title&gt;Application of sericin‐based edible coating material for postharvest shelf‐life extension and preservation of tomatoes&lt;/title&gt;&lt;secondary-title&gt;eFood&lt;/secondary-title&gt;&lt;/titles&gt;&lt;periodical&gt;&lt;full-title&gt;eFood&lt;/full-title&gt;&lt;/periodical&gt;&lt;pages&gt;e36&lt;/pages&gt;&lt;volume&gt;3&lt;/volume&gt;&lt;number&gt;5&lt;/number&gt;&lt;dates&gt;&lt;year&gt;2022&lt;/year&gt;&lt;/dates&gt;&lt;isbn&gt;2666-3066&lt;/isbn&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(Tarangini et al., 2022)</w:t>
      </w:r>
      <w:r>
        <w:rPr>
          <w:rFonts w:ascii="Times New Roman" w:hAnsi="Times New Roman" w:cs="Times New Roman"/>
          <w:sz w:val="26"/>
          <w:szCs w:val="26"/>
        </w:rPr>
        <w:fldChar w:fldCharType="end"/>
      </w:r>
      <w:r>
        <w:rPr>
          <w:rFonts w:ascii="Times New Roman" w:hAnsi="Times New Roman" w:cs="Times New Roman"/>
          <w:sz w:val="26"/>
          <w:szCs w:val="26"/>
        </w:rPr>
        <w:t xml:space="preserve"> in regulating weight loss of tomato fruit. </w:t>
      </w:r>
      <w:r>
        <w:rPr>
          <w:rFonts w:hint="default" w:ascii="Times New Roman" w:hAnsi="Times New Roman" w:cs="Times New Roman"/>
          <w:sz w:val="26"/>
          <w:szCs w:val="26"/>
          <w:lang w:val="en-US"/>
        </w:rPr>
        <w:t>Another visible consequence of uncoated exposure is the appearance of white rot on the surface of the fruit as depicted on the 10th, 15th and 20th days of sampling (</w:t>
      </w:r>
      <w:r>
        <w:rPr>
          <w:rFonts w:hint="default" w:ascii="Times New Roman" w:hAnsi="Times New Roman" w:cs="Times New Roman"/>
          <w:b/>
          <w:bCs/>
          <w:sz w:val="26"/>
          <w:szCs w:val="26"/>
          <w:lang w:val="en-US"/>
        </w:rPr>
        <w:t>Fig.</w:t>
      </w:r>
      <w:r>
        <w:rPr>
          <w:rFonts w:hint="default" w:ascii="Times New Roman" w:hAnsi="Times New Roman" w:cs="Times New Roman"/>
          <w:sz w:val="26"/>
          <w:szCs w:val="26"/>
          <w:lang w:val="en-US"/>
        </w:rPr>
        <w:t xml:space="preserve"> 12). From the obtained pictorial result, there was an intensified increment in the rot size. The initial detection on the 10th day occupied a diameter of 6.5 mm, which increased to 13.6mm and 18.53mm on the 15th and 20th days, respectively. It is interesting to note that this rot was not detected in the coated species throughout the storage period. </w:t>
      </w:r>
    </w:p>
    <w:p>
      <w:pPr>
        <w:spacing w:line="240" w:lineRule="auto"/>
        <w:jc w:val="left"/>
        <w:rPr>
          <w:rFonts w:hint="default" w:ascii="Times New Roman" w:hAnsi="Times New Roman" w:cs="Times New Roman"/>
          <w:sz w:val="26"/>
          <w:szCs w:val="26"/>
          <w:lang w:val="en-US"/>
        </w:rPr>
      </w:pPr>
      <w:r>
        <w:rPr>
          <w:rFonts w:hint="default" w:ascii="Times New Roman" w:hAnsi="Times New Roman" w:cs="Times New Roman"/>
          <w:sz w:val="26"/>
          <w:szCs w:val="26"/>
          <w:lang w:val="en-US"/>
        </w:rPr>
        <w:drawing>
          <wp:inline distT="0" distB="0" distL="114300" distR="114300">
            <wp:extent cx="5011420" cy="8378190"/>
            <wp:effectExtent l="0" t="0" r="2540" b="3810"/>
            <wp:docPr id="6" name="Picture 6" descr="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13"/>
                    <pic:cNvPicPr>
                      <a:picLocks noChangeAspect="1"/>
                    </pic:cNvPicPr>
                  </pic:nvPicPr>
                  <pic:blipFill>
                    <a:blip r:embed="rId18"/>
                    <a:stretch>
                      <a:fillRect/>
                    </a:stretch>
                  </pic:blipFill>
                  <pic:spPr>
                    <a:xfrm>
                      <a:off x="0" y="0"/>
                      <a:ext cx="5011420" cy="83781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Fig. 9. Effect of storage time on TA at (a) </w:t>
      </w:r>
      <w:r>
        <w:rPr>
          <w:rFonts w:ascii="Times New Roman" w:hAnsi="Times New Roman" w:cs="Times New Roman"/>
          <w:sz w:val="28"/>
          <w:szCs w:val="28"/>
        </w:rPr>
        <w:t>best chitosan concentration</w:t>
      </w:r>
      <w:r>
        <w:rPr>
          <w:rFonts w:hint="default" w:ascii="Times New Roman" w:hAnsi="Times New Roman" w:cs="Times New Roman"/>
          <w:sz w:val="28"/>
          <w:szCs w:val="28"/>
          <w:lang w:val="en-US"/>
        </w:rPr>
        <w:t xml:space="preserve">, (b) </w:t>
      </w:r>
      <w:r>
        <w:rPr>
          <w:rFonts w:hint="default" w:ascii="Times New Roman" w:hAnsi="Times New Roman" w:cs="Times New Roman"/>
          <w:sz w:val="28"/>
          <w:szCs w:val="28"/>
          <w:lang w:val="en-US"/>
        </w:rPr>
        <w:tab/>
      </w:r>
      <w:r>
        <w:rPr>
          <w:rFonts w:hint="default" w:ascii="Times New Roman" w:hAnsi="Times New Roman" w:cs="Times New Roman"/>
          <w:sz w:val="28"/>
          <w:szCs w:val="28"/>
          <w:lang w:val="en-US"/>
        </w:rPr>
        <w:tab/>
      </w:r>
      <w:r>
        <w:rPr>
          <w:rFonts w:ascii="Times New Roman" w:hAnsi="Times New Roman" w:cs="Times New Roman"/>
          <w:sz w:val="28"/>
          <w:szCs w:val="28"/>
        </w:rPr>
        <w:t xml:space="preserve">best </w:t>
      </w:r>
      <w:r>
        <w:rPr>
          <w:rFonts w:hint="default" w:ascii="Times New Roman" w:hAnsi="Times New Roman" w:cs="Times New Roman"/>
          <w:i/>
          <w:iCs/>
          <w:sz w:val="28"/>
          <w:szCs w:val="28"/>
          <w:lang w:val="en-US"/>
        </w:rPr>
        <w:t>MOCEB</w:t>
      </w:r>
      <w:r>
        <w:rPr>
          <w:rFonts w:hint="default" w:ascii="Times New Roman" w:hAnsi="Times New Roman" w:cs="Times New Roman"/>
          <w:sz w:val="28"/>
          <w:szCs w:val="28"/>
          <w:lang w:val="en-US"/>
        </w:rPr>
        <w:t xml:space="preserve"> mixing ratio.</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drawing>
          <wp:inline distT="0" distB="0" distL="114300" distR="114300">
            <wp:extent cx="5036185" cy="8301355"/>
            <wp:effectExtent l="0" t="0" r="8255" b="4445"/>
            <wp:docPr id="11" name="Picture 11" descr="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14"/>
                    <pic:cNvPicPr>
                      <a:picLocks noChangeAspect="1"/>
                    </pic:cNvPicPr>
                  </pic:nvPicPr>
                  <pic:blipFill>
                    <a:blip r:embed="rId19"/>
                    <a:stretch>
                      <a:fillRect/>
                    </a:stretch>
                  </pic:blipFill>
                  <pic:spPr>
                    <a:xfrm>
                      <a:off x="0" y="0"/>
                      <a:ext cx="5036185" cy="83013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6"/>
          <w:szCs w:val="26"/>
          <w:lang w:val="en-US"/>
        </w:rPr>
        <w:t xml:space="preserve">Fig. 10. Effect of storage time on weight loss rate at (a) </w:t>
      </w:r>
      <w:r>
        <w:rPr>
          <w:rFonts w:ascii="Times New Roman" w:hAnsi="Times New Roman" w:cs="Times New Roman"/>
          <w:sz w:val="28"/>
          <w:szCs w:val="28"/>
        </w:rPr>
        <w:t xml:space="preserve">best chitosan </w:t>
      </w:r>
      <w:r>
        <w:rPr>
          <w:rFonts w:hint="default" w:ascii="Times New Roman" w:hAnsi="Times New Roman" w:cs="Times New Roman"/>
          <w:sz w:val="28"/>
          <w:szCs w:val="28"/>
          <w:lang w:val="en-US"/>
        </w:rPr>
        <w:tab/>
      </w:r>
      <w:r>
        <w:rPr>
          <w:rFonts w:hint="default" w:ascii="Times New Roman" w:hAnsi="Times New Roman" w:cs="Times New Roman"/>
          <w:sz w:val="28"/>
          <w:szCs w:val="28"/>
          <w:lang w:val="en-US"/>
        </w:rPr>
        <w:tab/>
      </w:r>
      <w:r>
        <w:rPr>
          <w:rFonts w:hint="default" w:ascii="Times New Roman" w:hAnsi="Times New Roman" w:cs="Times New Roman"/>
          <w:sz w:val="28"/>
          <w:szCs w:val="28"/>
          <w:lang w:val="en-US"/>
        </w:rPr>
        <w:tab/>
      </w:r>
      <w:r>
        <w:rPr>
          <w:rFonts w:hint="default" w:ascii="Times New Roman" w:hAnsi="Times New Roman" w:cs="Times New Roman"/>
          <w:sz w:val="28"/>
          <w:szCs w:val="28"/>
          <w:lang w:val="en-US"/>
        </w:rPr>
        <w:tab/>
      </w:r>
      <w:r>
        <w:rPr>
          <w:rFonts w:ascii="Times New Roman" w:hAnsi="Times New Roman" w:cs="Times New Roman"/>
          <w:sz w:val="28"/>
          <w:szCs w:val="28"/>
        </w:rPr>
        <w:t>concentration</w:t>
      </w:r>
      <w:r>
        <w:rPr>
          <w:rFonts w:hint="default" w:ascii="Times New Roman" w:hAnsi="Times New Roman" w:cs="Times New Roman"/>
          <w:sz w:val="28"/>
          <w:szCs w:val="28"/>
          <w:lang w:val="en-US"/>
        </w:rPr>
        <w:t xml:space="preserve">, (b) </w:t>
      </w:r>
      <w:r>
        <w:rPr>
          <w:rFonts w:ascii="Times New Roman" w:hAnsi="Times New Roman" w:cs="Times New Roman"/>
          <w:sz w:val="28"/>
          <w:szCs w:val="28"/>
        </w:rPr>
        <w:t xml:space="preserve">best </w:t>
      </w:r>
      <w:r>
        <w:rPr>
          <w:rFonts w:hint="default" w:ascii="Times New Roman" w:hAnsi="Times New Roman" w:cs="Times New Roman"/>
          <w:i/>
          <w:iCs/>
          <w:sz w:val="28"/>
          <w:szCs w:val="28"/>
          <w:lang w:val="en-US"/>
        </w:rPr>
        <w:t>MOCEB</w:t>
      </w:r>
      <w:r>
        <w:rPr>
          <w:rFonts w:hint="default" w:ascii="Times New Roman" w:hAnsi="Times New Roman" w:cs="Times New Roman"/>
          <w:sz w:val="28"/>
          <w:szCs w:val="28"/>
          <w:lang w:val="en-US"/>
        </w:rPr>
        <w:t xml:space="preserve"> mixing ratio.</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8"/>
          <w:szCs w:val="28"/>
          <w:lang w:val="en-US"/>
        </w:rPr>
        <w:sectPr>
          <w:pgSz w:w="11906" w:h="16838"/>
          <w:pgMar w:top="1440" w:right="1800" w:bottom="1440" w:left="1800" w:header="720" w:footer="720" w:gutter="0"/>
          <w:lnNumType w:countBy="1" w:restart="continuous"/>
          <w:cols w:space="0" w:num="1"/>
          <w:rtlGutter w:val="0"/>
          <w:docGrid w:linePitch="360" w:charSpace="0"/>
        </w:sectPr>
      </w:pPr>
    </w:p>
    <w:p>
      <w:pPr>
        <w:spacing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drawing>
          <wp:inline distT="0" distB="0" distL="114300" distR="114300">
            <wp:extent cx="5058410" cy="8256905"/>
            <wp:effectExtent l="0" t="0" r="1270" b="3175"/>
            <wp:docPr id="5" name="Picture 5"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12"/>
                    <pic:cNvPicPr>
                      <a:picLocks noChangeAspect="1"/>
                    </pic:cNvPicPr>
                  </pic:nvPicPr>
                  <pic:blipFill>
                    <a:blip r:embed="rId20"/>
                    <a:stretch>
                      <a:fillRect/>
                    </a:stretch>
                  </pic:blipFill>
                  <pic:spPr>
                    <a:xfrm>
                      <a:off x="0" y="0"/>
                      <a:ext cx="5058410" cy="82569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cs="Times New Roman"/>
          <w:sz w:val="26"/>
          <w:szCs w:val="26"/>
          <w:lang w:val="en-US"/>
        </w:rPr>
      </w:pPr>
      <w:r>
        <w:rPr>
          <w:rFonts w:ascii="Times New Roman" w:hAnsi="Times New Roman" w:cs="Times New Roman"/>
          <w:sz w:val="28"/>
          <w:szCs w:val="28"/>
        </w:rPr>
        <w:t>Fig</w:t>
      </w:r>
      <w:r>
        <w:rPr>
          <w:rFonts w:hint="default" w:ascii="Times New Roman" w:hAnsi="Times New Roman" w:cs="Times New Roman"/>
          <w:sz w:val="28"/>
          <w:szCs w:val="28"/>
          <w:lang w:val="en-US"/>
        </w:rPr>
        <w:t>. 11.</w:t>
      </w:r>
      <w:r>
        <w:rPr>
          <w:rFonts w:ascii="Times New Roman" w:hAnsi="Times New Roman" w:cs="Times New Roman"/>
          <w:sz w:val="28"/>
          <w:szCs w:val="28"/>
        </w:rPr>
        <w:t xml:space="preserve"> Effect of storage time on weight loss at</w:t>
      </w:r>
      <w:r>
        <w:rPr>
          <w:rFonts w:hint="default" w:ascii="Times New Roman" w:hAnsi="Times New Roman" w:cs="Times New Roman"/>
          <w:sz w:val="28"/>
          <w:szCs w:val="28"/>
          <w:lang w:val="en-US"/>
        </w:rPr>
        <w:t xml:space="preserve"> (a) best chitosan conc., </w:t>
      </w:r>
      <w:r>
        <w:rPr>
          <w:rFonts w:hint="default" w:ascii="Times New Roman" w:hAnsi="Times New Roman" w:cs="Times New Roman"/>
          <w:sz w:val="28"/>
          <w:szCs w:val="28"/>
          <w:lang w:val="en-US"/>
        </w:rPr>
        <w:tab/>
      </w:r>
      <w:r>
        <w:rPr>
          <w:rFonts w:hint="default" w:ascii="Times New Roman" w:hAnsi="Times New Roman" w:cs="Times New Roman"/>
          <w:sz w:val="28"/>
          <w:szCs w:val="28"/>
          <w:lang w:val="en-US"/>
        </w:rPr>
        <w:tab/>
      </w:r>
      <w:r>
        <w:rPr>
          <w:rFonts w:hint="default" w:ascii="Times New Roman" w:hAnsi="Times New Roman" w:cs="Times New Roman"/>
          <w:sz w:val="28"/>
          <w:szCs w:val="28"/>
          <w:lang w:val="en-US"/>
        </w:rPr>
        <w:tab/>
      </w:r>
      <w:r>
        <w:rPr>
          <w:rFonts w:hint="default" w:ascii="Times New Roman" w:hAnsi="Times New Roman" w:cs="Times New Roman"/>
          <w:sz w:val="28"/>
          <w:szCs w:val="28"/>
          <w:lang w:val="en-US"/>
        </w:rPr>
        <w:t xml:space="preserve">(b) best </w:t>
      </w:r>
      <w:r>
        <w:rPr>
          <w:rFonts w:hint="default" w:ascii="Times New Roman" w:hAnsi="Times New Roman" w:cs="Times New Roman"/>
          <w:i/>
          <w:iCs/>
          <w:sz w:val="28"/>
          <w:szCs w:val="28"/>
          <w:lang w:val="en-US"/>
        </w:rPr>
        <w:t>MOCEB</w:t>
      </w:r>
      <w:r>
        <w:rPr>
          <w:rFonts w:hint="default" w:ascii="Times New Roman" w:hAnsi="Times New Roman" w:cs="Times New Roman"/>
          <w:sz w:val="28"/>
          <w:szCs w:val="28"/>
          <w:lang w:val="en-US"/>
        </w:rPr>
        <w:t xml:space="preserve"> mixing ratio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drawing>
          <wp:inline distT="0" distB="0" distL="114300" distR="114300">
            <wp:extent cx="5354320" cy="5509895"/>
            <wp:effectExtent l="0" t="0" r="10160" b="6985"/>
            <wp:docPr id="24" name="Picture 24" descr="Picture16g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16gtt"/>
                    <pic:cNvPicPr>
                      <a:picLocks noChangeAspect="1"/>
                    </pic:cNvPicPr>
                  </pic:nvPicPr>
                  <pic:blipFill>
                    <a:blip r:embed="rId21"/>
                    <a:stretch>
                      <a:fillRect/>
                    </a:stretch>
                  </pic:blipFill>
                  <pic:spPr>
                    <a:xfrm>
                      <a:off x="0" y="0"/>
                      <a:ext cx="5354320" cy="55098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541" w:afterLines="150" w:line="24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color w:val="000000" w:themeColor="text1"/>
          <w:sz w:val="26"/>
          <w:szCs w:val="26"/>
          <w:lang w:val="en-US"/>
          <w14:textFill>
            <w14:solidFill>
              <w14:schemeClr w14:val="tx1"/>
            </w14:solidFill>
          </w14:textFill>
        </w:rPr>
        <w:t>Fig.</w:t>
      </w:r>
      <w:r>
        <w:rPr>
          <w:rFonts w:ascii="Times New Roman" w:hAnsi="Times New Roman" w:cs="Times New Roman"/>
          <w:color w:val="000000" w:themeColor="text1"/>
          <w:sz w:val="26"/>
          <w:szCs w:val="26"/>
          <w14:textFill>
            <w14:solidFill>
              <w14:schemeClr w14:val="tx1"/>
            </w14:solidFill>
          </w14:textFill>
        </w:rPr>
        <w:t xml:space="preserve"> </w:t>
      </w:r>
      <w:r>
        <w:rPr>
          <w:rFonts w:hint="default" w:ascii="Times New Roman" w:hAnsi="Times New Roman" w:cs="Times New Roman"/>
          <w:color w:val="000000" w:themeColor="text1"/>
          <w:sz w:val="26"/>
          <w:szCs w:val="26"/>
          <w:lang w:val="en-US"/>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2</w:t>
      </w:r>
      <w:r>
        <w:rPr>
          <w:rFonts w:hint="default" w:ascii="Times New Roman" w:hAnsi="Times New Roman" w:cs="Times New Roman"/>
          <w:color w:val="000000" w:themeColor="text1"/>
          <w:sz w:val="26"/>
          <w:szCs w:val="26"/>
          <w:lang w:val="en-US"/>
          <w14:textFill>
            <w14:solidFill>
              <w14:schemeClr w14:val="tx1"/>
            </w14:solidFill>
          </w14:textFill>
        </w:rPr>
        <w:t>. Pictorial view</w:t>
      </w:r>
      <w:r>
        <w:rPr>
          <w:rFonts w:ascii="Times New Roman" w:hAnsi="Times New Roman" w:cs="Times New Roman"/>
          <w:color w:val="000000" w:themeColor="text1"/>
          <w:sz w:val="26"/>
          <w:szCs w:val="26"/>
          <w14:textFill>
            <w14:solidFill>
              <w14:schemeClr w14:val="tx1"/>
            </w14:solidFill>
          </w14:textFill>
        </w:rPr>
        <w:t xml:space="preserve"> of coated and uncoated tomato fruit</w:t>
      </w:r>
      <w:r>
        <w:rPr>
          <w:rFonts w:hint="default" w:ascii="Times New Roman" w:hAnsi="Times New Roman" w:cs="Times New Roman"/>
          <w:color w:val="000000" w:themeColor="text1"/>
          <w:sz w:val="26"/>
          <w:szCs w:val="26"/>
          <w:lang w:val="en-US"/>
          <w14:textFill>
            <w14:solidFill>
              <w14:schemeClr w14:val="tx1"/>
            </w14:solidFill>
          </w14:textFill>
        </w:rPr>
        <w:t xml:space="preserve">s at different </w:t>
      </w:r>
      <w:r>
        <w:rPr>
          <w:rFonts w:hint="default" w:ascii="Times New Roman" w:hAnsi="Times New Roman" w:cs="Times New Roman"/>
          <w:color w:val="000000" w:themeColor="text1"/>
          <w:sz w:val="26"/>
          <w:szCs w:val="26"/>
          <w:lang w:val="en-US"/>
          <w14:textFill>
            <w14:solidFill>
              <w14:schemeClr w14:val="tx1"/>
            </w14:solidFill>
          </w14:textFill>
        </w:rPr>
        <w:tab/>
      </w:r>
      <w:r>
        <w:rPr>
          <w:rFonts w:hint="default" w:ascii="Times New Roman" w:hAnsi="Times New Roman" w:cs="Times New Roman"/>
          <w:color w:val="000000" w:themeColor="text1"/>
          <w:sz w:val="26"/>
          <w:szCs w:val="26"/>
          <w:lang w:val="en-US"/>
          <w14:textFill>
            <w14:solidFill>
              <w14:schemeClr w14:val="tx1"/>
            </w14:solidFill>
          </w14:textFill>
        </w:rPr>
        <w:tab/>
      </w:r>
      <w:r>
        <w:rPr>
          <w:rFonts w:hint="default" w:ascii="Times New Roman" w:hAnsi="Times New Roman" w:cs="Times New Roman"/>
          <w:color w:val="000000" w:themeColor="text1"/>
          <w:sz w:val="26"/>
          <w:szCs w:val="26"/>
          <w:lang w:val="en-US"/>
          <w14:textFill>
            <w14:solidFill>
              <w14:schemeClr w14:val="tx1"/>
            </w14:solidFill>
          </w14:textFill>
        </w:rPr>
        <w:tab/>
      </w:r>
      <w:r>
        <w:rPr>
          <w:rFonts w:hint="default" w:ascii="Times New Roman" w:hAnsi="Times New Roman" w:cs="Times New Roman"/>
          <w:color w:val="000000" w:themeColor="text1"/>
          <w:sz w:val="26"/>
          <w:szCs w:val="26"/>
          <w:lang w:val="en-US"/>
          <w14:textFill>
            <w14:solidFill>
              <w14:schemeClr w14:val="tx1"/>
            </w14:solidFill>
          </w14:textFill>
        </w:rPr>
        <w:tab/>
      </w:r>
      <w:r>
        <w:rPr>
          <w:rFonts w:hint="default" w:ascii="Times New Roman" w:hAnsi="Times New Roman" w:cs="Times New Roman"/>
          <w:color w:val="000000" w:themeColor="text1"/>
          <w:sz w:val="26"/>
          <w:szCs w:val="26"/>
          <w:lang w:val="en-US"/>
          <w14:textFill>
            <w14:solidFill>
              <w14:schemeClr w14:val="tx1"/>
            </w14:solidFill>
          </w14:textFill>
        </w:rPr>
        <w:tab/>
      </w:r>
      <w:r>
        <w:rPr>
          <w:rFonts w:hint="default" w:ascii="Times New Roman" w:hAnsi="Times New Roman" w:cs="Times New Roman"/>
          <w:color w:val="000000" w:themeColor="text1"/>
          <w:sz w:val="26"/>
          <w:szCs w:val="26"/>
          <w:lang w:val="en-US"/>
          <w14:textFill>
            <w14:solidFill>
              <w14:schemeClr w14:val="tx1"/>
            </w14:solidFill>
          </w14:textFill>
        </w:rPr>
        <w:t xml:space="preserve">incubation times. </w:t>
      </w:r>
      <w:r>
        <w:rPr>
          <w:rFonts w:hint="default" w:ascii="Times New Roman" w:hAnsi="Times New Roman" w:cs="Times New Roman"/>
          <w:color w:val="000000" w:themeColor="text1"/>
          <w:sz w:val="28"/>
          <w:szCs w:val="28"/>
          <w:lang w:val="en-US"/>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3.3 Physicochemical kinetics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kinetic studies of the physicochemical properties were explored using the two most suitable models (zero and first order models) applied in </w:t>
      </w:r>
      <w:r>
        <w:rPr>
          <w:rFonts w:ascii="Times New Roman" w:hAnsi="Times New Roman" w:cs="Times New Roman"/>
          <w:sz w:val="26"/>
          <w:szCs w:val="26"/>
          <w:lang w:val="en-US"/>
        </w:rPr>
        <w:t>bio-preservation</w:t>
      </w:r>
      <w:r>
        <w:rPr>
          <w:rFonts w:ascii="Times New Roman" w:hAnsi="Times New Roman" w:cs="Times New Roman"/>
          <w:sz w:val="26"/>
          <w:szCs w:val="26"/>
        </w:rPr>
        <w:t xml:space="preserve"> of fruits and vegetables </w:t>
      </w:r>
      <w:r>
        <w:rPr>
          <w:rFonts w:ascii="Times New Roman" w:hAnsi="Times New Roman" w:cs="Times New Roman"/>
          <w:sz w:val="26"/>
          <w:szCs w:val="26"/>
        </w:rPr>
        <w:fldChar w:fldCharType="begin">
          <w:fldData xml:space="preserve">PEVuZE5vdGU+PENpdGU+PEF1dGhvcj5Ib3NzZWluaWZhcmFoaTwvQXV0aG9yPjxZZWFyPjIwMjA8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</w:fldData>
        </w:fldChar>
      </w:r>
      <w:r>
        <w:rPr>
          <w:rFonts w:ascii="Times New Roman" w:hAnsi="Times New Roman" w:cs="Times New Roman"/>
          <w:sz w:val="26"/>
          <w:szCs w:val="26"/>
        </w:rPr>
        <w:instrText xml:space="preserve"> ADDIN EN.CITE </w:instrText>
      </w:r>
      <w:r>
        <w:rPr>
          <w:rFonts w:ascii="Times New Roman" w:hAnsi="Times New Roman" w:cs="Times New Roman"/>
          <w:sz w:val="26"/>
          <w:szCs w:val="26"/>
        </w:rPr>
        <w:fldChar w:fldCharType="begin">
          <w:fldData xml:space="preserve">PEVuZE5vdGU+PENpdGU+PEF1dGhvcj5Ib3NzZWluaWZhcmFoaTwvQXV0aG9yPjxZZWFyPjIwMjA8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</w:fldData>
        </w:fldChar>
      </w:r>
      <w:r>
        <w:rPr>
          <w:rFonts w:ascii="Times New Roman" w:hAnsi="Times New Roman" w:cs="Times New Roman"/>
          <w:sz w:val="26"/>
          <w:szCs w:val="26"/>
        </w:rPr>
        <w:instrText xml:space="preserve"> ADDIN EN.CITE.DATA </w:instrText>
      </w:r>
      <w:r>
        <w:rPr>
          <w:rFonts w:ascii="Times New Roman" w:hAnsi="Times New Roman" w:cs="Times New Roman"/>
          <w:sz w:val="26"/>
          <w:szCs w:val="26"/>
        </w:rPr>
        <w:fldChar w:fldCharType="end"/>
      </w:r>
      <w:r>
        <w:rPr>
          <w:rFonts w:ascii="Times New Roman" w:hAnsi="Times New Roman" w:cs="Times New Roman"/>
          <w:sz w:val="26"/>
          <w:szCs w:val="26"/>
        </w:rPr>
        <w:fldChar w:fldCharType="separate"/>
      </w:r>
      <w:r>
        <w:rPr>
          <w:rFonts w:ascii="Times New Roman" w:hAnsi="Times New Roman" w:cs="Times New Roman"/>
          <w:sz w:val="26"/>
          <w:szCs w:val="26"/>
        </w:rPr>
        <w:t>(Hosseinifarahi et al., 2020, Maringgal et al., 2020, Mai and Pathare, 2021)</w:t>
      </w:r>
      <w:r>
        <w:rPr>
          <w:rFonts w:ascii="Times New Roman" w:hAnsi="Times New Roman" w:cs="Times New Roman"/>
          <w:sz w:val="26"/>
          <w:szCs w:val="26"/>
        </w:rPr>
        <w:fldChar w:fldCharType="end"/>
      </w:r>
      <w:r>
        <w:rPr>
          <w:rFonts w:ascii="Times New Roman" w:hAnsi="Times New Roman" w:cs="Times New Roman"/>
          <w:sz w:val="26"/>
          <w:szCs w:val="26"/>
        </w:rPr>
        <w:t>. T</w:t>
      </w:r>
      <w:r>
        <w:rPr>
          <w:rFonts w:ascii="Times New Roman" w:hAnsi="Times New Roman" w:cs="Times New Roman"/>
          <w:sz w:val="26"/>
          <w:szCs w:val="26"/>
          <w:highlight w:val="none"/>
        </w:rPr>
        <w:t>he data extracted from plotting the physicochemical kinetic models (</w:t>
      </w:r>
      <w:r>
        <w:rPr>
          <w:rFonts w:hint="default" w:ascii="Times New Roman" w:hAnsi="Times New Roman" w:cs="Times New Roman"/>
          <w:sz w:val="26"/>
          <w:szCs w:val="26"/>
          <w:highlight w:val="none"/>
          <w:lang w:val="en-US"/>
        </w:rPr>
        <w:t>Eqs. (4)</w:t>
      </w:r>
      <w:r>
        <w:rPr>
          <w:rFonts w:ascii="Times New Roman" w:hAnsi="Times New Roman" w:cs="Times New Roman"/>
          <w:sz w:val="26"/>
          <w:szCs w:val="26"/>
          <w:highlight w:val="none"/>
        </w:rPr>
        <w:t xml:space="preserve"> </w:t>
      </w:r>
      <w:r>
        <w:rPr>
          <w:rFonts w:hint="default" w:ascii="Times New Roman" w:hAnsi="Times New Roman" w:cs="Times New Roman"/>
          <w:sz w:val="26"/>
          <w:szCs w:val="26"/>
          <w:highlight w:val="none"/>
          <w:lang w:val="en-US"/>
        </w:rPr>
        <w:t>- (6)</w:t>
      </w:r>
      <w:r>
        <w:rPr>
          <w:rFonts w:ascii="Times New Roman" w:hAnsi="Times New Roman" w:cs="Times New Roman"/>
          <w:sz w:val="26"/>
          <w:szCs w:val="26"/>
          <w:highlight w:val="none"/>
        </w:rPr>
        <w:t>) for</w:t>
      </w:r>
      <w:r>
        <w:rPr>
          <w:rFonts w:ascii="Times New Roman" w:hAnsi="Times New Roman" w:cs="Times New Roman"/>
          <w:sz w:val="26"/>
          <w:szCs w:val="26"/>
        </w:rPr>
        <w:t xml:space="preserve"> titratable acidity (Fig. </w:t>
      </w:r>
      <w:r>
        <w:rPr>
          <w:rFonts w:hint="default" w:ascii="Times New Roman" w:hAnsi="Times New Roman" w:cs="Times New Roman"/>
          <w:sz w:val="26"/>
          <w:szCs w:val="26"/>
          <w:lang w:val="en-US"/>
        </w:rPr>
        <w:t>13</w:t>
      </w:r>
      <w:r>
        <w:rPr>
          <w:rFonts w:ascii="Times New Roman" w:hAnsi="Times New Roman" w:cs="Times New Roman"/>
          <w:sz w:val="26"/>
          <w:szCs w:val="26"/>
        </w:rPr>
        <w:t xml:space="preserve"> </w:t>
      </w:r>
      <w:r>
        <w:rPr>
          <w:rFonts w:hint="default" w:ascii="Times New Roman" w:hAnsi="Times New Roman" w:cs="Times New Roman"/>
          <w:sz w:val="26"/>
          <w:szCs w:val="26"/>
          <w:lang w:val="en-US"/>
        </w:rPr>
        <w:t xml:space="preserve">(a) </w:t>
      </w:r>
      <w:r>
        <w:rPr>
          <w:rFonts w:ascii="Times New Roman" w:hAnsi="Times New Roman" w:cs="Times New Roman"/>
          <w:sz w:val="26"/>
          <w:szCs w:val="26"/>
        </w:rPr>
        <w:t xml:space="preserve">and </w:t>
      </w:r>
      <w:r>
        <w:rPr>
          <w:rFonts w:hint="default" w:ascii="Times New Roman" w:hAnsi="Times New Roman" w:cs="Times New Roman"/>
          <w:sz w:val="26"/>
          <w:szCs w:val="26"/>
          <w:lang w:val="en-US"/>
        </w:rPr>
        <w:t>14 (a)</w:t>
      </w:r>
      <w:r>
        <w:rPr>
          <w:rFonts w:ascii="Times New Roman" w:hAnsi="Times New Roman" w:cs="Times New Roman"/>
          <w:sz w:val="26"/>
          <w:szCs w:val="26"/>
        </w:rPr>
        <w:t>) and weight loss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13 (b)</w:t>
      </w:r>
      <w:r>
        <w:rPr>
          <w:rFonts w:ascii="Times New Roman" w:hAnsi="Times New Roman" w:cs="Times New Roman"/>
          <w:sz w:val="26"/>
          <w:szCs w:val="26"/>
        </w:rPr>
        <w:t xml:space="preserve"> and </w:t>
      </w:r>
      <w:r>
        <w:rPr>
          <w:rFonts w:hint="default" w:ascii="Times New Roman" w:hAnsi="Times New Roman" w:cs="Times New Roman"/>
          <w:sz w:val="26"/>
          <w:szCs w:val="26"/>
          <w:lang w:val="en-US"/>
        </w:rPr>
        <w:t>14 (b)</w:t>
      </w:r>
      <w:r>
        <w:rPr>
          <w:rFonts w:ascii="Times New Roman" w:hAnsi="Times New Roman" w:cs="Times New Roman"/>
          <w:sz w:val="26"/>
          <w:szCs w:val="26"/>
        </w:rPr>
        <w:t xml:space="preserve">) were tabulated in </w:t>
      </w:r>
      <w:r>
        <w:rPr>
          <w:rFonts w:ascii="Times New Roman" w:hAnsi="Times New Roman" w:cs="Times New Roman"/>
          <w:b/>
          <w:bCs/>
          <w:sz w:val="26"/>
          <w:szCs w:val="26"/>
        </w:rPr>
        <w:t>Tables</w:t>
      </w:r>
      <w:r>
        <w:rPr>
          <w:rFonts w:ascii="Times New Roman" w:hAnsi="Times New Roman" w:cs="Times New Roman"/>
          <w:sz w:val="26"/>
          <w:szCs w:val="26"/>
        </w:rPr>
        <w:t xml:space="preserve"> </w:t>
      </w:r>
      <w:r>
        <w:rPr>
          <w:rFonts w:hint="default" w:ascii="Times New Roman" w:hAnsi="Times New Roman" w:cs="Times New Roman"/>
          <w:sz w:val="26"/>
          <w:szCs w:val="26"/>
          <w:lang w:val="en-US"/>
        </w:rPr>
        <w:t>3</w:t>
      </w:r>
      <w:r>
        <w:rPr>
          <w:rFonts w:ascii="Times New Roman" w:hAnsi="Times New Roman" w:cs="Times New Roman"/>
          <w:sz w:val="26"/>
          <w:szCs w:val="26"/>
        </w:rPr>
        <w:t xml:space="preserve"> - </w:t>
      </w:r>
      <w:r>
        <w:rPr>
          <w:rFonts w:hint="default" w:ascii="Times New Roman" w:hAnsi="Times New Roman" w:cs="Times New Roman"/>
          <w:sz w:val="26"/>
          <w:szCs w:val="26"/>
          <w:lang w:val="en-US"/>
        </w:rPr>
        <w:t>4</w:t>
      </w:r>
      <w:r>
        <w:rPr>
          <w:rFonts w:ascii="Times New Roman" w:hAnsi="Times New Roman" w:cs="Times New Roman"/>
          <w:sz w:val="26"/>
          <w:szCs w:val="26"/>
        </w:rPr>
        <w:t>. For titratable acidity (TA) and weight loss parameters, the kinetic rate constants K (day</w:t>
      </w:r>
      <w:r>
        <w:rPr>
          <w:rFonts w:ascii="Times New Roman" w:hAnsi="Times New Roman" w:cs="Times New Roman"/>
          <w:sz w:val="26"/>
          <w:szCs w:val="26"/>
          <w:vertAlign w:val="superscript"/>
        </w:rPr>
        <w:t>-1</w:t>
      </w:r>
      <w:r>
        <w:rPr>
          <w:rFonts w:ascii="Times New Roman" w:hAnsi="Times New Roman" w:cs="Times New Roman"/>
          <w:sz w:val="26"/>
          <w:szCs w:val="26"/>
        </w:rPr>
        <w:t xml:space="preserve">) for zero </w:t>
      </w:r>
      <w:r>
        <w:rPr>
          <w:rFonts w:ascii="Times New Roman" w:hAnsi="Times New Roman" w:cs="Times New Roman"/>
          <w:color w:val="000000" w:themeColor="text1"/>
          <w:sz w:val="26"/>
          <w:szCs w:val="26"/>
          <w14:textFill>
            <w14:solidFill>
              <w14:schemeClr w14:val="tx1"/>
            </w14:solidFill>
          </w14:textFill>
        </w:rPr>
        <w:t>order model w</w:t>
      </w:r>
      <w:r>
        <w:rPr>
          <w:rFonts w:hint="default" w:ascii="Times New Roman" w:hAnsi="Times New Roman" w:cs="Times New Roman"/>
          <w:color w:val="000000" w:themeColor="text1"/>
          <w:sz w:val="26"/>
          <w:szCs w:val="26"/>
          <w:lang w:val="en-US"/>
          <w14:textFill>
            <w14:solidFill>
              <w14:schemeClr w14:val="tx1"/>
            </w14:solidFill>
          </w14:textFill>
        </w:rPr>
        <w:t>ere</w:t>
      </w:r>
      <w:r>
        <w:rPr>
          <w:rFonts w:ascii="Times New Roman" w:hAnsi="Times New Roman" w:cs="Times New Roman"/>
          <w:color w:val="000000" w:themeColor="text1"/>
          <w:sz w:val="26"/>
          <w:szCs w:val="26"/>
          <w14:textFill>
            <w14:solidFill>
              <w14:schemeClr w14:val="tx1"/>
            </w14:solidFill>
          </w14:textFill>
        </w:rPr>
        <w:t xml:space="preserve"> higher than the K values obtained for the first order model. An overview of the kinetic parameters reveal</w:t>
      </w:r>
      <w:r>
        <w:rPr>
          <w:rFonts w:hint="default" w:ascii="Times New Roman" w:hAnsi="Times New Roman" w:cs="Times New Roman"/>
          <w:color w:val="000000" w:themeColor="text1"/>
          <w:sz w:val="26"/>
          <w:szCs w:val="26"/>
          <w:lang w:val="en-US"/>
          <w14:textFill>
            <w14:solidFill>
              <w14:schemeClr w14:val="tx1"/>
            </w14:solidFill>
          </w14:textFill>
        </w:rPr>
        <w:t>ed</w:t>
      </w:r>
      <w:r>
        <w:rPr>
          <w:rFonts w:ascii="Times New Roman" w:hAnsi="Times New Roman" w:cs="Times New Roman"/>
          <w:color w:val="000000" w:themeColor="text1"/>
          <w:sz w:val="26"/>
          <w:szCs w:val="26"/>
          <w14:textFill>
            <w14:solidFill>
              <w14:schemeClr w14:val="tx1"/>
            </w14:solidFill>
          </w14:textFill>
        </w:rPr>
        <w:t xml:space="preserve"> that the kinetic rate constant for the uncoated spec</w:t>
      </w:r>
      <w:r>
        <w:rPr>
          <w:rFonts w:ascii="Times New Roman" w:hAnsi="Times New Roman" w:cs="Times New Roman"/>
          <w:sz w:val="26"/>
          <w:szCs w:val="26"/>
        </w:rPr>
        <w:t>ies obtained for zero order, nonlinear and linear first order models were 0.2237, 0.1439, and 0.1905 day</w:t>
      </w:r>
      <w:r>
        <w:rPr>
          <w:rFonts w:ascii="Times New Roman" w:hAnsi="Times New Roman" w:cs="Times New Roman"/>
          <w:sz w:val="26"/>
          <w:szCs w:val="26"/>
          <w:vertAlign w:val="superscript"/>
        </w:rPr>
        <w:t>-1</w:t>
      </w:r>
      <w:r>
        <w:rPr>
          <w:rFonts w:ascii="Times New Roman" w:hAnsi="Times New Roman" w:cs="Times New Roman"/>
          <w:sz w:val="26"/>
          <w:szCs w:val="26"/>
        </w:rPr>
        <w:t xml:space="preserve">, respectively. Many researchers have reported similar results of decreasing kinetic rate constant of fruits and vegetables preserved under ambient conditions </w:t>
      </w:r>
      <w:r>
        <w:rPr>
          <w:rFonts w:ascii="Times New Roman" w:hAnsi="Times New Roman" w:cs="Times New Roman"/>
          <w:sz w:val="26"/>
          <w:szCs w:val="26"/>
        </w:rPr>
        <w:fldChar w:fldCharType="begin">
          <w:fldData xml:space="preserve">PEVuZE5vdGU+PENpdGU+PEF1dGhvcj5EZXZpPC9BdXRob3I+PFllYXI+MjAxNzwvWWVhcj48UmVj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==
</w:fldData>
        </w:fldChar>
      </w:r>
      <w:r>
        <w:rPr>
          <w:rFonts w:ascii="Times New Roman" w:hAnsi="Times New Roman" w:cs="Times New Roman"/>
          <w:sz w:val="26"/>
          <w:szCs w:val="26"/>
        </w:rPr>
        <w:instrText xml:space="preserve"> ADDIN EN.CITE </w:instrText>
      </w:r>
      <w:r>
        <w:rPr>
          <w:rFonts w:ascii="Times New Roman" w:hAnsi="Times New Roman" w:cs="Times New Roman"/>
          <w:sz w:val="26"/>
          <w:szCs w:val="26"/>
        </w:rPr>
        <w:fldChar w:fldCharType="begin">
          <w:fldData xml:space="preserve">PEVuZE5vdGU+PENpdGU+PEF1dGhvcj5EZXZpPC9BdXRob3I+PFllYXI+MjAxNzwvWWVhcj48UmVj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==
</w:fldData>
        </w:fldChar>
      </w:r>
      <w:r>
        <w:rPr>
          <w:rFonts w:ascii="Times New Roman" w:hAnsi="Times New Roman" w:cs="Times New Roman"/>
          <w:sz w:val="26"/>
          <w:szCs w:val="26"/>
        </w:rPr>
        <w:instrText xml:space="preserve"> ADDIN EN.CITE.DATA </w:instrText>
      </w:r>
      <w:r>
        <w:rPr>
          <w:rFonts w:ascii="Times New Roman" w:hAnsi="Times New Roman" w:cs="Times New Roman"/>
          <w:sz w:val="26"/>
          <w:szCs w:val="26"/>
        </w:rPr>
        <w:fldChar w:fldCharType="end"/>
      </w:r>
      <w:r>
        <w:rPr>
          <w:rFonts w:ascii="Times New Roman" w:hAnsi="Times New Roman" w:cs="Times New Roman"/>
          <w:sz w:val="26"/>
          <w:szCs w:val="26"/>
        </w:rPr>
        <w:fldChar w:fldCharType="separate"/>
      </w:r>
      <w:r>
        <w:rPr>
          <w:rFonts w:ascii="Times New Roman" w:hAnsi="Times New Roman" w:cs="Times New Roman"/>
          <w:sz w:val="26"/>
          <w:szCs w:val="26"/>
        </w:rPr>
        <w:t>(Devi and Das, 2017, Mai and Pathare, 2021, Al‐Juhaimi, 2014)</w:t>
      </w:r>
      <w:r>
        <w:rPr>
          <w:rFonts w:ascii="Times New Roman" w:hAnsi="Times New Roman" w:cs="Times New Roman"/>
          <w:sz w:val="26"/>
          <w:szCs w:val="26"/>
        </w:rPr>
        <w:fldChar w:fldCharType="end"/>
      </w:r>
      <w:r>
        <w:rPr>
          <w:rFonts w:ascii="Times New Roman" w:hAnsi="Times New Roman" w:cs="Times New Roman"/>
          <w:sz w:val="26"/>
          <w:szCs w:val="26"/>
        </w:rPr>
        <w:t>. Th</w:t>
      </w:r>
      <w:r>
        <w:rPr>
          <w:rFonts w:ascii="Times New Roman" w:hAnsi="Times New Roman" w:cs="Times New Roman"/>
          <w:sz w:val="26"/>
          <w:szCs w:val="26"/>
          <w:lang w:val="en-GB"/>
        </w:rPr>
        <w:t>e</w:t>
      </w:r>
      <w:r>
        <w:rPr>
          <w:rFonts w:ascii="Times New Roman" w:hAnsi="Times New Roman" w:cs="Times New Roman"/>
          <w:sz w:val="26"/>
          <w:szCs w:val="26"/>
        </w:rPr>
        <w:t xml:space="preserve"> reason for the disparity in the values of rate constant was obviously due to the peculiar nature and assumptions associated with each model (Mai and Pathare, 2021, Al‐Juhaimi, 2014). </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ascii="Times New Roman" w:hAnsi="Times New Roman" w:cs="Times New Roman"/>
          <w:sz w:val="26"/>
          <w:szCs w:val="26"/>
        </w:rPr>
      </w:pPr>
      <w:r>
        <w:rPr>
          <w:rFonts w:ascii="Times New Roman" w:hAnsi="Times New Roman" w:cs="Times New Roman"/>
          <w:sz w:val="26"/>
          <w:szCs w:val="26"/>
        </w:rPr>
        <w:t xml:space="preserve">Although both kinetic models satisfactorily described the physicochemical dynamics of the </w:t>
      </w:r>
      <w:r>
        <w:rPr>
          <w:rFonts w:ascii="Times New Roman" w:hAnsi="Times New Roman" w:cs="Times New Roman"/>
          <w:sz w:val="26"/>
          <w:szCs w:val="26"/>
          <w:lang w:val="en-US"/>
        </w:rPr>
        <w:t>bio-preservation</w:t>
      </w:r>
      <w:r>
        <w:rPr>
          <w:rFonts w:ascii="Times New Roman" w:hAnsi="Times New Roman" w:cs="Times New Roman"/>
          <w:sz w:val="26"/>
          <w:szCs w:val="26"/>
        </w:rPr>
        <w:t xml:space="preserve"> process (R</w:t>
      </w:r>
      <w:r>
        <w:rPr>
          <w:rFonts w:ascii="Times New Roman" w:hAnsi="Times New Roman" w:cs="Times New Roman"/>
          <w:sz w:val="26"/>
          <w:szCs w:val="26"/>
          <w:vertAlign w:val="superscript"/>
        </w:rPr>
        <w:t>2</w:t>
      </w:r>
      <w:r>
        <w:rPr>
          <w:rFonts w:ascii="Times New Roman" w:hAnsi="Times New Roman" w:cs="Times New Roman"/>
          <w:sz w:val="26"/>
          <w:szCs w:val="26"/>
        </w:rPr>
        <w:t xml:space="preserve"> &gt; 0.8800), it is important to note zero order model was superior in fitting the TA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13 (a)</w:t>
      </w:r>
      <w:r>
        <w:rPr>
          <w:rFonts w:ascii="Times New Roman" w:hAnsi="Times New Roman" w:cs="Times New Roman"/>
          <w:sz w:val="26"/>
          <w:szCs w:val="26"/>
        </w:rPr>
        <w:t>) and weight loss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13 (b)</w:t>
      </w:r>
      <w:r>
        <w:rPr>
          <w:rFonts w:ascii="Times New Roman" w:hAnsi="Times New Roman" w:cs="Times New Roman"/>
          <w:sz w:val="26"/>
          <w:szCs w:val="26"/>
        </w:rPr>
        <w:t>) data under best chitosan concentration. This implies that under optimum chitosan concentration, an independent relationship exists between eac</w:t>
      </w:r>
      <w:r>
        <w:rPr>
          <w:rFonts w:hint="default" w:ascii="Times New Roman" w:hAnsi="Times New Roman" w:cs="Times New Roman"/>
          <w:sz w:val="26"/>
          <w:szCs w:val="26"/>
          <w:lang w:val="en-US"/>
        </w:rPr>
        <w:t>h</w:t>
      </w:r>
      <w:r>
        <w:rPr>
          <w:rFonts w:ascii="Times New Roman" w:hAnsi="Times New Roman" w:cs="Times New Roman"/>
          <w:sz w:val="26"/>
          <w:szCs w:val="26"/>
        </w:rPr>
        <w:t xml:space="preserve"> physicochemical quality parameters (TA and weight loss) and rate constant (K). However, the first order model was more suitable in describing the kinetics of titratable acidity and weight loss at optimum condition of </w:t>
      </w:r>
      <w:r>
        <w:rPr>
          <w:rFonts w:ascii="Times New Roman" w:hAnsi="Times New Roman" w:cs="Times New Roman"/>
          <w:i/>
          <w:iCs/>
          <w:sz w:val="26"/>
          <w:szCs w:val="26"/>
        </w:rPr>
        <w:t>MOCEB</w:t>
      </w:r>
      <w:r>
        <w:rPr>
          <w:rFonts w:ascii="Times New Roman" w:hAnsi="Times New Roman" w:cs="Times New Roman"/>
          <w:sz w:val="26"/>
          <w:szCs w:val="26"/>
        </w:rPr>
        <w:t xml:space="preserve"> mixing ratio. This was illustrated by the low values of SSE (weight loss rate = 0.003602; TA= 0.03262) and RMSE (weight loss rate = 0.01415; TA= 0.04257) deviation parameters tabulated in </w:t>
      </w:r>
      <w:r>
        <w:rPr>
          <w:rFonts w:ascii="Times New Roman" w:hAnsi="Times New Roman" w:cs="Times New Roman"/>
          <w:b/>
          <w:bCs/>
          <w:sz w:val="26"/>
          <w:szCs w:val="26"/>
        </w:rPr>
        <w:t>Table</w:t>
      </w:r>
      <w:r>
        <w:rPr>
          <w:rFonts w:ascii="Times New Roman" w:hAnsi="Times New Roman" w:cs="Times New Roman"/>
          <w:sz w:val="26"/>
          <w:szCs w:val="26"/>
        </w:rPr>
        <w:t xml:space="preserve"> </w:t>
      </w:r>
      <w:r>
        <w:rPr>
          <w:rFonts w:hint="default" w:ascii="Times New Roman" w:hAnsi="Times New Roman" w:cs="Times New Roman"/>
          <w:sz w:val="26"/>
          <w:szCs w:val="26"/>
          <w:lang w:val="en-US"/>
        </w:rPr>
        <w:t>4</w:t>
      </w:r>
      <w:r>
        <w:rPr>
          <w:rFonts w:ascii="Times New Roman" w:hAnsi="Times New Roman" w:cs="Times New Roman"/>
          <w:sz w:val="26"/>
          <w:szCs w:val="26"/>
        </w:rPr>
        <w:t>, and comparable values between the predicted and observed process parameters (</w:t>
      </w:r>
      <w:r>
        <w:rPr>
          <w:rFonts w:ascii="Times New Roman" w:hAnsi="Times New Roman" w:cs="Times New Roman"/>
          <w:sz w:val="24"/>
          <w:szCs w:val="24"/>
          <w:lang w:val="en-GB"/>
        </w:rPr>
        <w:t>Co</w:t>
      </w:r>
      <w:r>
        <w:rPr>
          <w:rFonts w:ascii="Times New Roman" w:hAnsi="Times New Roman" w:cs="Times New Roman"/>
          <w:sz w:val="26"/>
          <w:szCs w:val="26"/>
        </w:rPr>
        <w:t xml:space="preserve">). This suggests that at best mixing ratio, the dynamic changes of the investigated quality parameters (TA and weight loss) is dependent on the reaction rate constant (K). Furthermore, these observations indicates that enzymatic </w:t>
      </w:r>
      <w:r>
        <w:rPr>
          <w:rFonts w:ascii="Times New Roman" w:hAnsi="Times New Roman" w:cs="Times New Roman"/>
          <w:sz w:val="26"/>
          <w:szCs w:val="26"/>
          <w:lang w:val="en-GB"/>
        </w:rPr>
        <w:t>degradation</w:t>
      </w:r>
      <w:r>
        <w:rPr>
          <w:rFonts w:ascii="Times New Roman" w:hAnsi="Times New Roman" w:cs="Times New Roman"/>
          <w:sz w:val="26"/>
          <w:szCs w:val="26"/>
        </w:rPr>
        <w:t xml:space="preserve"> took place at the best chitosan concentration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&lt;EndNote&gt;&lt;Cite&gt;&lt;Author&gt;Gallagher&lt;/Author&gt;&lt;Year&gt;2011&lt;/Year&gt;&lt;RecNum&gt;164&lt;/RecNum&gt;&lt;DisplayText&gt;(Gallagher et al., 2011)&lt;/DisplayText&gt;&lt;record&gt;&lt;rec-number&gt;164&lt;/rec-number&gt;&lt;foreign-keys&gt;&lt;key app="EN" db-id="edvassfwttpfsqe0xsop2wwg2f05wx552500" timestamp="1701678100"&gt;164&lt;/key&gt;&lt;/foreign-keys&gt;&lt;ref-type name="Book Section"&gt;5&lt;/ref-type&gt;&lt;contributors&gt;&lt;authors&gt;&lt;author&gt;Gallagher, MJ Sousa&lt;/author&gt;&lt;author&gt;Mahajan, PV&lt;/author&gt;&lt;author&gt;Yan, Z&lt;/author&gt;&lt;/authors&gt;&lt;/contributors&gt;&lt;titles&gt;&lt;title&gt;Modelling chemical and physical deterioration of foods and beverages&lt;/title&gt;&lt;secondary-title&gt;Food and beverage stability and shelf life&lt;/secondary-title&gt;&lt;/titles&gt;&lt;pages&gt;459-481&lt;/pages&gt;&lt;dates&gt;&lt;year&gt;2011&lt;/year&gt;&lt;/dates&gt;&lt;publisher&gt;Elsevier&lt;/publisher&gt;&lt;urls&gt;&lt;/urls&gt;&lt;/record&gt;&lt;/Cite&gt;&lt;/EndNote&gt;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(Gallagher et al., 2011)</w:t>
      </w:r>
      <w:r>
        <w:rPr>
          <w:rFonts w:ascii="Times New Roman" w:hAnsi="Times New Roman" w:cs="Times New Roman"/>
          <w:sz w:val="26"/>
          <w:szCs w:val="26"/>
        </w:rPr>
        <w:fldChar w:fldCharType="end"/>
      </w:r>
      <w:r>
        <w:rPr>
          <w:rFonts w:ascii="Times New Roman" w:hAnsi="Times New Roman" w:cs="Times New Roman"/>
          <w:sz w:val="26"/>
          <w:szCs w:val="26"/>
          <w:lang w:val="en-GB"/>
        </w:rPr>
        <w:t xml:space="preserve">, while oxidation induced lycopene degradation was prevalent at best MOCEB concentration </w:t>
      </w:r>
      <w:r>
        <w:rPr>
          <w:rFonts w:ascii="Times New Roman" w:hAnsi="Times New Roman" w:cs="Times New Roman"/>
          <w:sz w:val="26"/>
          <w:szCs w:val="26"/>
          <w:lang w:val="en-GB"/>
        </w:rPr>
        <w:fldChar w:fldCharType="begin">
          <w:fldData xml:space="preserve">PEVuZE5vdGU+PENpdGU+PEF1dGhvcj5TS1JFREU8L0F1dGhvcj48WWVhcj4xOTg1PC9ZZWFyPjxS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</w:fldData>
        </w:fldChar>
      </w:r>
      <w:r>
        <w:rPr>
          <w:rFonts w:ascii="Times New Roman" w:hAnsi="Times New Roman" w:cs="Times New Roman"/>
          <w:sz w:val="26"/>
          <w:szCs w:val="26"/>
        </w:rPr>
        <w:instrText xml:space="preserve"> ADDIN EN.CITE </w:instrText>
      </w:r>
      <w:r>
        <w:rPr>
          <w:rFonts w:ascii="Times New Roman" w:hAnsi="Times New Roman" w:cs="Times New Roman"/>
          <w:sz w:val="26"/>
          <w:szCs w:val="26"/>
        </w:rPr>
        <w:fldChar w:fldCharType="begin">
          <w:fldData xml:space="preserve">PEVuZE5vdGU+PENpdGU+PEF1dGhvcj5TS1JFREU8L0F1dGhvcj48WWVhcj4xOTg1PC9ZZWFyPjxS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</w:fldData>
        </w:fldChar>
      </w:r>
      <w:r>
        <w:rPr>
          <w:rFonts w:ascii="Times New Roman" w:hAnsi="Times New Roman" w:cs="Times New Roman"/>
          <w:sz w:val="26"/>
          <w:szCs w:val="26"/>
        </w:rPr>
        <w:instrText xml:space="preserve"> ADDIN EN.CITE.DATA </w:instrText>
      </w:r>
      <w:r>
        <w:rPr>
          <w:rFonts w:ascii="Times New Roman" w:hAnsi="Times New Roman" w:cs="Times New Roman"/>
          <w:sz w:val="26"/>
          <w:szCs w:val="26"/>
        </w:rPr>
        <w:fldChar w:fldCharType="end"/>
      </w:r>
      <w:r>
        <w:rPr>
          <w:rFonts w:ascii="Times New Roman" w:hAnsi="Times New Roman" w:cs="Times New Roman"/>
          <w:sz w:val="26"/>
          <w:szCs w:val="26"/>
          <w:lang w:val="en-GB"/>
        </w:rPr>
        <w:fldChar w:fldCharType="separate"/>
      </w:r>
      <w:r>
        <w:rPr>
          <w:rFonts w:ascii="Times New Roman" w:hAnsi="Times New Roman" w:cs="Times New Roman"/>
          <w:sz w:val="26"/>
          <w:szCs w:val="26"/>
        </w:rPr>
        <w:t>(SKREDE, 1985, Ibarz et al., 2000, Ling et al., 2021, Van Boekel, 2008)</w:t>
      </w:r>
      <w:r>
        <w:rPr>
          <w:rFonts w:ascii="Times New Roman" w:hAnsi="Times New Roman" w:cs="Times New Roman"/>
          <w:sz w:val="26"/>
          <w:szCs w:val="26"/>
          <w:lang w:val="en-GB"/>
        </w:rPr>
        <w:fldChar w:fldCharType="end"/>
      </w:r>
      <w:r>
        <w:rPr>
          <w:rFonts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napToGrid/>
        <w:spacing w:after="361" w:afterLines="100" w:line="360" w:lineRule="auto"/>
        <w:jc w:val="both"/>
        <w:textAlignment w:val="auto"/>
        <w:rPr>
          <w:rFonts w:ascii="Times New Roman" w:hAnsi="Times New Roman" w:cs="Times New Roman"/>
          <w:sz w:val="26"/>
          <w:szCs w:val="26"/>
        </w:rPr>
      </w:pPr>
    </w:p>
    <w:tbl>
      <w:tblPr>
        <w:tblStyle w:val="3"/>
        <w:tblW w:w="76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0"/>
        <w:gridCol w:w="1542"/>
        <w:gridCol w:w="1106"/>
        <w:gridCol w:w="1263"/>
        <w:gridCol w:w="1106"/>
        <w:gridCol w:w="1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7660" w:type="dxa"/>
            <w:gridSpan w:val="6"/>
            <w:tcBorders>
              <w:top w:val="nil"/>
              <w:left w:val="nil"/>
              <w:bottom w:val="single" w:color="auto" w:sz="4" w:space="0"/>
              <w:right w:val="nil"/>
            </w:tcBorders>
            <w:shd w:val="clear" w:color="auto" w:fill="auto"/>
            <w:vAlign w:val="top"/>
          </w:tcPr>
          <w:p>
            <w:pPr>
              <w:rPr>
                <w:rFonts w:hint="default" w:ascii="Calibri" w:hAnsi="Calibri" w:cs="Calibri"/>
                <w:i w:val="0"/>
                <w:iCs w:val="0"/>
                <w:color w:val="000000"/>
                <w:sz w:val="22"/>
                <w:szCs w:val="22"/>
                <w:u w:val="none"/>
                <w:lang w:val="en-US"/>
              </w:rPr>
            </w:pPr>
            <w:r>
              <w:rPr>
                <w:rFonts w:hint="default" w:ascii="Times New Roman" w:hAnsi="Times New Roman" w:eastAsia="SimSun" w:cs="Times New Roman"/>
                <w:i w:val="0"/>
                <w:iCs w:val="0"/>
                <w:color w:val="000000"/>
                <w:kern w:val="0"/>
                <w:sz w:val="24"/>
                <w:szCs w:val="24"/>
                <w:u w:val="none"/>
                <w:lang w:val="en-US" w:eastAsia="zh-CN" w:bidi="ar"/>
              </w:rPr>
              <w:t>Table 3. Kinetic parameters at optimum chitosan concentration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380" w:type="dxa"/>
            <w:vMerge w:val="restart"/>
            <w:tcBorders>
              <w:top w:val="single" w:color="auto" w:sz="4" w:space="0"/>
              <w:left w:val="nil"/>
              <w:bottom w:val="single" w:color="auto" w:sz="4" w:space="0"/>
              <w:right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361" w:beforeLines="10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Model</w:t>
            </w:r>
          </w:p>
        </w:tc>
        <w:tc>
          <w:tcPr>
            <w:tcW w:w="1542" w:type="dxa"/>
            <w:vMerge w:val="restart"/>
            <w:tcBorders>
              <w:top w:val="single" w:color="auto" w:sz="4" w:space="0"/>
              <w:left w:val="nil"/>
              <w:bottom w:val="single" w:color="auto" w:sz="4" w:space="0"/>
              <w:right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361" w:beforeLines="100"/>
              <w:ind w:firstLineChars="10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Parameter</w:t>
            </w:r>
          </w:p>
        </w:tc>
        <w:tc>
          <w:tcPr>
            <w:tcW w:w="2369" w:type="dxa"/>
            <w:gridSpan w:val="2"/>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TA</w:t>
            </w:r>
          </w:p>
        </w:tc>
        <w:tc>
          <w:tcPr>
            <w:tcW w:w="2369" w:type="dxa"/>
            <w:gridSpan w:val="2"/>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Weight loss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80" w:type="dxa"/>
            <w:vMerge w:val="continue"/>
            <w:tcBorders>
              <w:top w:val="single" w:color="auto" w:sz="4" w:space="0"/>
              <w:left w:val="nil"/>
              <w:bottom w:val="single" w:color="auto" w:sz="4" w:space="0"/>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2" w:type="dxa"/>
            <w:vMerge w:val="continue"/>
            <w:tcBorders>
              <w:top w:val="single" w:color="auto" w:sz="4" w:space="0"/>
              <w:left w:val="nil"/>
              <w:bottom w:val="single" w:color="auto" w:sz="4" w:space="0"/>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106" w:type="dxa"/>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Coated</w:t>
            </w:r>
          </w:p>
        </w:tc>
        <w:tc>
          <w:tcPr>
            <w:tcW w:w="1263" w:type="dxa"/>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Uncoated</w:t>
            </w:r>
          </w:p>
        </w:tc>
        <w:tc>
          <w:tcPr>
            <w:tcW w:w="1106" w:type="dxa"/>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Coated</w:t>
            </w:r>
          </w:p>
        </w:tc>
        <w:tc>
          <w:tcPr>
            <w:tcW w:w="1263" w:type="dxa"/>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Uncoated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380" w:type="dxa"/>
            <w:vMerge w:val="restart"/>
            <w:tcBorders>
              <w:top w:val="single" w:color="auto" w:sz="4" w:space="0"/>
              <w:left w:val="nil"/>
              <w:right w:val="nil"/>
            </w:tcBorders>
            <w:shd w:val="clear" w:color="auto" w:fill="auto"/>
            <w:vAlign w:val="top"/>
          </w:tcPr>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Zero Order</w:t>
            </w:r>
          </w:p>
        </w:tc>
        <w:tc>
          <w:tcPr>
            <w:tcW w:w="1542"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Exp. Co</w:t>
            </w:r>
          </w:p>
        </w:tc>
        <w:tc>
          <w:tcPr>
            <w:tcW w:w="1106"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4.2684</w:t>
            </w:r>
          </w:p>
        </w:tc>
        <w:tc>
          <w:tcPr>
            <w:tcW w:w="1263"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4.2684</w:t>
            </w:r>
          </w:p>
        </w:tc>
        <w:tc>
          <w:tcPr>
            <w:tcW w:w="1106"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76.507</w:t>
            </w:r>
          </w:p>
        </w:tc>
        <w:tc>
          <w:tcPr>
            <w:tcW w:w="1263"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76.507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Model Co</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4.277</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3.836</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80.55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78.47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K (day</w:t>
            </w:r>
            <w:r>
              <w:rPr>
                <w:rStyle w:val="10"/>
                <w:rFonts w:eastAsia="SimSun"/>
                <w:lang w:val="en-US" w:eastAsia="zh-CN" w:bidi="ar"/>
              </w:rPr>
              <w:t>-1</w:t>
            </w:r>
            <w:r>
              <w:rPr>
                <w:rStyle w:val="9"/>
                <w:rFonts w:eastAsia="SimSun"/>
                <w:lang w:val="en-US" w:eastAsia="zh-CN" w:bidi="ar"/>
              </w:rPr>
              <w:t>)</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0.1173</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0.2237</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1.654</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1.996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w:t>
            </w:r>
            <w:r>
              <w:rPr>
                <w:rStyle w:val="10"/>
                <w:rFonts w:eastAsia="SimSun"/>
                <w:lang w:val="en-US" w:eastAsia="zh-CN" w:bidi="ar"/>
              </w:rPr>
              <w:t>2</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0.9797</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0.8956</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0.9815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Adj. R</w:t>
            </w:r>
            <w:r>
              <w:rPr>
                <w:rStyle w:val="10"/>
                <w:rFonts w:eastAsia="SimSun"/>
                <w:lang w:val="en-US" w:eastAsia="zh-CN" w:bidi="ar"/>
              </w:rPr>
              <w:t>2</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0.9785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0.8898</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0.9805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SSE</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0.1958</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3.996</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35.25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5.335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bottom w:val="single" w:color="auto" w:sz="4" w:space="0"/>
              <w:right w:val="nil"/>
            </w:tcBorders>
            <w:shd w:val="clear" w:color="auto" w:fill="auto"/>
            <w:vAlign w:val="top"/>
          </w:tcPr>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p>
        </w:tc>
        <w:tc>
          <w:tcPr>
            <w:tcW w:w="1542"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RMSE</w:t>
            </w:r>
          </w:p>
        </w:tc>
        <w:tc>
          <w:tcPr>
            <w:tcW w:w="1106"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0.1043</w:t>
            </w:r>
          </w:p>
        </w:tc>
        <w:tc>
          <w:tcPr>
            <w:tcW w:w="1263"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0.4712</w:t>
            </w:r>
          </w:p>
        </w:tc>
        <w:tc>
          <w:tcPr>
            <w:tcW w:w="1106"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1.0547</w:t>
            </w:r>
          </w:p>
        </w:tc>
        <w:tc>
          <w:tcPr>
            <w:tcW w:w="1263"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0.5444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380" w:type="dxa"/>
            <w:vMerge w:val="restart"/>
            <w:tcBorders>
              <w:top w:val="single" w:color="auto" w:sz="4" w:space="0"/>
              <w:left w:val="nil"/>
              <w:right w:val="nil"/>
            </w:tcBorders>
            <w:shd w:val="clear" w:color="auto" w:fill="auto"/>
            <w:vAlign w:val="top"/>
          </w:tcPr>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Nonlinear first order</w:t>
            </w:r>
          </w:p>
        </w:tc>
        <w:tc>
          <w:tcPr>
            <w:tcW w:w="1542"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Exp. Co</w:t>
            </w:r>
          </w:p>
        </w:tc>
        <w:tc>
          <w:tcPr>
            <w:tcW w:w="1106"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4.2684</w:t>
            </w:r>
          </w:p>
        </w:tc>
        <w:tc>
          <w:tcPr>
            <w:tcW w:w="1263"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4.2684</w:t>
            </w:r>
          </w:p>
        </w:tc>
        <w:tc>
          <w:tcPr>
            <w:tcW w:w="1106"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76.507</w:t>
            </w:r>
          </w:p>
        </w:tc>
        <w:tc>
          <w:tcPr>
            <w:tcW w:w="1263"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76.507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Model Co.</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4.435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5.006</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81.84</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80.56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K (day</w:t>
            </w:r>
            <w:r>
              <w:rPr>
                <w:rStyle w:val="10"/>
                <w:rFonts w:eastAsia="SimSun"/>
                <w:lang w:val="en-US" w:eastAsia="zh-CN" w:bidi="ar"/>
              </w:rPr>
              <w:t>-1</w:t>
            </w:r>
            <w:r>
              <w:rPr>
                <w:rStyle w:val="9"/>
                <w:rFonts w:eastAsia="SimSun"/>
                <w:lang w:val="en-US" w:eastAsia="zh-CN" w:bidi="ar"/>
              </w:rPr>
              <w:t>)</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0.03816</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0.1439</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0.025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0.03393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w:t>
            </w:r>
            <w:r>
              <w:rPr>
                <w:rStyle w:val="10"/>
                <w:rFonts w:eastAsia="SimSun"/>
                <w:lang w:val="en-US" w:eastAsia="zh-CN" w:bidi="ar"/>
              </w:rPr>
              <w:t>2</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0.9795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0.9477</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0.9693</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Adj. R</w:t>
            </w:r>
            <w:r>
              <w:rPr>
                <w:rStyle w:val="10"/>
                <w:rFonts w:eastAsia="SimSun"/>
                <w:lang w:val="en-US" w:eastAsia="zh-CN" w:bidi="ar"/>
              </w:rPr>
              <w:t>2</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0.9783</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0.9448</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0.9676</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SSE</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0.1975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2.002</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58.03</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380" w:type="dxa"/>
            <w:vMerge w:val="continue"/>
            <w:tcBorders>
              <w:left w:val="nil"/>
              <w:bottom w:val="single" w:color="auto" w:sz="4" w:space="0"/>
              <w:right w:val="nil"/>
            </w:tcBorders>
            <w:shd w:val="clear" w:color="auto" w:fill="auto"/>
            <w:vAlign w:val="top"/>
          </w:tcPr>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p>
        </w:tc>
        <w:tc>
          <w:tcPr>
            <w:tcW w:w="1542"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RMSE</w:t>
            </w:r>
          </w:p>
        </w:tc>
        <w:tc>
          <w:tcPr>
            <w:tcW w:w="1106"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0.1047</w:t>
            </w:r>
          </w:p>
        </w:tc>
        <w:tc>
          <w:tcPr>
            <w:tcW w:w="1263"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0.3335</w:t>
            </w:r>
          </w:p>
        </w:tc>
        <w:tc>
          <w:tcPr>
            <w:tcW w:w="1106"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1.805</w:t>
            </w:r>
          </w:p>
        </w:tc>
        <w:tc>
          <w:tcPr>
            <w:tcW w:w="1263"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1.575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380" w:type="dxa"/>
            <w:vMerge w:val="restart"/>
            <w:tcBorders>
              <w:top w:val="single" w:color="auto" w:sz="4" w:space="0"/>
              <w:left w:val="nil"/>
              <w:right w:val="nil"/>
            </w:tcBorders>
            <w:shd w:val="clear" w:color="auto" w:fill="auto"/>
            <w:vAlign w:val="top"/>
          </w:tcPr>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Linear first order</w:t>
            </w:r>
          </w:p>
        </w:tc>
        <w:tc>
          <w:tcPr>
            <w:tcW w:w="1542"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Exp. Co</w:t>
            </w:r>
          </w:p>
        </w:tc>
        <w:tc>
          <w:tcPr>
            <w:tcW w:w="1106"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4.2684</w:t>
            </w:r>
          </w:p>
        </w:tc>
        <w:tc>
          <w:tcPr>
            <w:tcW w:w="1263"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4.2684</w:t>
            </w:r>
          </w:p>
        </w:tc>
        <w:tc>
          <w:tcPr>
            <w:tcW w:w="1106"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76.507</w:t>
            </w:r>
          </w:p>
        </w:tc>
        <w:tc>
          <w:tcPr>
            <w:tcW w:w="1263"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76.507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Model Co.</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4.413</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6.298</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82.33</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81.61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K (day</w:t>
            </w:r>
            <w:r>
              <w:rPr>
                <w:rStyle w:val="10"/>
                <w:rFonts w:eastAsia="SimSun"/>
                <w:lang w:val="en-US" w:eastAsia="zh-CN" w:bidi="ar"/>
              </w:rPr>
              <w:t>-1</w:t>
            </w:r>
            <w:r>
              <w:rPr>
                <w:rStyle w:val="9"/>
                <w:rFonts w:eastAsia="SimSun"/>
                <w:lang w:val="en-US" w:eastAsia="zh-CN" w:bidi="ar"/>
              </w:rPr>
              <w:t>)</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0.03665</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0.1905</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0.02642</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0.03542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w:t>
            </w:r>
            <w:r>
              <w:rPr>
                <w:rStyle w:val="10"/>
                <w:rFonts w:eastAsia="SimSun"/>
                <w:lang w:val="en-US" w:eastAsia="zh-CN" w:bidi="ar"/>
              </w:rPr>
              <w:t>2</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0.9738</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0.9731</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0.9727</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Adj R</w:t>
            </w:r>
            <w:r>
              <w:rPr>
                <w:rStyle w:val="10"/>
                <w:rFonts w:eastAsia="SimSun"/>
                <w:lang w:val="en-US" w:eastAsia="zh-CN" w:bidi="ar"/>
              </w:rPr>
              <w:t>2</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0.9491</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0.9717</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0.9712</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380"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2"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SSE</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0.03262</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0.686</w:t>
            </w:r>
          </w:p>
        </w:tc>
        <w:tc>
          <w:tcPr>
            <w:tcW w:w="1106"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0.0134</w:t>
            </w:r>
          </w:p>
        </w:tc>
        <w:tc>
          <w:tcPr>
            <w:tcW w:w="1263"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0.01359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380" w:type="dxa"/>
            <w:vMerge w:val="continue"/>
            <w:tcBorders>
              <w:left w:val="nil"/>
              <w:bottom w:val="single" w:color="auto" w:sz="4" w:space="0"/>
              <w:right w:val="nil"/>
            </w:tcBorders>
            <w:shd w:val="clear" w:color="auto" w:fill="auto"/>
            <w:vAlign w:val="top"/>
          </w:tcPr>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p>
        </w:tc>
        <w:tc>
          <w:tcPr>
            <w:tcW w:w="1542"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RMSE</w:t>
            </w:r>
          </w:p>
        </w:tc>
        <w:tc>
          <w:tcPr>
            <w:tcW w:w="1106"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0.04257</w:t>
            </w:r>
          </w:p>
        </w:tc>
        <w:tc>
          <w:tcPr>
            <w:tcW w:w="1263"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0.1952</w:t>
            </w:r>
          </w:p>
        </w:tc>
        <w:tc>
          <w:tcPr>
            <w:tcW w:w="1106"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0.02728</w:t>
            </w:r>
          </w:p>
        </w:tc>
        <w:tc>
          <w:tcPr>
            <w:tcW w:w="1263"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0.02784</w:t>
            </w:r>
          </w:p>
        </w:tc>
      </w:tr>
    </w:tbl>
    <w:p>
      <w:pPr>
        <w:spacing w:line="360" w:lineRule="auto"/>
        <w:jc w:val="both"/>
        <w:rPr>
          <w:rFonts w:hint="default" w:ascii="Times New Roman" w:hAnsi="Times New Roman" w:cs="Times New Roman"/>
          <w:sz w:val="26"/>
          <w:szCs w:val="26"/>
          <w:lang w:val="en-US"/>
        </w:rPr>
      </w:pPr>
    </w:p>
    <w:p>
      <w:pPr>
        <w:spacing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drawing>
          <wp:inline distT="0" distB="0" distL="114300" distR="114300">
            <wp:extent cx="4554855" cy="8068310"/>
            <wp:effectExtent l="0" t="0" r="1905" b="8890"/>
            <wp:docPr id="13" name="Picture 13" descr="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18"/>
                    <pic:cNvPicPr>
                      <a:picLocks noChangeAspect="1"/>
                    </pic:cNvPicPr>
                  </pic:nvPicPr>
                  <pic:blipFill>
                    <a:blip r:embed="rId22"/>
                    <a:stretch>
                      <a:fillRect/>
                    </a:stretch>
                  </pic:blipFill>
                  <pic:spPr>
                    <a:xfrm>
                      <a:off x="0" y="0"/>
                      <a:ext cx="4554855" cy="8068310"/>
                    </a:xfrm>
                    <a:prstGeom prst="rect">
                      <a:avLst/>
                    </a:prstGeom>
                  </pic:spPr>
                </pic:pic>
              </a:graphicData>
            </a:graphic>
          </wp:inline>
        </w:drawing>
      </w:r>
    </w:p>
    <w:p>
      <w:pPr>
        <w:spacing w:line="240" w:lineRule="auto"/>
        <w:jc w:val="both"/>
        <w:rPr>
          <w:rFonts w:hint="default" w:ascii="Times New Roman" w:hAnsi="Times New Roman" w:cs="Times New Roman"/>
          <w:sz w:val="26"/>
          <w:szCs w:val="26"/>
          <w:lang w:val="en-US"/>
        </w:rPr>
      </w:pPr>
      <w:r>
        <w:rPr>
          <w:rFonts w:hint="default" w:ascii="Times New Roman" w:hAnsi="Times New Roman" w:cs="Times New Roman"/>
          <w:color w:val="000000" w:themeColor="text1"/>
          <w:sz w:val="28"/>
          <w:szCs w:val="28"/>
          <w:lang w:val="en-US"/>
          <w14:textFill>
            <w14:solidFill>
              <w14:schemeClr w14:val="tx1"/>
            </w14:solidFill>
          </w14:textFill>
        </w:rPr>
        <w:t>Fig.</w:t>
      </w:r>
      <w:r>
        <w:rPr>
          <w:rFonts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 xml:space="preserve">13. </w:t>
      </w:r>
      <w:r>
        <w:rPr>
          <w:rFonts w:hint="default" w:ascii="Times New Roman" w:hAnsi="Times New Roman"/>
          <w:color w:val="000000" w:themeColor="text1"/>
          <w:sz w:val="28"/>
          <w:szCs w:val="28"/>
          <w:lang w:val="en-US"/>
          <w14:textFill>
            <w14:solidFill>
              <w14:schemeClr w14:val="tx1"/>
            </w14:solidFill>
          </w14:textFill>
        </w:rPr>
        <w:t xml:space="preserve">Effect of storage time on (a) TA, and (b) weight loss of coated </w:t>
      </w:r>
      <w:r>
        <w:rPr>
          <w:rFonts w:hint="default" w:ascii="Times New Roman" w:hAnsi="Times New Roman"/>
          <w:color w:val="000000" w:themeColor="text1"/>
          <w:sz w:val="28"/>
          <w:szCs w:val="28"/>
          <w:lang w:val="en-US"/>
          <w14:textFill>
            <w14:solidFill>
              <w14:schemeClr w14:val="tx1"/>
            </w14:solidFill>
          </w14:textFill>
        </w:rPr>
        <w:tab/>
      </w:r>
      <w:r>
        <w:rPr>
          <w:rFonts w:hint="default" w:ascii="Times New Roman" w:hAnsi="Times New Roman"/>
          <w:color w:val="000000" w:themeColor="text1"/>
          <w:sz w:val="28"/>
          <w:szCs w:val="28"/>
          <w:lang w:val="en-US"/>
          <w14:textFill>
            <w14:solidFill>
              <w14:schemeClr w14:val="tx1"/>
            </w14:solidFill>
          </w14:textFill>
        </w:rPr>
        <w:tab/>
      </w:r>
      <w:r>
        <w:rPr>
          <w:rFonts w:hint="default" w:ascii="Times New Roman" w:hAnsi="Times New Roman"/>
          <w:color w:val="000000" w:themeColor="text1"/>
          <w:sz w:val="28"/>
          <w:szCs w:val="28"/>
          <w:lang w:val="en-US"/>
          <w14:textFill>
            <w14:solidFill>
              <w14:schemeClr w14:val="tx1"/>
            </w14:solidFill>
          </w14:textFill>
        </w:rPr>
        <w:t xml:space="preserve">  tomato fruit at best chitosan conc.</w:t>
      </w:r>
    </w:p>
    <w:p>
      <w:pPr>
        <w:spacing w:line="360" w:lineRule="auto"/>
        <w:jc w:val="both"/>
        <w:rPr>
          <w:rFonts w:hint="default" w:ascii="Times New Roman" w:hAnsi="Times New Roman" w:cs="Times New Roman"/>
          <w:sz w:val="26"/>
          <w:szCs w:val="26"/>
          <w:lang w:val="en-US"/>
        </w:rPr>
      </w:pPr>
    </w:p>
    <w:tbl>
      <w:tblPr>
        <w:tblStyle w:val="3"/>
        <w:tblW w:w="76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77"/>
        <w:gridCol w:w="1540"/>
        <w:gridCol w:w="1104"/>
        <w:gridCol w:w="1261"/>
        <w:gridCol w:w="1116"/>
        <w:gridCol w:w="12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9" w:hRule="atLeast"/>
        </w:trPr>
        <w:tc>
          <w:tcPr>
            <w:tcW w:w="7660" w:type="dxa"/>
            <w:gridSpan w:val="6"/>
            <w:tcBorders>
              <w:top w:val="nil"/>
              <w:left w:val="nil"/>
              <w:bottom w:val="single" w:color="auto" w:sz="4" w:space="0"/>
              <w:right w:val="nil"/>
            </w:tcBorders>
            <w:shd w:val="clear" w:color="auto" w:fill="auto"/>
            <w:vAlign w:val="top"/>
          </w:tcPr>
          <w:p>
            <w:pPr>
              <w:rPr>
                <w:rFonts w:hint="default" w:ascii="Calibri" w:hAnsi="Calibri" w:cs="Calibri"/>
                <w:i w:val="0"/>
                <w:iCs w:val="0"/>
                <w:color w:val="000000"/>
                <w:sz w:val="22"/>
                <w:szCs w:val="22"/>
                <w:u w:val="none"/>
              </w:rPr>
            </w:pPr>
            <w:r>
              <w:rPr>
                <w:rFonts w:hint="default" w:ascii="Times New Roman" w:hAnsi="Times New Roman" w:eastAsia="SimSun" w:cs="Times New Roman"/>
                <w:i w:val="0"/>
                <w:iCs w:val="0"/>
                <w:color w:val="000000"/>
                <w:kern w:val="0"/>
                <w:sz w:val="24"/>
                <w:szCs w:val="24"/>
                <w:u w:val="none"/>
                <w:lang w:val="en-US" w:eastAsia="zh-CN" w:bidi="ar"/>
              </w:rPr>
              <w:t xml:space="preserve">Table 4. Kinetic parameters at optimum </w:t>
            </w:r>
            <w:r>
              <w:rPr>
                <w:rFonts w:hint="default" w:ascii="Times New Roman" w:hAnsi="Times New Roman" w:eastAsia="SimSun" w:cs="Times New Roman"/>
                <w:i/>
                <w:iCs/>
                <w:color w:val="000000"/>
                <w:kern w:val="0"/>
                <w:sz w:val="24"/>
                <w:szCs w:val="24"/>
                <w:u w:val="none"/>
                <w:lang w:val="en-US" w:eastAsia="zh-CN" w:bidi="ar"/>
              </w:rPr>
              <w:t>MOCEB</w:t>
            </w:r>
            <w:r>
              <w:rPr>
                <w:rFonts w:hint="default" w:ascii="Times New Roman" w:hAnsi="Times New Roman" w:eastAsia="SimSun" w:cs="Times New Roman"/>
                <w:i w:val="0"/>
                <w:iCs w:val="0"/>
                <w:color w:val="000000"/>
                <w:kern w:val="0"/>
                <w:sz w:val="24"/>
                <w:szCs w:val="24"/>
                <w:u w:val="none"/>
                <w:lang w:val="en-US" w:eastAsia="zh-CN" w:bidi="ar"/>
              </w:rPr>
              <w:t xml:space="preserve"> concentration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1377" w:type="dxa"/>
            <w:vMerge w:val="restart"/>
            <w:tcBorders>
              <w:top w:val="single" w:color="auto" w:sz="4" w:space="0"/>
              <w:left w:val="nil"/>
              <w:bottom w:val="single" w:color="auto" w:sz="4" w:space="0"/>
              <w:right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361" w:beforeLines="10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Model</w:t>
            </w:r>
          </w:p>
        </w:tc>
        <w:tc>
          <w:tcPr>
            <w:tcW w:w="1540" w:type="dxa"/>
            <w:vMerge w:val="restart"/>
            <w:tcBorders>
              <w:top w:val="single" w:color="auto" w:sz="4" w:space="0"/>
              <w:left w:val="nil"/>
              <w:bottom w:val="single" w:color="auto" w:sz="4" w:space="0"/>
              <w:right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361" w:beforeLines="100"/>
              <w:ind w:firstLineChars="10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Parameter</w:t>
            </w:r>
          </w:p>
        </w:tc>
        <w:tc>
          <w:tcPr>
            <w:tcW w:w="2365" w:type="dxa"/>
            <w:gridSpan w:val="2"/>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TA</w:t>
            </w:r>
          </w:p>
        </w:tc>
        <w:tc>
          <w:tcPr>
            <w:tcW w:w="2378" w:type="dxa"/>
            <w:gridSpan w:val="2"/>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Weight loss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1377" w:type="dxa"/>
            <w:vMerge w:val="continue"/>
            <w:tcBorders>
              <w:top w:val="single" w:color="auto" w:sz="4" w:space="0"/>
              <w:left w:val="nil"/>
              <w:bottom w:val="single" w:color="auto" w:sz="4" w:space="0"/>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0" w:type="dxa"/>
            <w:vMerge w:val="continue"/>
            <w:tcBorders>
              <w:top w:val="single" w:color="auto" w:sz="4" w:space="0"/>
              <w:left w:val="nil"/>
              <w:bottom w:val="single" w:color="auto" w:sz="4" w:space="0"/>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104" w:type="dxa"/>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Coated</w:t>
            </w:r>
          </w:p>
        </w:tc>
        <w:tc>
          <w:tcPr>
            <w:tcW w:w="1261" w:type="dxa"/>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Uncoated</w:t>
            </w:r>
          </w:p>
        </w:tc>
        <w:tc>
          <w:tcPr>
            <w:tcW w:w="1116" w:type="dxa"/>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Coated</w:t>
            </w:r>
          </w:p>
        </w:tc>
        <w:tc>
          <w:tcPr>
            <w:tcW w:w="1262" w:type="dxa"/>
            <w:tcBorders>
              <w:top w:val="single" w:color="auto" w:sz="4" w:space="0"/>
              <w:left w:val="nil"/>
              <w:bottom w:val="single" w:color="auto" w:sz="4" w:space="0"/>
              <w:right w:val="nil"/>
            </w:tcBorders>
            <w:shd w:val="clear" w:color="auto" w:fill="auto"/>
            <w:vAlign w:val="top"/>
          </w:tcPr>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Uncoated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trPr>
        <w:tc>
          <w:tcPr>
            <w:tcW w:w="1377" w:type="dxa"/>
            <w:vMerge w:val="restart"/>
            <w:tcBorders>
              <w:top w:val="single" w:color="auto" w:sz="4" w:space="0"/>
              <w:left w:val="nil"/>
              <w:right w:val="nil"/>
            </w:tcBorders>
            <w:shd w:val="clear" w:color="auto" w:fill="auto"/>
            <w:vAlign w:val="top"/>
          </w:tcPr>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Zero Order</w:t>
            </w:r>
          </w:p>
        </w:tc>
        <w:tc>
          <w:tcPr>
            <w:tcW w:w="1540"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Exp. Co</w:t>
            </w:r>
          </w:p>
        </w:tc>
        <w:tc>
          <w:tcPr>
            <w:tcW w:w="1104"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sz w:val="24"/>
                <w:szCs w:val="24"/>
                <w:lang w:val="en-GB"/>
              </w:rPr>
              <w:t>4.2684</w:t>
            </w:r>
          </w:p>
        </w:tc>
        <w:tc>
          <w:tcPr>
            <w:tcW w:w="1261"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sz w:val="24"/>
                <w:szCs w:val="24"/>
                <w:lang w:val="en-GB"/>
              </w:rPr>
              <w:t>4.2684</w:t>
            </w:r>
          </w:p>
        </w:tc>
        <w:tc>
          <w:tcPr>
            <w:tcW w:w="1116"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76.507</w:t>
            </w:r>
          </w:p>
        </w:tc>
        <w:tc>
          <w:tcPr>
            <w:tcW w:w="1262"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76.507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Model Co</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3.652</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3.836</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76.95</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K (day</w:t>
            </w:r>
            <w:r>
              <w:rPr>
                <w:rStyle w:val="10"/>
                <w:rFonts w:eastAsia="SimSun"/>
                <w:lang w:val="en-US" w:eastAsia="zh-CN" w:bidi="ar"/>
              </w:rPr>
              <w:t>-1</w:t>
            </w:r>
            <w:r>
              <w:rPr>
                <w:rStyle w:val="9"/>
                <w:rFonts w:eastAsia="SimSun"/>
                <w:lang w:val="en-US" w:eastAsia="zh-CN" w:bidi="ar"/>
              </w:rPr>
              <w:t>)</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0.08699</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0.2237</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0.6664</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1.996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w:t>
            </w:r>
            <w:r>
              <w:rPr>
                <w:rStyle w:val="10"/>
                <w:rFonts w:eastAsia="SimSun"/>
                <w:lang w:val="en-US" w:eastAsia="zh-CN" w:bidi="ar"/>
              </w:rPr>
              <w:t>2</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0.8941</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0.8956</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0.9417</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Adj. R</w:t>
            </w:r>
            <w:r>
              <w:rPr>
                <w:rStyle w:val="10"/>
                <w:rFonts w:eastAsia="SimSun"/>
                <w:lang w:val="en-US" w:eastAsia="zh-CN" w:bidi="ar"/>
              </w:rPr>
              <w:t>2</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0.8883</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0.8898</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0.9385</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SSE</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0.6137</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3.996</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18.82</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5.335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377" w:type="dxa"/>
            <w:vMerge w:val="continue"/>
            <w:tcBorders>
              <w:left w:val="nil"/>
              <w:bottom w:val="single" w:color="auto" w:sz="4" w:space="0"/>
              <w:right w:val="nil"/>
            </w:tcBorders>
            <w:shd w:val="clear" w:color="auto" w:fill="auto"/>
            <w:vAlign w:val="top"/>
          </w:tcPr>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p>
        </w:tc>
        <w:tc>
          <w:tcPr>
            <w:tcW w:w="1540"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RMSE</w:t>
            </w:r>
          </w:p>
        </w:tc>
        <w:tc>
          <w:tcPr>
            <w:tcW w:w="1104"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0.1847</w:t>
            </w:r>
          </w:p>
        </w:tc>
        <w:tc>
          <w:tcPr>
            <w:tcW w:w="1261"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0.4712</w:t>
            </w:r>
          </w:p>
        </w:tc>
        <w:tc>
          <w:tcPr>
            <w:tcW w:w="1116"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1.023</w:t>
            </w:r>
          </w:p>
        </w:tc>
        <w:tc>
          <w:tcPr>
            <w:tcW w:w="1262"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0.5444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377" w:type="dxa"/>
            <w:vMerge w:val="restart"/>
            <w:tcBorders>
              <w:top w:val="single" w:color="auto" w:sz="4" w:space="0"/>
              <w:left w:val="nil"/>
              <w:right w:val="nil"/>
            </w:tcBorders>
            <w:shd w:val="clear" w:color="auto" w:fill="auto"/>
            <w:vAlign w:val="top"/>
          </w:tcPr>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Nonlinear first order</w:t>
            </w:r>
          </w:p>
        </w:tc>
        <w:tc>
          <w:tcPr>
            <w:tcW w:w="1540"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Exp. Co</w:t>
            </w:r>
          </w:p>
        </w:tc>
        <w:tc>
          <w:tcPr>
            <w:tcW w:w="1104"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sz w:val="24"/>
                <w:szCs w:val="24"/>
                <w:lang w:val="en-GB"/>
              </w:rPr>
              <w:t>4.2684</w:t>
            </w:r>
          </w:p>
        </w:tc>
        <w:tc>
          <w:tcPr>
            <w:tcW w:w="1261"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sz w:val="24"/>
                <w:szCs w:val="24"/>
                <w:lang w:val="en-GB"/>
              </w:rPr>
              <w:t>4.2684</w:t>
            </w:r>
          </w:p>
        </w:tc>
        <w:tc>
          <w:tcPr>
            <w:tcW w:w="1116"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76.507</w:t>
            </w:r>
          </w:p>
        </w:tc>
        <w:tc>
          <w:tcPr>
            <w:tcW w:w="1262"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76.507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Model Co.</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3.797</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5.006</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77.24</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80.56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K (day</w:t>
            </w:r>
            <w:r>
              <w:rPr>
                <w:rStyle w:val="10"/>
                <w:rFonts w:eastAsia="SimSun"/>
                <w:lang w:val="en-US" w:eastAsia="zh-CN" w:bidi="ar"/>
              </w:rPr>
              <w:t>-1</w:t>
            </w:r>
            <w:r>
              <w:rPr>
                <w:rStyle w:val="9"/>
                <w:rFonts w:eastAsia="SimSun"/>
                <w:lang w:val="en-US" w:eastAsia="zh-CN" w:bidi="ar"/>
              </w:rPr>
              <w:t>)</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0.03297</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0.1439</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0.009592</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0.03393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w:t>
            </w:r>
            <w:r>
              <w:rPr>
                <w:rStyle w:val="10"/>
                <w:rFonts w:eastAsia="SimSun"/>
                <w:lang w:val="en-US" w:eastAsia="zh-CN" w:bidi="ar"/>
              </w:rPr>
              <w:t>2</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0.9334</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0.9477</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0.9500</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Adj. R</w:t>
            </w:r>
            <w:r>
              <w:rPr>
                <w:rStyle w:val="10"/>
                <w:rFonts w:eastAsia="SimSun"/>
                <w:lang w:val="en-US" w:eastAsia="zh-CN" w:bidi="ar"/>
              </w:rPr>
              <w:t>2</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0.9297</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0.9448</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0.9472</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SSE</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0.386</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2.002</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16.16</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44.63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377" w:type="dxa"/>
            <w:vMerge w:val="continue"/>
            <w:tcBorders>
              <w:left w:val="nil"/>
              <w:bottom w:val="single" w:color="auto" w:sz="4" w:space="0"/>
              <w:right w:val="nil"/>
            </w:tcBorders>
            <w:shd w:val="clear" w:color="auto" w:fill="auto"/>
            <w:vAlign w:val="top"/>
          </w:tcPr>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p>
        </w:tc>
        <w:tc>
          <w:tcPr>
            <w:tcW w:w="1540"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RMSE</w:t>
            </w:r>
          </w:p>
        </w:tc>
        <w:tc>
          <w:tcPr>
            <w:tcW w:w="1104"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0.1464</w:t>
            </w:r>
          </w:p>
        </w:tc>
        <w:tc>
          <w:tcPr>
            <w:tcW w:w="1261"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0.3335</w:t>
            </w:r>
          </w:p>
        </w:tc>
        <w:tc>
          <w:tcPr>
            <w:tcW w:w="1116"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0.9474</w:t>
            </w:r>
          </w:p>
        </w:tc>
        <w:tc>
          <w:tcPr>
            <w:tcW w:w="1262"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1.575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377" w:type="dxa"/>
            <w:vMerge w:val="restart"/>
            <w:tcBorders>
              <w:top w:val="single" w:color="auto" w:sz="4" w:space="0"/>
              <w:left w:val="nil"/>
              <w:right w:val="nil"/>
            </w:tcBorders>
            <w:shd w:val="clear" w:color="auto" w:fill="auto"/>
            <w:vAlign w:val="top"/>
          </w:tcPr>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Style w:val="9"/>
                <w:rFonts w:eastAsia="SimSun"/>
                <w:lang w:val="en-US" w:eastAsia="zh-CN" w:bidi="ar"/>
              </w:rPr>
            </w:pPr>
          </w:p>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Linear first order</w:t>
            </w:r>
          </w:p>
        </w:tc>
        <w:tc>
          <w:tcPr>
            <w:tcW w:w="1540" w:type="dxa"/>
            <w:tcBorders>
              <w:top w:val="single" w:color="auto" w:sz="4" w:space="0"/>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Exp. Co</w:t>
            </w:r>
          </w:p>
        </w:tc>
        <w:tc>
          <w:tcPr>
            <w:tcW w:w="1104"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sz w:val="24"/>
                <w:szCs w:val="24"/>
                <w:lang w:val="en-GB"/>
              </w:rPr>
              <w:t>4.2684</w:t>
            </w:r>
          </w:p>
        </w:tc>
        <w:tc>
          <w:tcPr>
            <w:tcW w:w="1261"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sz w:val="24"/>
                <w:szCs w:val="24"/>
                <w:lang w:val="en-GB"/>
              </w:rPr>
              <w:t>4.2684</w:t>
            </w:r>
          </w:p>
        </w:tc>
        <w:tc>
          <w:tcPr>
            <w:tcW w:w="1116"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76.507</w:t>
            </w:r>
          </w:p>
        </w:tc>
        <w:tc>
          <w:tcPr>
            <w:tcW w:w="1262" w:type="dxa"/>
            <w:tcBorders>
              <w:top w:val="single" w:color="auto" w:sz="4" w:space="0"/>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76.507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Model Co.</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3.713</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6.298</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76.98</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81.61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K (day</w:t>
            </w:r>
            <w:r>
              <w:rPr>
                <w:rStyle w:val="10"/>
                <w:rFonts w:eastAsia="SimSun"/>
                <w:lang w:val="en-US" w:eastAsia="zh-CN" w:bidi="ar"/>
              </w:rPr>
              <w:t>-1</w:t>
            </w:r>
            <w:r>
              <w:rPr>
                <w:rStyle w:val="9"/>
                <w:rFonts w:eastAsia="SimSun"/>
                <w:lang w:val="en-US" w:eastAsia="zh-CN" w:bidi="ar"/>
              </w:rPr>
              <w:t>)</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0.03065</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0.1905</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both"/>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0.009313</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0.03542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w:t>
            </w:r>
            <w:r>
              <w:rPr>
                <w:rStyle w:val="10"/>
                <w:rFonts w:eastAsia="SimSun"/>
                <w:lang w:val="en-US" w:eastAsia="zh-CN" w:bidi="ar"/>
              </w:rPr>
              <w:t>2</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0.9518</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0.9731</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0.9428</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vAlign w:val="top"/>
          </w:tcPr>
          <w:p>
            <w:pPr>
              <w:jc w:val="both"/>
              <w:rPr>
                <w:rFonts w:hint="default" w:ascii="Times New Roman" w:hAnsi="Times New Roman" w:cs="Times New Roman"/>
                <w:i w:val="0"/>
                <w:iCs w:val="0"/>
                <w:color w:val="000000"/>
                <w:sz w:val="24"/>
                <w:szCs w:val="24"/>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Adj R</w:t>
            </w:r>
            <w:r>
              <w:rPr>
                <w:rStyle w:val="10"/>
                <w:rFonts w:eastAsia="SimSun"/>
                <w:lang w:val="en-US" w:eastAsia="zh-CN" w:bidi="ar"/>
              </w:rPr>
              <w:t>2</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0.9491</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0.9717</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0.9397</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0.9832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377" w:type="dxa"/>
            <w:vMerge w:val="continue"/>
            <w:tcBorders>
              <w:left w:val="nil"/>
              <w:right w:val="nil"/>
            </w:tcBorders>
            <w:shd w:val="clear" w:color="auto" w:fill="auto"/>
            <w:noWrap/>
            <w:vAlign w:val="center"/>
          </w:tcPr>
          <w:p>
            <w:pPr>
              <w:rPr>
                <w:rFonts w:hint="default" w:ascii="Calibri" w:hAnsi="Calibri" w:cs="Calibri"/>
                <w:i w:val="0"/>
                <w:iCs w:val="0"/>
                <w:color w:val="000000"/>
                <w:sz w:val="22"/>
                <w:szCs w:val="22"/>
                <w:u w:val="none"/>
              </w:rPr>
            </w:pPr>
          </w:p>
        </w:tc>
        <w:tc>
          <w:tcPr>
            <w:tcW w:w="1540" w:type="dxa"/>
            <w:tcBorders>
              <w:top w:val="nil"/>
              <w:left w:val="nil"/>
              <w:bottom w:val="nil"/>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SSE</w:t>
            </w:r>
          </w:p>
        </w:tc>
        <w:tc>
          <w:tcPr>
            <w:tcW w:w="1104"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0.03262</w:t>
            </w:r>
          </w:p>
        </w:tc>
        <w:tc>
          <w:tcPr>
            <w:tcW w:w="1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0.686</w:t>
            </w:r>
          </w:p>
        </w:tc>
        <w:tc>
          <w:tcPr>
            <w:tcW w:w="1116"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0.003602</w:t>
            </w:r>
          </w:p>
        </w:tc>
        <w:tc>
          <w:tcPr>
            <w:tcW w:w="1262"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0.01359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377" w:type="dxa"/>
            <w:vMerge w:val="continue"/>
            <w:tcBorders>
              <w:left w:val="nil"/>
              <w:bottom w:val="single" w:color="auto" w:sz="4" w:space="0"/>
              <w:right w:val="nil"/>
            </w:tcBorders>
            <w:shd w:val="clear" w:color="auto" w:fill="auto"/>
            <w:vAlign w:val="top"/>
          </w:tcPr>
          <w:p>
            <w:pPr>
              <w:keepNext w:val="0"/>
              <w:keepLines w:val="0"/>
              <w:widowControl/>
              <w:suppressLineNumbers w:val="0"/>
              <w:jc w:val="both"/>
              <w:textAlignment w:val="top"/>
              <w:rPr>
                <w:rFonts w:hint="default" w:ascii="Times New Roman" w:hAnsi="Times New Roman" w:cs="Times New Roman"/>
                <w:i w:val="0"/>
                <w:iCs w:val="0"/>
                <w:color w:val="000000"/>
                <w:sz w:val="24"/>
                <w:szCs w:val="24"/>
                <w:u w:val="none"/>
              </w:rPr>
            </w:pPr>
          </w:p>
        </w:tc>
        <w:tc>
          <w:tcPr>
            <w:tcW w:w="1540" w:type="dxa"/>
            <w:tcBorders>
              <w:top w:val="nil"/>
              <w:left w:val="nil"/>
              <w:bottom w:val="single" w:color="auto" w:sz="4" w:space="0"/>
              <w:right w:val="nil"/>
            </w:tcBorders>
            <w:shd w:val="clear" w:color="auto" w:fill="auto"/>
            <w:vAlign w:val="top"/>
          </w:tcPr>
          <w:p>
            <w:pPr>
              <w:keepNext w:val="0"/>
              <w:keepLines w:val="0"/>
              <w:widowControl/>
              <w:suppressLineNumbers w:val="0"/>
              <w:spacing w:line="360" w:lineRule="auto"/>
              <w:jc w:val="center"/>
              <w:textAlignment w:val="top"/>
              <w:rPr>
                <w:rFonts w:hint="default" w:ascii="Times New Roman" w:hAnsi="Times New Roman" w:cs="Times New Roman"/>
                <w:i w:val="0"/>
                <w:iCs w:val="0"/>
                <w:color w:val="000000"/>
                <w:sz w:val="24"/>
                <w:szCs w:val="24"/>
                <w:u w:val="none"/>
              </w:rPr>
            </w:pPr>
            <w:r>
              <w:rPr>
                <w:rStyle w:val="9"/>
                <w:rFonts w:eastAsia="SimSun"/>
                <w:lang w:val="en-US" w:eastAsia="zh-CN" w:bidi="ar"/>
              </w:rPr>
              <w:t>RMSE</w:t>
            </w:r>
          </w:p>
        </w:tc>
        <w:tc>
          <w:tcPr>
            <w:tcW w:w="1104"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0.04257</w:t>
            </w:r>
          </w:p>
        </w:tc>
        <w:tc>
          <w:tcPr>
            <w:tcW w:w="1261"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lang w:val="en-GB"/>
              </w:rPr>
              <w:t>0.1952</w:t>
            </w:r>
          </w:p>
        </w:tc>
        <w:tc>
          <w:tcPr>
            <w:tcW w:w="1116"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0.01415</w:t>
            </w:r>
          </w:p>
        </w:tc>
        <w:tc>
          <w:tcPr>
            <w:tcW w:w="1262" w:type="dxa"/>
            <w:tcBorders>
              <w:top w:val="nil"/>
              <w:left w:val="nil"/>
              <w:bottom w:val="single" w:color="auto" w:sz="4" w:space="0"/>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after="181" w:afterLines="50" w:line="240" w:lineRule="auto"/>
              <w:jc w:val="center"/>
              <w:rPr>
                <w:rFonts w:hint="default" w:ascii="Times New Roman" w:hAnsi="Times New Roman" w:cs="Times New Roman"/>
                <w:i w:val="0"/>
                <w:iCs w:val="0"/>
                <w:color w:val="000000"/>
                <w:sz w:val="24"/>
                <w:szCs w:val="24"/>
                <w:u w:val="none"/>
              </w:rPr>
            </w:pPr>
            <w:r>
              <w:rPr>
                <w:rFonts w:ascii="Times New Roman" w:hAnsi="Times New Roman" w:cs="Times New Roman"/>
                <w:sz w:val="24"/>
                <w:szCs w:val="24"/>
              </w:rPr>
              <w:t>0.02784</w:t>
            </w:r>
          </w:p>
        </w:tc>
      </w:tr>
    </w:tbl>
    <w:p>
      <w:pPr>
        <w:spacing w:line="360" w:lineRule="auto"/>
        <w:jc w:val="both"/>
        <w:rPr>
          <w:rFonts w:hint="default" w:ascii="Times New Roman" w:hAnsi="Times New Roman" w:cs="Times New Roman"/>
          <w:sz w:val="26"/>
          <w:szCs w:val="26"/>
          <w:lang w:val="en-US"/>
        </w:rPr>
      </w:pPr>
    </w:p>
    <w:p>
      <w:pPr>
        <w:spacing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drawing>
          <wp:inline distT="0" distB="0" distL="114300" distR="114300">
            <wp:extent cx="4827270" cy="8255635"/>
            <wp:effectExtent l="0" t="0" r="3810" b="4445"/>
            <wp:docPr id="14" name="Picture 14" descr="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19"/>
                    <pic:cNvPicPr>
                      <a:picLocks noChangeAspect="1"/>
                    </pic:cNvPicPr>
                  </pic:nvPicPr>
                  <pic:blipFill>
                    <a:blip r:embed="rId23"/>
                    <a:stretch>
                      <a:fillRect/>
                    </a:stretch>
                  </pic:blipFill>
                  <pic:spPr>
                    <a:xfrm>
                      <a:off x="0" y="0"/>
                      <a:ext cx="4827270" cy="8255635"/>
                    </a:xfrm>
                    <a:prstGeom prst="rect">
                      <a:avLst/>
                    </a:prstGeom>
                  </pic:spPr>
                </pic:pic>
              </a:graphicData>
            </a:graphic>
          </wp:inline>
        </w:drawing>
      </w:r>
    </w:p>
    <w:p>
      <w:pPr>
        <w:spacing w:line="240" w:lineRule="auto"/>
        <w:jc w:val="both"/>
        <w:rPr>
          <w:rFonts w:hint="default" w:ascii="Times New Roman" w:hAnsi="Times New Roman" w:cs="Times New Roman"/>
          <w:sz w:val="26"/>
          <w:szCs w:val="26"/>
          <w:lang w:val="en-US"/>
        </w:rPr>
      </w:pPr>
      <w:r>
        <w:rPr>
          <w:rFonts w:hint="default" w:ascii="Times New Roman" w:hAnsi="Times New Roman" w:cs="Times New Roman"/>
          <w:color w:val="000000" w:themeColor="text1"/>
          <w:sz w:val="28"/>
          <w:szCs w:val="28"/>
          <w:lang w:val="en-US"/>
          <w14:textFill>
            <w14:solidFill>
              <w14:schemeClr w14:val="tx1"/>
            </w14:solidFill>
          </w14:textFill>
        </w:rPr>
        <w:t>Fig.</w:t>
      </w:r>
      <w:r>
        <w:rPr>
          <w:rFonts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 xml:space="preserve">14. </w:t>
      </w:r>
      <w:r>
        <w:rPr>
          <w:rFonts w:hint="default" w:ascii="Times New Roman" w:hAnsi="Times New Roman"/>
          <w:color w:val="000000" w:themeColor="text1"/>
          <w:sz w:val="28"/>
          <w:szCs w:val="28"/>
          <w:lang w:val="en-US"/>
          <w14:textFill>
            <w14:solidFill>
              <w14:schemeClr w14:val="tx1"/>
            </w14:solidFill>
          </w14:textFill>
        </w:rPr>
        <w:t xml:space="preserve">Effect of storage time on (a) TA, and (b) weight loss of coated </w:t>
      </w:r>
      <w:r>
        <w:rPr>
          <w:rFonts w:hint="default" w:ascii="Times New Roman" w:hAnsi="Times New Roman"/>
          <w:color w:val="000000" w:themeColor="text1"/>
          <w:sz w:val="28"/>
          <w:szCs w:val="28"/>
          <w:lang w:val="en-US"/>
          <w14:textFill>
            <w14:solidFill>
              <w14:schemeClr w14:val="tx1"/>
            </w14:solidFill>
          </w14:textFill>
        </w:rPr>
        <w:tab/>
      </w:r>
      <w:r>
        <w:rPr>
          <w:rFonts w:hint="default" w:ascii="Times New Roman" w:hAnsi="Times New Roman"/>
          <w:color w:val="000000" w:themeColor="text1"/>
          <w:sz w:val="28"/>
          <w:szCs w:val="28"/>
          <w:lang w:val="en-US"/>
          <w14:textFill>
            <w14:solidFill>
              <w14:schemeClr w14:val="tx1"/>
            </w14:solidFill>
          </w14:textFill>
        </w:rPr>
        <w:tab/>
      </w:r>
      <w:r>
        <w:rPr>
          <w:rFonts w:hint="default" w:ascii="Times New Roman" w:hAnsi="Times New Roman"/>
          <w:color w:val="000000" w:themeColor="text1"/>
          <w:sz w:val="28"/>
          <w:szCs w:val="28"/>
          <w:lang w:val="en-US"/>
          <w14:textFill>
            <w14:solidFill>
              <w14:schemeClr w14:val="tx1"/>
            </w14:solidFill>
          </w14:textFill>
        </w:rPr>
        <w:t xml:space="preserve">  tomato fruit at best </w:t>
      </w:r>
      <w:r>
        <w:rPr>
          <w:rFonts w:hint="default" w:ascii="Times New Roman" w:hAnsi="Times New Roman"/>
          <w:i/>
          <w:iCs/>
          <w:color w:val="000000" w:themeColor="text1"/>
          <w:sz w:val="28"/>
          <w:szCs w:val="28"/>
          <w:lang w:val="en-US"/>
          <w14:textFill>
            <w14:solidFill>
              <w14:schemeClr w14:val="tx1"/>
            </w14:solidFill>
          </w14:textFill>
        </w:rPr>
        <w:t>MOCEB</w:t>
      </w:r>
      <w:r>
        <w:rPr>
          <w:rFonts w:hint="default" w:ascii="Times New Roman" w:hAnsi="Times New Roman"/>
          <w:color w:val="000000" w:themeColor="text1"/>
          <w:sz w:val="28"/>
          <w:szCs w:val="28"/>
          <w:lang w:val="en-US"/>
          <w14:textFill>
            <w14:solidFill>
              <w14:schemeClr w14:val="tx1"/>
            </w14:solidFill>
          </w14:textFill>
        </w:rPr>
        <w:t xml:space="preserve"> mixing ratio.</w:t>
      </w:r>
    </w:p>
    <w:p>
      <w:pPr>
        <w:spacing w:line="240" w:lineRule="auto"/>
        <w:jc w:val="both"/>
        <w:rPr>
          <w:rFonts w:hint="default" w:ascii="Times New Roman" w:hAnsi="Times New Roman" w:cs="Times New Roman"/>
          <w:sz w:val="26"/>
          <w:szCs w:val="26"/>
          <w:lang w:val="en-US"/>
        </w:rPr>
      </w:pPr>
    </w:p>
    <w:p>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3.4 Assay studies</w:t>
      </w:r>
    </w:p>
    <w:p>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3.4.1 Antimicrobial studies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antimicrobial activities of </w:t>
      </w:r>
      <w:r>
        <w:rPr>
          <w:rFonts w:ascii="Times New Roman" w:hAnsi="Times New Roman" w:cs="Times New Roman"/>
          <w:i/>
          <w:iCs/>
          <w:sz w:val="26"/>
          <w:szCs w:val="26"/>
        </w:rPr>
        <w:t>MOLE</w:t>
      </w:r>
      <w:r>
        <w:rPr>
          <w:rFonts w:ascii="Times New Roman" w:hAnsi="Times New Roman" w:cs="Times New Roman"/>
          <w:sz w:val="26"/>
          <w:szCs w:val="26"/>
        </w:rPr>
        <w:t xml:space="preserve">, chitosan, and </w:t>
      </w:r>
      <w:r>
        <w:rPr>
          <w:rFonts w:ascii="Times New Roman" w:hAnsi="Times New Roman" w:cs="Times New Roman"/>
          <w:i/>
          <w:iCs/>
          <w:sz w:val="26"/>
          <w:szCs w:val="26"/>
        </w:rPr>
        <w:t>MOCEB</w:t>
      </w:r>
      <w:r>
        <w:rPr>
          <w:rFonts w:ascii="Times New Roman" w:hAnsi="Times New Roman" w:cs="Times New Roman"/>
          <w:sz w:val="26"/>
          <w:szCs w:val="26"/>
        </w:rPr>
        <w:t xml:space="preserve"> against four microbial strains </w:t>
      </w:r>
      <w:r>
        <w:rPr>
          <w:rFonts w:ascii="Times New Roman" w:hAnsi="Times New Roman" w:cs="Times New Roman"/>
          <w:i/>
          <w:iCs/>
          <w:sz w:val="26"/>
          <w:szCs w:val="26"/>
        </w:rPr>
        <w:t>(E. coli, S. typhi, S. aureus, and B. cereus</w:t>
      </w:r>
      <w:r>
        <w:rPr>
          <w:rFonts w:ascii="Times New Roman" w:hAnsi="Times New Roman" w:cs="Times New Roman"/>
          <w:sz w:val="26"/>
          <w:szCs w:val="26"/>
        </w:rPr>
        <w:t>) were evaluated at different concentrations and compared to gentamicin antibiotics under identical conditions. The results of th</w:t>
      </w:r>
      <w:r>
        <w:rPr>
          <w:rFonts w:ascii="Times New Roman" w:hAnsi="Times New Roman" w:cs="Times New Roman"/>
          <w:sz w:val="26"/>
          <w:szCs w:val="26"/>
          <w:lang w:val="en-GB"/>
        </w:rPr>
        <w:t>ese</w:t>
      </w:r>
      <w:r>
        <w:rPr>
          <w:rFonts w:ascii="Times New Roman" w:hAnsi="Times New Roman" w:cs="Times New Roman"/>
          <w:sz w:val="26"/>
          <w:szCs w:val="26"/>
        </w:rPr>
        <w:t xml:space="preserve"> antimicrobial investigation w</w:t>
      </w:r>
      <w:r>
        <w:rPr>
          <w:rFonts w:ascii="Times New Roman" w:hAnsi="Times New Roman" w:cs="Times New Roman"/>
          <w:sz w:val="26"/>
          <w:szCs w:val="26"/>
          <w:lang w:val="en-GB"/>
        </w:rPr>
        <w:t>ere</w:t>
      </w:r>
      <w:r>
        <w:rPr>
          <w:rFonts w:ascii="Times New Roman" w:hAnsi="Times New Roman" w:cs="Times New Roman"/>
          <w:sz w:val="26"/>
          <w:szCs w:val="26"/>
        </w:rPr>
        <w:t xml:space="preserve"> presented in </w:t>
      </w:r>
      <w:r>
        <w:rPr>
          <w:rFonts w:ascii="Times New Roman" w:hAnsi="Times New Roman" w:cs="Times New Roman"/>
          <w:b/>
          <w:bCs/>
          <w:sz w:val="26"/>
          <w:szCs w:val="26"/>
        </w:rPr>
        <w:t>Figs.</w:t>
      </w:r>
      <w:r>
        <w:rPr>
          <w:rFonts w:ascii="Times New Roman" w:hAnsi="Times New Roman" w:cs="Times New Roman"/>
          <w:sz w:val="26"/>
          <w:szCs w:val="26"/>
        </w:rPr>
        <w:t xml:space="preserve"> </w:t>
      </w:r>
      <w:r>
        <w:rPr>
          <w:rFonts w:hint="default" w:ascii="Times New Roman" w:hAnsi="Times New Roman" w:cs="Times New Roman"/>
          <w:sz w:val="26"/>
          <w:szCs w:val="26"/>
          <w:lang w:val="en-US"/>
        </w:rPr>
        <w:t>15</w:t>
      </w:r>
      <w:r>
        <w:rPr>
          <w:rFonts w:ascii="Times New Roman" w:hAnsi="Times New Roman" w:cs="Times New Roman"/>
          <w:sz w:val="26"/>
          <w:szCs w:val="26"/>
        </w:rPr>
        <w:t xml:space="preserve"> and </w:t>
      </w:r>
      <w:r>
        <w:rPr>
          <w:rFonts w:hint="default" w:ascii="Times New Roman" w:hAnsi="Times New Roman" w:cs="Times New Roman"/>
          <w:sz w:val="26"/>
          <w:szCs w:val="26"/>
          <w:lang w:val="en-US"/>
        </w:rPr>
        <w:t>16</w:t>
      </w:r>
      <w:r>
        <w:rPr>
          <w:rFonts w:ascii="Times New Roman" w:hAnsi="Times New Roman" w:cs="Times New Roman"/>
          <w:sz w:val="26"/>
          <w:szCs w:val="26"/>
        </w:rPr>
        <w:t xml:space="preserve"> The results illustrate that at 25 mg/mL uniform concentration of MOLE and chitosan (</w:t>
      </w:r>
      <w:r>
        <w:rPr>
          <w:rFonts w:ascii="Times New Roman" w:hAnsi="Times New Roman" w:cs="Times New Roman"/>
          <w:b/>
          <w:bCs/>
          <w:sz w:val="26"/>
          <w:szCs w:val="26"/>
        </w:rPr>
        <w:t>Fig.</w:t>
      </w:r>
      <w:r>
        <w:rPr>
          <w:rFonts w:ascii="Times New Roman" w:hAnsi="Times New Roman" w:cs="Times New Roman"/>
          <w:sz w:val="26"/>
          <w:szCs w:val="26"/>
        </w:rPr>
        <w:t xml:space="preserve"> </w:t>
      </w:r>
      <w:r>
        <w:rPr>
          <w:rFonts w:hint="default" w:ascii="Times New Roman" w:hAnsi="Times New Roman" w:cs="Times New Roman"/>
          <w:sz w:val="26"/>
          <w:szCs w:val="26"/>
          <w:lang w:val="en-US"/>
        </w:rPr>
        <w:t>15</w:t>
      </w:r>
      <w:r>
        <w:rPr>
          <w:rFonts w:ascii="Times New Roman" w:hAnsi="Times New Roman" w:cs="Times New Roman"/>
          <w:sz w:val="26"/>
          <w:szCs w:val="26"/>
        </w:rPr>
        <w:t xml:space="preserve"> (a)), </w:t>
      </w:r>
      <w:r>
        <w:rPr>
          <w:rFonts w:ascii="Times New Roman" w:hAnsi="Times New Roman" w:cs="Times New Roman"/>
          <w:i/>
          <w:iCs/>
          <w:sz w:val="26"/>
          <w:szCs w:val="26"/>
        </w:rPr>
        <w:t>MOLE</w:t>
      </w:r>
      <w:r>
        <w:rPr>
          <w:rFonts w:ascii="Times New Roman" w:hAnsi="Times New Roman" w:cs="Times New Roman"/>
          <w:sz w:val="26"/>
          <w:szCs w:val="26"/>
        </w:rPr>
        <w:t xml:space="preserve"> performed better than chitosan in overall antimicrobial activity. However, the microbial inhibition potency of chitosan was enhanced at higher concentrations, culminating in a superior antagonistic performance against the bacteria compared to </w:t>
      </w:r>
      <w:r>
        <w:rPr>
          <w:rFonts w:ascii="Times New Roman" w:hAnsi="Times New Roman" w:cs="Times New Roman"/>
          <w:i/>
          <w:iCs/>
          <w:sz w:val="26"/>
          <w:szCs w:val="26"/>
        </w:rPr>
        <w:t>MOLE</w:t>
      </w:r>
      <w:r>
        <w:rPr>
          <w:rFonts w:ascii="Times New Roman" w:hAnsi="Times New Roman" w:cs="Times New Roman"/>
          <w:sz w:val="26"/>
          <w:szCs w:val="26"/>
        </w:rPr>
        <w:t xml:space="preserve"> at 100 mg/mL. It is noteworthy to state that at 25 mg/mL chitosan inhibitor concentration, the free amino acid content was not sufficient to initiate a significant inhibitory diffusion against the bacteria in the tomato agar medium. Increasing the chitosan inhibitor concentration to 100 mg/mL resulted in sufficient activity of the free amino acid content to propagate significant inhibition through well diffusion of the tomato agar. This trend of enhanced microbial inhibition efficiency following increment in chitosan and </w:t>
      </w:r>
      <w:r>
        <w:rPr>
          <w:rFonts w:ascii="Times New Roman" w:hAnsi="Times New Roman" w:cs="Times New Roman"/>
          <w:i/>
          <w:iCs/>
          <w:sz w:val="26"/>
          <w:szCs w:val="26"/>
        </w:rPr>
        <w:t>MOLE</w:t>
      </w:r>
      <w:r>
        <w:rPr>
          <w:rFonts w:ascii="Times New Roman" w:hAnsi="Times New Roman" w:cs="Times New Roman"/>
          <w:sz w:val="26"/>
          <w:szCs w:val="26"/>
        </w:rPr>
        <w:t xml:space="preserve"> inhibitor concentrations was also noted for other inhibitor substrates (see </w:t>
      </w:r>
      <w:r>
        <w:rPr>
          <w:rFonts w:ascii="Times New Roman" w:hAnsi="Times New Roman" w:cs="Times New Roman"/>
          <w:b/>
          <w:bCs/>
          <w:sz w:val="26"/>
          <w:szCs w:val="26"/>
        </w:rPr>
        <w:t>Figs.</w:t>
      </w:r>
      <w:r>
        <w:rPr>
          <w:rFonts w:ascii="Times New Roman" w:hAnsi="Times New Roman" w:cs="Times New Roman"/>
          <w:sz w:val="26"/>
          <w:szCs w:val="26"/>
        </w:rPr>
        <w:t xml:space="preserve"> </w:t>
      </w:r>
      <w:r>
        <w:rPr>
          <w:rFonts w:hint="default" w:ascii="Times New Roman" w:hAnsi="Times New Roman" w:cs="Times New Roman"/>
          <w:sz w:val="26"/>
          <w:szCs w:val="26"/>
          <w:lang w:val="en-US"/>
        </w:rPr>
        <w:t>15</w:t>
      </w:r>
      <w:r>
        <w:rPr>
          <w:rFonts w:ascii="Times New Roman" w:hAnsi="Times New Roman" w:cs="Times New Roman"/>
          <w:sz w:val="26"/>
          <w:szCs w:val="26"/>
        </w:rPr>
        <w:t xml:space="preserve"> and </w:t>
      </w:r>
      <w:r>
        <w:rPr>
          <w:rFonts w:hint="default" w:ascii="Times New Roman" w:hAnsi="Times New Roman" w:cs="Times New Roman"/>
          <w:sz w:val="26"/>
          <w:szCs w:val="26"/>
          <w:lang w:val="en-US"/>
        </w:rPr>
        <w:t>16</w:t>
      </w:r>
      <w:r>
        <w:rPr>
          <w:rFonts w:ascii="Times New Roman" w:hAnsi="Times New Roman" w:cs="Times New Roman"/>
          <w:sz w:val="26"/>
          <w:szCs w:val="26"/>
        </w:rPr>
        <w:t xml:space="preserve">). This observation underscores the concentration dependence of their antimicrobial activity in tomato </w:t>
      </w:r>
      <w:r>
        <w:rPr>
          <w:rFonts w:ascii="Times New Roman" w:hAnsi="Times New Roman" w:cs="Times New Roman"/>
          <w:sz w:val="26"/>
          <w:szCs w:val="26"/>
          <w:lang w:val="en-US"/>
        </w:rPr>
        <w:t>agar</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An overview of the antimicrobial activity of each inhibitor substrate reveals that </w:t>
      </w:r>
      <w:r>
        <w:rPr>
          <w:rFonts w:ascii="Times New Roman" w:hAnsi="Times New Roman" w:cs="Times New Roman"/>
          <w:i/>
          <w:iCs/>
          <w:sz w:val="26"/>
          <w:szCs w:val="26"/>
        </w:rPr>
        <w:t>MOLE</w:t>
      </w:r>
      <w:r>
        <w:rPr>
          <w:rFonts w:ascii="Times New Roman" w:hAnsi="Times New Roman" w:cs="Times New Roman"/>
          <w:sz w:val="26"/>
          <w:szCs w:val="26"/>
        </w:rPr>
        <w:t xml:space="preserve"> was more active in resisting the growth of gram-positive bacteria (</w:t>
      </w:r>
      <w:r>
        <w:rPr>
          <w:rFonts w:ascii="Times New Roman" w:hAnsi="Times New Roman" w:cs="Times New Roman"/>
          <w:i/>
          <w:iCs/>
          <w:sz w:val="26"/>
          <w:szCs w:val="26"/>
        </w:rPr>
        <w:t>S. aureus, and B. cereus</w:t>
      </w:r>
      <w:r>
        <w:rPr>
          <w:rFonts w:ascii="Times New Roman" w:hAnsi="Times New Roman" w:cs="Times New Roman"/>
          <w:sz w:val="26"/>
          <w:szCs w:val="26"/>
        </w:rPr>
        <w:t xml:space="preserve">), than the gram-negative </w:t>
      </w:r>
      <w:r>
        <w:rPr>
          <w:rFonts w:ascii="Times New Roman" w:hAnsi="Times New Roman" w:cs="Times New Roman"/>
          <w:i/>
          <w:iCs/>
          <w:sz w:val="26"/>
          <w:szCs w:val="26"/>
        </w:rPr>
        <w:t>E. coli and S. typhi</w:t>
      </w:r>
      <w:r>
        <w:rPr>
          <w:rFonts w:ascii="Times New Roman" w:hAnsi="Times New Roman" w:cs="Times New Roman"/>
          <w:sz w:val="26"/>
          <w:szCs w:val="26"/>
        </w:rPr>
        <w:t xml:space="preserve">. It is important to note that although gram-positive bacteria possess a thicker </w:t>
      </w:r>
      <w:r>
        <w:rPr>
          <w:rFonts w:ascii="Times New Roman" w:hAnsi="Times New Roman" w:cs="Times New Roman"/>
          <w:i/>
          <w:iCs/>
          <w:sz w:val="26"/>
          <w:szCs w:val="26"/>
        </w:rPr>
        <w:t>peptidoglycan</w:t>
      </w:r>
      <w:r>
        <w:rPr>
          <w:rFonts w:ascii="Times New Roman" w:hAnsi="Times New Roman" w:cs="Times New Roman"/>
          <w:sz w:val="26"/>
          <w:szCs w:val="26"/>
        </w:rPr>
        <w:t xml:space="preserve"> cell wall, these cell walls are easily susceptible to explosion and leakages following absorption of inhibitors. Given that the </w:t>
      </w:r>
      <w:r>
        <w:rPr>
          <w:rFonts w:ascii="Times New Roman" w:hAnsi="Times New Roman" w:cs="Times New Roman"/>
          <w:i/>
          <w:iCs/>
          <w:sz w:val="26"/>
          <w:szCs w:val="26"/>
        </w:rPr>
        <w:t>MOLE</w:t>
      </w:r>
      <w:r>
        <w:rPr>
          <w:rFonts w:ascii="Times New Roman" w:hAnsi="Times New Roman" w:cs="Times New Roman"/>
          <w:sz w:val="26"/>
          <w:szCs w:val="26"/>
        </w:rPr>
        <w:t xml:space="preserve"> substrate is less viscous compared to chitosan, it has a higher physical attribute of accumulating on the microbial cell wall than chitosan. This phenomenon is responsible for the higher antimicrobial activity of </w:t>
      </w:r>
      <w:r>
        <w:rPr>
          <w:rFonts w:ascii="Times New Roman" w:hAnsi="Times New Roman" w:cs="Times New Roman"/>
          <w:i/>
          <w:iCs/>
          <w:sz w:val="26"/>
          <w:szCs w:val="26"/>
        </w:rPr>
        <w:t>MOLE</w:t>
      </w:r>
      <w:r>
        <w:rPr>
          <w:rFonts w:ascii="Times New Roman" w:hAnsi="Times New Roman" w:cs="Times New Roman"/>
          <w:sz w:val="26"/>
          <w:szCs w:val="26"/>
        </w:rPr>
        <w:t xml:space="preserve"> on gram-positive bacteria than the gram-negative species. Notably, the synthesized </w:t>
      </w:r>
      <w:r>
        <w:rPr>
          <w:rFonts w:ascii="Times New Roman" w:hAnsi="Times New Roman" w:cs="Times New Roman"/>
          <w:i/>
          <w:iCs/>
          <w:sz w:val="26"/>
          <w:szCs w:val="26"/>
        </w:rPr>
        <w:t>MOCEB</w:t>
      </w:r>
      <w:r>
        <w:rPr>
          <w:rFonts w:ascii="Times New Roman" w:hAnsi="Times New Roman" w:cs="Times New Roman"/>
          <w:sz w:val="26"/>
          <w:szCs w:val="26"/>
        </w:rPr>
        <w:t xml:space="preserve"> biofilm exhibited high antimicrobial activity (gram positive; </w:t>
      </w:r>
      <m:oMath>
        <m:sSub>
          <m:sSubPr>
            <m:ctrlPr>
              <w:rPr>
                <w:rFonts w:ascii="Cambria Math" w:hAnsi="Cambria Math" w:cs="Times New Roman"/>
                <w:i/>
                <w:sz w:val="26"/>
                <w:szCs w:val="26"/>
              </w:rPr>
            </m:ctrlPr>
          </m:sSubPr>
          <m:e>
            <m:r>
              <m:rPr/>
              <w:rPr>
                <w:rFonts w:ascii="Cambria Math" w:hAnsi="Cambria Math" w:cs="Times New Roman"/>
                <w:sz w:val="26"/>
                <w:szCs w:val="26"/>
              </w:rPr>
              <m:t>r</m:t>
            </m:r>
            <m:ctrlPr>
              <w:rPr>
                <w:rFonts w:ascii="Cambria Math" w:hAnsi="Cambria Math" w:cs="Times New Roman"/>
                <w:i/>
                <w:sz w:val="26"/>
                <w:szCs w:val="26"/>
              </w:rPr>
            </m:ctrlPr>
          </m:e>
          <m:sub>
            <m:r>
              <m:rPr/>
              <w:rPr>
                <w:rFonts w:ascii="Cambria Math" w:hAnsi="Cambria Math" w:cs="Times New Roman"/>
                <w:sz w:val="26"/>
                <w:szCs w:val="26"/>
              </w:rPr>
              <m:t>A</m:t>
            </m:r>
            <m:ctrlPr>
              <w:rPr>
                <w:rFonts w:ascii="Cambria Math" w:hAnsi="Cambria Math" w:cs="Times New Roman"/>
                <w:i/>
                <w:sz w:val="26"/>
                <w:szCs w:val="26"/>
              </w:rPr>
            </m:ctrlPr>
          </m:sub>
        </m:sSub>
        <m:r>
          <m:rPr/>
          <w:rPr>
            <w:rFonts w:ascii="Cambria Math" w:hAnsi="Cambria Math" w:cs="Times New Roman"/>
            <w:sz w:val="26"/>
            <w:szCs w:val="26"/>
          </w:rPr>
          <m:t xml:space="preserve">=7.93 mm, </m:t>
        </m:r>
      </m:oMath>
      <w:r>
        <w:rPr>
          <w:rFonts w:ascii="Times New Roman" w:hAnsi="Times New Roman" w:cs="Times New Roman"/>
          <w:sz w:val="26"/>
          <w:szCs w:val="26"/>
        </w:rPr>
        <w:t xml:space="preserve">gram negative; </w:t>
      </w:r>
      <m:oMath>
        <m:sSub>
          <m:sSubPr>
            <m:ctrlPr>
              <w:rPr>
                <w:rFonts w:ascii="Cambria Math" w:hAnsi="Cambria Math" w:cs="Times New Roman"/>
                <w:i/>
                <w:sz w:val="26"/>
                <w:szCs w:val="26"/>
              </w:rPr>
            </m:ctrlPr>
          </m:sSubPr>
          <m:e>
            <m:r>
              <m:rPr/>
              <w:rPr>
                <w:rFonts w:ascii="Cambria Math" w:hAnsi="Cambria Math" w:cs="Times New Roman"/>
                <w:sz w:val="26"/>
                <w:szCs w:val="26"/>
              </w:rPr>
              <m:t>r</m:t>
            </m:r>
            <m:ctrlPr>
              <w:rPr>
                <w:rFonts w:ascii="Cambria Math" w:hAnsi="Cambria Math" w:cs="Times New Roman"/>
                <w:i/>
                <w:sz w:val="26"/>
                <w:szCs w:val="26"/>
              </w:rPr>
            </m:ctrlPr>
          </m:e>
          <m:sub>
            <m:r>
              <m:rPr/>
              <w:rPr>
                <w:rFonts w:ascii="Cambria Math" w:hAnsi="Cambria Math" w:cs="Times New Roman"/>
                <w:sz w:val="26"/>
                <w:szCs w:val="26"/>
              </w:rPr>
              <m:t>A</m:t>
            </m:r>
            <m:ctrlPr>
              <w:rPr>
                <w:rFonts w:ascii="Cambria Math" w:hAnsi="Cambria Math" w:cs="Times New Roman"/>
                <w:i/>
                <w:sz w:val="26"/>
                <w:szCs w:val="26"/>
              </w:rPr>
            </m:ctrlPr>
          </m:sub>
        </m:sSub>
        <m:r>
          <m:rPr/>
          <w:rPr>
            <w:rFonts w:ascii="Cambria Math" w:hAnsi="Cambria Math" w:cs="Times New Roman"/>
            <w:sz w:val="26"/>
            <w:szCs w:val="26"/>
          </w:rPr>
          <m:t>=7.73 mm</m:t>
        </m:r>
      </m:oMath>
      <w:r>
        <w:rPr>
          <w:rFonts w:ascii="Times New Roman" w:hAnsi="Times New Roman" w:cs="Times New Roman"/>
          <w:sz w:val="26"/>
          <w:szCs w:val="26"/>
        </w:rPr>
        <w:t>) comparable to the gentamicin positive control (</w:t>
      </w:r>
      <m:oMath>
        <m:sSub>
          <m:sSubPr>
            <m:ctrlPr>
              <w:rPr>
                <w:rFonts w:ascii="Cambria Math" w:hAnsi="Cambria Math" w:cs="Times New Roman"/>
                <w:i/>
                <w:sz w:val="26"/>
                <w:szCs w:val="26"/>
              </w:rPr>
            </m:ctrlPr>
          </m:sSubPr>
          <m:e>
            <m:r>
              <m:rPr/>
              <w:rPr>
                <w:rFonts w:ascii="Cambria Math" w:hAnsi="Cambria Math" w:cs="Times New Roman"/>
                <w:sz w:val="26"/>
                <w:szCs w:val="26"/>
              </w:rPr>
              <m:t>r</m:t>
            </m:r>
            <m:ctrlPr>
              <w:rPr>
                <w:rFonts w:ascii="Cambria Math" w:hAnsi="Cambria Math" w:cs="Times New Roman"/>
                <w:i/>
                <w:sz w:val="26"/>
                <w:szCs w:val="26"/>
              </w:rPr>
            </m:ctrlPr>
          </m:e>
          <m:sub>
            <m:r>
              <m:rPr/>
              <w:rPr>
                <w:rFonts w:ascii="Cambria Math" w:hAnsi="Cambria Math" w:cs="Times New Roman"/>
                <w:sz w:val="26"/>
                <w:szCs w:val="26"/>
              </w:rPr>
              <m:t>A</m:t>
            </m:r>
            <m:ctrlPr>
              <w:rPr>
                <w:rFonts w:ascii="Cambria Math" w:hAnsi="Cambria Math" w:cs="Times New Roman"/>
                <w:i/>
                <w:sz w:val="26"/>
                <w:szCs w:val="26"/>
              </w:rPr>
            </m:ctrlPr>
          </m:sub>
        </m:sSub>
        <m:r>
          <m:rPr/>
          <w:rPr>
            <w:rFonts w:ascii="Cambria Math" w:hAnsi="Cambria Math" w:cs="Times New Roman"/>
            <w:sz w:val="26"/>
            <w:szCs w:val="26"/>
          </w:rPr>
          <m:t xml:space="preserve"> =7.84 mm; </m:t>
        </m:r>
        <m:sSub>
          <m:sSubPr>
            <m:ctrlPr>
              <w:rPr>
                <w:rFonts w:ascii="Cambria Math" w:hAnsi="Cambria Math" w:cs="Times New Roman"/>
                <w:i/>
                <w:sz w:val="26"/>
                <w:szCs w:val="26"/>
              </w:rPr>
            </m:ctrlPr>
          </m:sSubPr>
          <m:e>
            <m:r>
              <m:rPr/>
              <w:rPr>
                <w:rFonts w:ascii="Cambria Math" w:hAnsi="Cambria Math" w:cs="Times New Roman"/>
                <w:sz w:val="26"/>
                <w:szCs w:val="26"/>
              </w:rPr>
              <m:t>r</m:t>
            </m:r>
            <m:ctrlPr>
              <w:rPr>
                <w:rFonts w:ascii="Cambria Math" w:hAnsi="Cambria Math" w:cs="Times New Roman"/>
                <w:i/>
                <w:sz w:val="26"/>
                <w:szCs w:val="26"/>
              </w:rPr>
            </m:ctrlPr>
          </m:e>
          <m:sub>
            <m:r>
              <m:rPr/>
              <w:rPr>
                <w:rFonts w:ascii="Cambria Math" w:hAnsi="Cambria Math" w:cs="Times New Roman"/>
                <w:sz w:val="26"/>
                <w:szCs w:val="26"/>
              </w:rPr>
              <m:t>A</m:t>
            </m:r>
            <m:ctrlPr>
              <w:rPr>
                <w:rFonts w:ascii="Cambria Math" w:hAnsi="Cambria Math" w:cs="Times New Roman"/>
                <w:i/>
                <w:sz w:val="26"/>
                <w:szCs w:val="26"/>
              </w:rPr>
            </m:ctrlPr>
          </m:sub>
        </m:sSub>
        <m:r>
          <m:rPr/>
          <w:rPr>
            <w:rFonts w:ascii="Cambria Math" w:hAnsi="Cambria Math" w:cs="Times New Roman"/>
            <w:sz w:val="26"/>
            <w:szCs w:val="26"/>
          </w:rPr>
          <m:t>= 8.0 mm</m:t>
        </m:r>
      </m:oMath>
      <w:r>
        <w:rPr>
          <w:rFonts w:ascii="Times New Roman" w:hAnsi="Times New Roman" w:cs="Times New Roman"/>
          <w:sz w:val="26"/>
          <w:szCs w:val="26"/>
        </w:rPr>
        <w:t xml:space="preserve">), and also greater than each of the constituents acting alone. Studies have shown that polycationic compounds have higher antibacterial activity compared to purer polyatomic substances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&lt;EndNote&gt;&lt;Cite&gt;&lt;Author&gt;Tan&lt;/Author&gt;&lt;Year&gt;2013&lt;/Year&gt;&lt;RecNum&gt;201&lt;/RecNum&gt;&lt;DisplayText&gt;(Tan et al., 2013)&lt;/DisplayText&gt;&lt;record&gt;&lt;rec-number&gt;201&lt;/rec-number&gt;&lt;foreign-keys&gt;&lt;key app="EN" db-id="edvassfwttpfsqe0xsop2wwg2f05wx552500" timestamp="1702664052"&gt;201&lt;/key&gt;&lt;/foreign-keys&gt;&lt;ref-type name="Journal Article"&gt;17&lt;/ref-type&gt;&lt;contributors&gt;&lt;authors&gt;&lt;author&gt;Tan, Honglue&lt;/author&gt;&lt;author&gt;Ma, Rui&lt;/author&gt;&lt;author&gt;Lin, Chucheng&lt;/author&gt;&lt;author&gt;Liu, Ziwei&lt;/author&gt;&lt;author&gt;Tang, Tingting&lt;/author&gt;&lt;/authors&gt;&lt;/contributors&gt;&lt;titles&gt;&lt;title&gt;Quaternized chitosan as an antimicrobial agent: antimicrobial activity, mechanism of action and biomedical applications in orthopedics&lt;/title&gt;&lt;secondary-title&gt;International journal of molecular sciences&lt;/secondary-title&gt;&lt;/titles&gt;&lt;periodical&gt;&lt;full-title&gt;International journal of molecular sciences&lt;/full-title&gt;&lt;/periodical&gt;&lt;pages&gt;1854-1869&lt;/pages&gt;&lt;volume&gt;14&lt;/volume&gt;&lt;number&gt;1&lt;/number&gt;&lt;dates&gt;&lt;year&gt;2013&lt;/year&gt;&lt;/dates&gt;&lt;isbn&gt;1422-0067&lt;/isbn&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(Tan et al., 2013)</w:t>
      </w:r>
      <w:r>
        <w:rPr>
          <w:rFonts w:ascii="Times New Roman" w:hAnsi="Times New Roman" w:cs="Times New Roman"/>
          <w:sz w:val="26"/>
          <w:szCs w:val="26"/>
        </w:rPr>
        <w:fldChar w:fldCharType="end"/>
      </w:r>
      <w:r>
        <w:rPr>
          <w:rFonts w:ascii="Times New Roman" w:hAnsi="Times New Roman" w:cs="Times New Roman"/>
          <w:sz w:val="26"/>
          <w:szCs w:val="26"/>
        </w:rPr>
        <w:t xml:space="preserve">. Chitosan constitutes a macromolecule which cannot readily penetrate the outer protective layer of microorganisms, making a direct distribution of chitosan to internal portions of the cell unattainable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&lt;EndNote&gt;&lt;Cite&gt;&lt;Author&gt;Wang&lt;/Author&gt;&lt;Year&gt;2020&lt;/Year&gt;&lt;RecNum&gt;202&lt;/RecNum&gt;&lt;DisplayText&gt;(Wang et al., 2020)&lt;/DisplayText&gt;&lt;record&gt;&lt;rec-number&gt;202&lt;/rec-number&gt;&lt;foreign-keys&gt;&lt;key app="EN" db-id="edvassfwttpfsqe0xsop2wwg2f05wx552500" timestamp="1702664533"&gt;202&lt;/key&gt;&lt;/foreign-keys&gt;&lt;ref-type name="Journal Article"&gt;17&lt;/ref-type&gt;&lt;contributors&gt;&lt;authors&gt;&lt;author&gt;Wang, Wenjie&lt;/author&gt;&lt;author&gt;Xue, Changhu&lt;/author&gt;&lt;author&gt;Mao, Xiangzhao&lt;/author&gt;&lt;/authors&gt;&lt;/contributors&gt;&lt;titles&gt;&lt;title&gt;Chitosan: Structural modification, biological activity and application&lt;/title&gt;&lt;secondary-title&gt;International Journal of Biological Macromolecules&lt;/secondary-title&gt;&lt;/titles&gt;&lt;periodical&gt;&lt;full-title&gt;International Journal of Biological Macromolecules&lt;/full-title&gt;&lt;/periodical&gt;&lt;pages&gt;4532-4546&lt;/pages&gt;&lt;volume&gt;164&lt;/volume&gt;&lt;dates&gt;&lt;year&gt;2020&lt;/year&gt;&lt;/dates&gt;&lt;isbn&gt;0141-8130&lt;/isbn&gt;&lt;urls&gt;&lt;/urls&gt;&lt;/record&gt;&lt;/Cite&gt;&lt;/EndNote&gt;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(Wang et al., 2020)</w:t>
      </w:r>
      <w:r>
        <w:rPr>
          <w:rFonts w:ascii="Times New Roman" w:hAnsi="Times New Roman" w:cs="Times New Roman"/>
          <w:sz w:val="26"/>
          <w:szCs w:val="26"/>
        </w:rPr>
        <w:fldChar w:fldCharType="end"/>
      </w:r>
      <w:r>
        <w:rPr>
          <w:rFonts w:ascii="Times New Roman" w:hAnsi="Times New Roman" w:cs="Times New Roman"/>
          <w:sz w:val="26"/>
          <w:szCs w:val="26"/>
        </w:rPr>
        <w:t xml:space="preserve">. The introduction of </w:t>
      </w:r>
      <w:r>
        <w:rPr>
          <w:rFonts w:ascii="Times New Roman" w:hAnsi="Times New Roman" w:cs="Times New Roman"/>
          <w:i/>
          <w:iCs/>
          <w:sz w:val="26"/>
          <w:szCs w:val="26"/>
        </w:rPr>
        <w:t>MOLE</w:t>
      </w:r>
      <w:r>
        <w:rPr>
          <w:rFonts w:ascii="Times New Roman" w:hAnsi="Times New Roman" w:cs="Times New Roman"/>
          <w:sz w:val="26"/>
          <w:szCs w:val="26"/>
        </w:rPr>
        <w:t xml:space="preserve"> into chitosan upgrades the antimicrobial activity of each component (</w:t>
      </w:r>
      <w:r>
        <w:rPr>
          <w:rFonts w:ascii="Times New Roman" w:hAnsi="Times New Roman" w:cs="Times New Roman"/>
          <w:i/>
          <w:iCs/>
          <w:sz w:val="26"/>
          <w:szCs w:val="26"/>
        </w:rPr>
        <w:t>MOCEB</w:t>
      </w:r>
      <w:r>
        <w:rPr>
          <w:rFonts w:ascii="Times New Roman" w:hAnsi="Times New Roman" w:cs="Times New Roman"/>
          <w:sz w:val="26"/>
          <w:szCs w:val="26"/>
        </w:rPr>
        <w:t xml:space="preserve">) by increasing the net cationic strength through addition of positive charges from </w:t>
      </w:r>
      <w:r>
        <w:rPr>
          <w:rFonts w:ascii="Times New Roman" w:hAnsi="Times New Roman" w:cs="Times New Roman"/>
          <w:i/>
          <w:iCs/>
          <w:sz w:val="26"/>
          <w:szCs w:val="26"/>
        </w:rPr>
        <w:t>MOLE</w:t>
      </w:r>
      <w:r>
        <w:rPr>
          <w:rFonts w:ascii="Times New Roman" w:hAnsi="Times New Roman" w:cs="Times New Roman"/>
          <w:sz w:val="26"/>
          <w:szCs w:val="26"/>
        </w:rPr>
        <w:t xml:space="preserve"> substrate </w:t>
      </w:r>
      <w:r>
        <w:rPr>
          <w:rFonts w:ascii="Times New Roman" w:hAnsi="Times New Roman" w:cs="Times New Roman"/>
          <w:sz w:val="26"/>
          <w:szCs w:val="26"/>
        </w:rPr>
        <w:fldChar w:fldCharType="begin">
          <w:fldData xml:space="preserve">PEVuZE5vdGU+PENpdGU+PEF1dGhvcj5XdTwvQXV0aG9yPjxZZWFyPjIwMjM8L1llYXI+PFJlY051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</w:fldData>
        </w:fldChar>
      </w:r>
      <w:r>
        <w:rPr>
          <w:rFonts w:ascii="Times New Roman" w:hAnsi="Times New Roman" w:cs="Times New Roman"/>
          <w:sz w:val="26"/>
          <w:szCs w:val="26"/>
        </w:rPr>
        <w:instrText xml:space="preserve"> ADDIN EN.CITE </w:instrText>
      </w:r>
      <w:r>
        <w:rPr>
          <w:rFonts w:ascii="Times New Roman" w:hAnsi="Times New Roman" w:cs="Times New Roman"/>
          <w:sz w:val="26"/>
          <w:szCs w:val="26"/>
        </w:rPr>
        <w:fldChar w:fldCharType="begin">
          <w:fldData xml:space="preserve">PEVuZE5vdGU+PENpdGU+PEF1dGhvcj5XdTwvQXV0aG9yPjxZZWFyPjIwMjM8L1llYXI+PFJlY051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</w:fldData>
        </w:fldChar>
      </w:r>
      <w:r>
        <w:rPr>
          <w:rFonts w:ascii="Times New Roman" w:hAnsi="Times New Roman" w:cs="Times New Roman"/>
          <w:sz w:val="26"/>
          <w:szCs w:val="26"/>
        </w:rPr>
        <w:instrText xml:space="preserve"> ADDIN EN.CITE.DATA </w:instrText>
      </w:r>
      <w:r>
        <w:rPr>
          <w:rFonts w:ascii="Times New Roman" w:hAnsi="Times New Roman" w:cs="Times New Roman"/>
          <w:sz w:val="26"/>
          <w:szCs w:val="26"/>
        </w:rPr>
        <w:fldChar w:fldCharType="end"/>
      </w:r>
      <w:r>
        <w:rPr>
          <w:rFonts w:ascii="Times New Roman" w:hAnsi="Times New Roman" w:cs="Times New Roman"/>
          <w:sz w:val="26"/>
          <w:szCs w:val="26"/>
        </w:rPr>
        <w:fldChar w:fldCharType="separate"/>
      </w:r>
      <w:r>
        <w:rPr>
          <w:rFonts w:ascii="Times New Roman" w:hAnsi="Times New Roman" w:cs="Times New Roman"/>
          <w:sz w:val="26"/>
          <w:szCs w:val="26"/>
        </w:rPr>
        <w:t>(Wu et al., 2023, Butt et al., 2023, Alsamhary, 2023)</w:t>
      </w:r>
      <w:r>
        <w:rPr>
          <w:rFonts w:ascii="Times New Roman" w:hAnsi="Times New Roman" w:cs="Times New Roman"/>
          <w:sz w:val="26"/>
          <w:szCs w:val="26"/>
        </w:rPr>
        <w:fldChar w:fldCharType="end"/>
      </w:r>
      <w:r>
        <w:rPr>
          <w:rFonts w:ascii="Times New Roman" w:hAnsi="Times New Roman" w:cs="Times New Roman"/>
          <w:sz w:val="26"/>
          <w:szCs w:val="26"/>
        </w:rPr>
        <w:t xml:space="preserve">. Consequently, the antimicrobial actions of </w:t>
      </w:r>
      <w:r>
        <w:rPr>
          <w:rFonts w:ascii="Times New Roman" w:hAnsi="Times New Roman" w:cs="Times New Roman"/>
          <w:i/>
          <w:iCs/>
          <w:sz w:val="26"/>
          <w:szCs w:val="26"/>
        </w:rPr>
        <w:t>MOCEB</w:t>
      </w:r>
      <w:r>
        <w:rPr>
          <w:rFonts w:ascii="Times New Roman" w:hAnsi="Times New Roman" w:cs="Times New Roman"/>
          <w:sz w:val="26"/>
          <w:szCs w:val="26"/>
        </w:rPr>
        <w:t xml:space="preserve"> can be hypothesized thus: the positively cationic groups of </w:t>
      </w:r>
      <w:r>
        <w:rPr>
          <w:rFonts w:ascii="Times New Roman" w:hAnsi="Times New Roman" w:cs="Times New Roman"/>
          <w:i/>
          <w:iCs/>
          <w:sz w:val="26"/>
          <w:szCs w:val="26"/>
        </w:rPr>
        <w:t>MOCEB</w:t>
      </w:r>
      <w:r>
        <w:rPr>
          <w:rFonts w:ascii="Times New Roman" w:hAnsi="Times New Roman" w:cs="Times New Roman"/>
          <w:sz w:val="26"/>
          <w:szCs w:val="26"/>
        </w:rPr>
        <w:t xml:space="preserve"> can interface with the lipopolysaccharides and proteins found primarily on the surface of the bacteria. The interactions between the cells causes an extreme distortion of the external layer framework, leading to proteinaceous cell leakage, and eventual inhibition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ADDIN EN.CITE &lt;EndNote&gt;&lt;Cite&gt;&lt;Author&gt;Panda&lt;/Author&gt;&lt;Year&gt;2023&lt;/Year&gt;&lt;RecNum&gt;203&lt;/RecNum&gt;&lt;DisplayText&gt;(Panda et al., 2023)&lt;/DisplayText&gt;&lt;record&gt;&lt;rec-number&gt;203&lt;/rec-number&gt;&lt;foreign-keys&gt;&lt;key app="EN" db-id="edvassfwttpfsqe0xsop2wwg2f05wx552500" timestamp="1702666520"&gt;203&lt;/key&gt;&lt;/foreign-keys&gt;&lt;ref-type name="Journal Article"&gt;17&lt;/ref-type&gt;&lt;contributors&gt;&lt;authors&gt;&lt;author&gt;Panda, Pradeep Kumar&lt;/author&gt;&lt;author&gt;Sadeghi, Kambiz&lt;/author&gt;&lt;author&gt;Park, Kitae&lt;/author&gt;&lt;author&gt;Seo, Jongchul&lt;/author&gt;&lt;/authors&gt;&lt;/contributors&gt;&lt;titles&gt;&lt;title&gt;Regeneration approach to enhance the antimicrobial and antioxidant activities of chitosan for biomedical applications&lt;/title&gt;&lt;secondary-title&gt;Polymers&lt;/secondary-title&gt;&lt;/titles&gt;&lt;periodical&gt;&lt;full-title&gt;Polymers&lt;/full-title&gt;&lt;/periodical&gt;&lt;pages&gt;132&lt;/pages&gt;&lt;volume&gt;15&lt;/volume&gt;&lt;number&gt;1&lt;/number&gt;&lt;dates&gt;&lt;year&gt;2023&lt;/year&gt;&lt;/dates&gt;&lt;isbn&gt;2073-4360&lt;/isbn&gt;&lt;urls&gt;&lt;/urls&gt;&lt;/record&gt;&lt;/Cite&gt;&lt;/EndNote&gt;</w:instrText>
      </w:r>
      <w:r>
        <w:rPr>
          <w:rFonts w:ascii="Times New Roman" w:hAnsi="Times New Roman" w:cs="Times New Roman"/>
          <w:sz w:val="26"/>
          <w:szCs w:val="26"/>
        </w:rPr>
        <w:fldChar w:fldCharType="separate"/>
      </w:r>
      <w:r>
        <w:rPr>
          <w:rFonts w:ascii="Times New Roman" w:hAnsi="Times New Roman" w:cs="Times New Roman"/>
          <w:sz w:val="26"/>
          <w:szCs w:val="26"/>
        </w:rPr>
        <w:t>(Panda et al., 2023)</w:t>
      </w:r>
      <w:r>
        <w:rPr>
          <w:rFonts w:ascii="Times New Roman" w:hAnsi="Times New Roman" w:cs="Times New Roman"/>
          <w:sz w:val="26"/>
          <w:szCs w:val="26"/>
        </w:rPr>
        <w:fldChar w:fldCharType="end"/>
      </w:r>
      <w:r>
        <w:rPr>
          <w:rFonts w:ascii="Times New Roman" w:hAnsi="Times New Roman" w:cs="Times New Roman"/>
          <w:sz w:val="26"/>
          <w:szCs w:val="26"/>
        </w:rPr>
        <w:t>.</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sectPr>
          <w:pgSz w:w="11906" w:h="16838"/>
          <w:pgMar w:top="1440" w:right="1800" w:bottom="1440" w:left="1800" w:header="720" w:footer="720" w:gutter="0"/>
          <w:lnNumType w:countBy="1" w:restart="continuous"/>
          <w:cols w:space="720" w:num="1"/>
          <w:docGrid w:linePitch="360" w:charSpace="0"/>
        </w:sectPr>
      </w:pPr>
    </w:p>
    <w:p>
      <w:pPr>
        <w:spacing w:line="240"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114300" distR="114300">
            <wp:extent cx="9035415" cy="4823460"/>
            <wp:effectExtent l="0" t="0" r="1905" b="7620"/>
            <wp:docPr id="35" name="Picture 3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cture1"/>
                    <pic:cNvPicPr>
                      <a:picLocks noChangeAspect="1"/>
                    </pic:cNvPicPr>
                  </pic:nvPicPr>
                  <pic:blipFill>
                    <a:blip r:embed="rId24"/>
                    <a:stretch>
                      <a:fillRect/>
                    </a:stretch>
                  </pic:blipFill>
                  <pic:spPr>
                    <a:xfrm>
                      <a:off x="0" y="0"/>
                      <a:ext cx="9035415" cy="4823460"/>
                    </a:xfrm>
                    <a:prstGeom prst="rect">
                      <a:avLst/>
                    </a:prstGeom>
                  </pic:spPr>
                </pic:pic>
              </a:graphicData>
            </a:graphic>
          </wp:inline>
        </w:drawing>
      </w:r>
    </w:p>
    <w:p>
      <w:pPr>
        <w:spacing w:line="240" w:lineRule="auto"/>
        <w:jc w:val="both"/>
        <w:rPr>
          <w:rFonts w:hint="default" w:ascii="Times New Roman" w:hAnsi="Times New Roman" w:cs="Times New Roman"/>
          <w:color w:val="000000" w:themeColor="text1"/>
          <w:sz w:val="26"/>
          <w:szCs w:val="26"/>
          <w:lang w:val="en-US"/>
          <w14:textFill>
            <w14:solidFill>
              <w14:schemeClr w14:val="tx1"/>
            </w14:solidFill>
          </w14:textFill>
        </w:rPr>
      </w:pPr>
      <w:r>
        <w:rPr>
          <w:rFonts w:hint="default" w:ascii="Times New Roman" w:hAnsi="Times New Roman" w:cs="Times New Roman"/>
          <w:color w:val="000000" w:themeColor="text1"/>
          <w:sz w:val="26"/>
          <w:szCs w:val="26"/>
          <w:lang w:val="en-US"/>
          <w14:textFill>
            <w14:solidFill>
              <w14:schemeClr w14:val="tx1"/>
            </w14:solidFill>
          </w14:textFill>
        </w:rPr>
        <w:t>Fig.</w:t>
      </w:r>
      <w:r>
        <w:rPr>
          <w:rFonts w:ascii="Times New Roman" w:hAnsi="Times New Roman" w:cs="Times New Roman"/>
          <w:color w:val="000000" w:themeColor="text1"/>
          <w:sz w:val="26"/>
          <w:szCs w:val="26"/>
          <w14:textFill>
            <w14:solidFill>
              <w14:schemeClr w14:val="tx1"/>
            </w14:solidFill>
          </w14:textFill>
        </w:rPr>
        <w:t xml:space="preserve"> </w:t>
      </w:r>
      <w:r>
        <w:rPr>
          <w:rFonts w:hint="default" w:ascii="Times New Roman" w:hAnsi="Times New Roman" w:cs="Times New Roman"/>
          <w:color w:val="000000" w:themeColor="text1"/>
          <w:sz w:val="26"/>
          <w:szCs w:val="26"/>
          <w:lang w:val="en-US"/>
          <w14:textFill>
            <w14:solidFill>
              <w14:schemeClr w14:val="tx1"/>
            </w14:solidFill>
          </w14:textFill>
        </w:rPr>
        <w:t xml:space="preserve">15. </w:t>
      </w:r>
      <w:r>
        <w:rPr>
          <w:rFonts w:hint="default" w:ascii="Times New Roman" w:hAnsi="Times New Roman"/>
          <w:color w:val="000000" w:themeColor="text1"/>
          <w:sz w:val="26"/>
          <w:szCs w:val="26"/>
          <w:lang w:val="en-US"/>
          <w14:textFill>
            <w14:solidFill>
              <w14:schemeClr w14:val="tx1"/>
            </w14:solidFill>
          </w14:textFill>
        </w:rPr>
        <w:t xml:space="preserve">Microbial resistance zone result of </w:t>
      </w:r>
      <w:r>
        <w:rPr>
          <w:rFonts w:hint="default" w:ascii="Times New Roman" w:hAnsi="Times New Roman"/>
          <w:i/>
          <w:iCs/>
          <w:color w:val="000000" w:themeColor="text1"/>
          <w:sz w:val="26"/>
          <w:szCs w:val="26"/>
          <w:lang w:val="en-US"/>
          <w14:textFill>
            <w14:solidFill>
              <w14:schemeClr w14:val="tx1"/>
            </w14:solidFill>
          </w14:textFill>
        </w:rPr>
        <w:t>MOLE</w:t>
      </w:r>
      <w:r>
        <w:rPr>
          <w:rFonts w:hint="default" w:ascii="Times New Roman" w:hAnsi="Times New Roman"/>
          <w:color w:val="000000" w:themeColor="text1"/>
          <w:sz w:val="26"/>
          <w:szCs w:val="26"/>
          <w:lang w:val="en-US"/>
          <w14:textFill>
            <w14:solidFill>
              <w14:schemeClr w14:val="tx1"/>
            </w14:solidFill>
          </w14:textFill>
        </w:rPr>
        <w:t xml:space="preserve">, Chitosan, </w:t>
      </w:r>
      <w:r>
        <w:rPr>
          <w:rFonts w:hint="default" w:ascii="Times New Roman" w:hAnsi="Times New Roman"/>
          <w:i/>
          <w:iCs/>
          <w:color w:val="000000" w:themeColor="text1"/>
          <w:sz w:val="26"/>
          <w:szCs w:val="26"/>
          <w:lang w:val="en-US"/>
          <w14:textFill>
            <w14:solidFill>
              <w14:schemeClr w14:val="tx1"/>
            </w14:solidFill>
          </w14:textFill>
        </w:rPr>
        <w:t>MOCEB</w:t>
      </w:r>
      <w:r>
        <w:rPr>
          <w:rFonts w:hint="default" w:ascii="Times New Roman" w:hAnsi="Times New Roman"/>
          <w:color w:val="000000" w:themeColor="text1"/>
          <w:sz w:val="26"/>
          <w:szCs w:val="26"/>
          <w:lang w:val="en-US"/>
          <w14:textFill>
            <w14:solidFill>
              <w14:schemeClr w14:val="tx1"/>
            </w14:solidFill>
          </w14:textFill>
        </w:rPr>
        <w:t xml:space="preserve"> and control (Gentamicin) at (a) 25 mg/mL, (b) 50 mg/mL, (c) </w:t>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75 mg/mL, (d) 100 mg/mL, against different microbial species in tomato agar.</w:t>
      </w:r>
    </w:p>
    <w:p>
      <w:pPr>
        <w:spacing w:line="240"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114300" distR="114300">
            <wp:extent cx="8951595" cy="4829810"/>
            <wp:effectExtent l="0" t="0" r="9525" b="1270"/>
            <wp:docPr id="36" name="Picture 36"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icture2"/>
                    <pic:cNvPicPr>
                      <a:picLocks noChangeAspect="1"/>
                    </pic:cNvPicPr>
                  </pic:nvPicPr>
                  <pic:blipFill>
                    <a:blip r:embed="rId25"/>
                    <a:stretch>
                      <a:fillRect/>
                    </a:stretch>
                  </pic:blipFill>
                  <pic:spPr>
                    <a:xfrm>
                      <a:off x="0" y="0"/>
                      <a:ext cx="8951595" cy="4829810"/>
                    </a:xfrm>
                    <a:prstGeom prst="rect">
                      <a:avLst/>
                    </a:prstGeom>
                  </pic:spPr>
                </pic:pic>
              </a:graphicData>
            </a:graphic>
          </wp:inline>
        </w:drawing>
      </w:r>
    </w:p>
    <w:p>
      <w:pPr>
        <w:spacing w:line="240" w:lineRule="auto"/>
        <w:jc w:val="both"/>
        <w:rPr>
          <w:rFonts w:hint="default" w:ascii="Times New Roman" w:hAnsi="Times New Roman" w:cs="Times New Roman"/>
          <w:color w:val="000000" w:themeColor="text1"/>
          <w:sz w:val="26"/>
          <w:szCs w:val="26"/>
          <w:lang w:val="en-US"/>
          <w14:textFill>
            <w14:solidFill>
              <w14:schemeClr w14:val="tx1"/>
            </w14:solidFill>
          </w14:textFill>
        </w:rPr>
        <w:sectPr>
          <w:pgSz w:w="16838" w:h="11906" w:orient="landscape"/>
          <w:pgMar w:top="1800" w:right="1440" w:bottom="1800" w:left="1440" w:header="720" w:footer="720" w:gutter="0"/>
          <w:lnNumType w:countBy="1" w:restart="continuous"/>
          <w:cols w:space="0" w:num="1"/>
          <w:rtlGutter w:val="0"/>
          <w:docGrid w:linePitch="360" w:charSpace="0"/>
        </w:sectPr>
      </w:pPr>
      <w:r>
        <w:rPr>
          <w:rFonts w:hint="default" w:ascii="Times New Roman" w:hAnsi="Times New Roman" w:cs="Times New Roman"/>
          <w:color w:val="000000" w:themeColor="text1"/>
          <w:sz w:val="26"/>
          <w:szCs w:val="26"/>
          <w:lang w:val="en-US"/>
          <w14:textFill>
            <w14:solidFill>
              <w14:schemeClr w14:val="tx1"/>
            </w14:solidFill>
          </w14:textFill>
        </w:rPr>
        <w:t>Fig.</w:t>
      </w:r>
      <w:r>
        <w:rPr>
          <w:rFonts w:ascii="Times New Roman" w:hAnsi="Times New Roman" w:cs="Times New Roman"/>
          <w:color w:val="000000" w:themeColor="text1"/>
          <w:sz w:val="26"/>
          <w:szCs w:val="26"/>
          <w14:textFill>
            <w14:solidFill>
              <w14:schemeClr w14:val="tx1"/>
            </w14:solidFill>
          </w14:textFill>
        </w:rPr>
        <w:t xml:space="preserve"> </w:t>
      </w:r>
      <w:r>
        <w:rPr>
          <w:rFonts w:hint="default" w:ascii="Times New Roman" w:hAnsi="Times New Roman" w:cs="Times New Roman"/>
          <w:color w:val="000000" w:themeColor="text1"/>
          <w:sz w:val="26"/>
          <w:szCs w:val="26"/>
          <w:lang w:val="en-US"/>
          <w14:textFill>
            <w14:solidFill>
              <w14:schemeClr w14:val="tx1"/>
            </w14:solidFill>
          </w14:textFill>
        </w:rPr>
        <w:t xml:space="preserve">16. </w:t>
      </w:r>
      <w:r>
        <w:rPr>
          <w:rFonts w:hint="default" w:ascii="Times New Roman" w:hAnsi="Times New Roman"/>
          <w:color w:val="000000" w:themeColor="text1"/>
          <w:sz w:val="26"/>
          <w:szCs w:val="26"/>
          <w:lang w:val="en-US"/>
          <w14:textFill>
            <w14:solidFill>
              <w14:schemeClr w14:val="tx1"/>
            </w14:solidFill>
          </w14:textFill>
        </w:rPr>
        <w:t xml:space="preserve">Microbial resistance zone result of </w:t>
      </w:r>
      <w:r>
        <w:rPr>
          <w:rFonts w:hint="default" w:ascii="Times New Roman" w:hAnsi="Times New Roman"/>
          <w:i/>
          <w:iCs/>
          <w:color w:val="000000" w:themeColor="text1"/>
          <w:sz w:val="26"/>
          <w:szCs w:val="26"/>
          <w:lang w:val="en-US"/>
          <w14:textFill>
            <w14:solidFill>
              <w14:schemeClr w14:val="tx1"/>
            </w14:solidFill>
          </w14:textFill>
        </w:rPr>
        <w:t>MOLE</w:t>
      </w:r>
      <w:r>
        <w:rPr>
          <w:rFonts w:hint="default" w:ascii="Times New Roman" w:hAnsi="Times New Roman"/>
          <w:color w:val="000000" w:themeColor="text1"/>
          <w:sz w:val="26"/>
          <w:szCs w:val="26"/>
          <w:lang w:val="en-US"/>
          <w14:textFill>
            <w14:solidFill>
              <w14:schemeClr w14:val="tx1"/>
            </w14:solidFill>
          </w14:textFill>
        </w:rPr>
        <w:t xml:space="preserve">, Chitosan, </w:t>
      </w:r>
      <w:r>
        <w:rPr>
          <w:rFonts w:hint="default" w:ascii="Times New Roman" w:hAnsi="Times New Roman"/>
          <w:i/>
          <w:iCs/>
          <w:color w:val="000000" w:themeColor="text1"/>
          <w:sz w:val="26"/>
          <w:szCs w:val="26"/>
          <w:lang w:val="en-US"/>
          <w14:textFill>
            <w14:solidFill>
              <w14:schemeClr w14:val="tx1"/>
            </w14:solidFill>
          </w14:textFill>
        </w:rPr>
        <w:t>MOCEB</w:t>
      </w:r>
      <w:r>
        <w:rPr>
          <w:rFonts w:hint="default" w:ascii="Times New Roman" w:hAnsi="Times New Roman"/>
          <w:color w:val="000000" w:themeColor="text1"/>
          <w:sz w:val="26"/>
          <w:szCs w:val="26"/>
          <w:lang w:val="en-US"/>
          <w14:textFill>
            <w14:solidFill>
              <w14:schemeClr w14:val="tx1"/>
            </w14:solidFill>
          </w14:textFill>
        </w:rPr>
        <w:t xml:space="preserve"> and control (Gentamicin) against (a) </w:t>
      </w:r>
      <w:r>
        <w:rPr>
          <w:rFonts w:hint="default" w:ascii="Times New Roman" w:hAnsi="Times New Roman"/>
          <w:i/>
          <w:iCs/>
          <w:color w:val="000000" w:themeColor="text1"/>
          <w:sz w:val="26"/>
          <w:szCs w:val="26"/>
          <w:lang w:val="en-US"/>
          <w14:textFill>
            <w14:solidFill>
              <w14:schemeClr w14:val="tx1"/>
            </w14:solidFill>
          </w14:textFill>
        </w:rPr>
        <w:t>E.Coli</w:t>
      </w:r>
      <w:r>
        <w:rPr>
          <w:rFonts w:hint="default" w:ascii="Times New Roman" w:hAnsi="Times New Roman"/>
          <w:color w:val="000000" w:themeColor="text1"/>
          <w:sz w:val="26"/>
          <w:szCs w:val="26"/>
          <w:lang w:val="en-US"/>
          <w14:textFill>
            <w14:solidFill>
              <w14:schemeClr w14:val="tx1"/>
            </w14:solidFill>
          </w14:textFill>
        </w:rPr>
        <w:t xml:space="preserve">, (b) </w:t>
      </w:r>
      <w:r>
        <w:rPr>
          <w:rFonts w:hint="default" w:ascii="Times New Roman" w:hAnsi="Times New Roman"/>
          <w:i/>
          <w:iCs/>
          <w:color w:val="000000" w:themeColor="text1"/>
          <w:sz w:val="26"/>
          <w:szCs w:val="26"/>
          <w:lang w:val="en-US"/>
          <w14:textFill>
            <w14:solidFill>
              <w14:schemeClr w14:val="tx1"/>
            </w14:solidFill>
          </w14:textFill>
        </w:rPr>
        <w:t>S. Typhi</w:t>
      </w:r>
      <w:r>
        <w:rPr>
          <w:rFonts w:hint="default" w:ascii="Times New Roman" w:hAnsi="Times New Roman"/>
          <w:color w:val="000000" w:themeColor="text1"/>
          <w:sz w:val="26"/>
          <w:szCs w:val="26"/>
          <w:lang w:val="en-US"/>
          <w14:textFill>
            <w14:solidFill>
              <w14:schemeClr w14:val="tx1"/>
            </w14:solidFill>
          </w14:textFill>
        </w:rPr>
        <w:t xml:space="preserve">, (c) </w:t>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i/>
          <w:iCs/>
          <w:color w:val="000000" w:themeColor="text1"/>
          <w:sz w:val="26"/>
          <w:szCs w:val="26"/>
          <w:lang w:val="en-US"/>
          <w14:textFill>
            <w14:solidFill>
              <w14:schemeClr w14:val="tx1"/>
            </w14:solidFill>
          </w14:textFill>
        </w:rPr>
        <w:t>S. Aureus</w:t>
      </w:r>
      <w:r>
        <w:rPr>
          <w:rFonts w:hint="default" w:ascii="Times New Roman" w:hAnsi="Times New Roman"/>
          <w:color w:val="000000" w:themeColor="text1"/>
          <w:sz w:val="26"/>
          <w:szCs w:val="26"/>
          <w:lang w:val="en-US"/>
          <w14:textFill>
            <w14:solidFill>
              <w14:schemeClr w14:val="tx1"/>
            </w14:solidFill>
          </w14:textFill>
        </w:rPr>
        <w:t xml:space="preserve">, (d) </w:t>
      </w:r>
      <w:r>
        <w:rPr>
          <w:rFonts w:hint="default" w:ascii="Times New Roman" w:hAnsi="Times New Roman"/>
          <w:i/>
          <w:iCs/>
          <w:color w:val="000000" w:themeColor="text1"/>
          <w:sz w:val="26"/>
          <w:szCs w:val="26"/>
          <w:lang w:val="en-US"/>
          <w14:textFill>
            <w14:solidFill>
              <w14:schemeClr w14:val="tx1"/>
            </w14:solidFill>
          </w14:textFill>
        </w:rPr>
        <w:t>B. Cereus</w:t>
      </w:r>
      <w:r>
        <w:rPr>
          <w:rFonts w:hint="default" w:ascii="Times New Roman" w:hAnsi="Times New Roman"/>
          <w:color w:val="000000" w:themeColor="text1"/>
          <w:sz w:val="26"/>
          <w:szCs w:val="26"/>
          <w:lang w:val="en-US"/>
          <w14:textFill>
            <w14:solidFill>
              <w14:schemeClr w14:val="tx1"/>
            </w14:solidFill>
          </w14:textFill>
        </w:rPr>
        <w:t xml:space="preserve">, at different concentration of inhibitors. </w:t>
      </w:r>
    </w:p>
    <w:p>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3.4.2 Antioxidant activity</w:t>
      </w:r>
    </w:p>
    <w:p>
      <w:pPr>
        <w:spacing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The ferric ion reducing antioxidant power (FRAP) and </w:t>
      </w:r>
      <w:r>
        <w:rPr>
          <w:rFonts w:ascii="Times New Roman" w:hAnsi="Times New Roman"/>
          <w:color w:val="000000" w:themeColor="text1"/>
          <w:sz w:val="26"/>
          <w:szCs w:val="26"/>
          <w14:textFill>
            <w14:solidFill>
              <w14:schemeClr w14:val="tx1"/>
            </w14:solidFill>
          </w14:textFill>
        </w:rPr>
        <w:t>2,2-diphenyl-1-picrylhydrazyl</w:t>
      </w:r>
      <w:r>
        <w:rPr>
          <w:rFonts w:ascii="Times New Roman" w:hAnsi="Times New Roman" w:cs="Times New Roman"/>
          <w:color w:val="000000" w:themeColor="text1"/>
          <w:sz w:val="26"/>
          <w:szCs w:val="26"/>
          <w14:textFill>
            <w14:solidFill>
              <w14:schemeClr w14:val="tx1"/>
            </w14:solidFill>
          </w14:textFill>
        </w:rPr>
        <w:t xml:space="preserve"> (DPPH) were used to assess the antioxidant activity of the biofilms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chitosan, and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The results were compared to the antioxid</w:t>
      </w:r>
      <w:r>
        <w:rPr>
          <w:rFonts w:ascii="Times New Roman" w:hAnsi="Times New Roman" w:cs="Times New Roman"/>
          <w:color w:val="000000" w:themeColor="text1"/>
          <w:sz w:val="26"/>
          <w:szCs w:val="26"/>
          <w:lang w:val="en-GB"/>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nt activity of an established free radical scavenger (garlic oil) as depicted in </w:t>
      </w:r>
      <w:r>
        <w:rPr>
          <w:rFonts w:ascii="Times New Roman" w:hAnsi="Times New Roman" w:cs="Times New Roman"/>
          <w:b/>
          <w:bCs/>
          <w:color w:val="000000" w:themeColor="text1"/>
          <w:sz w:val="26"/>
          <w:szCs w:val="26"/>
          <w14:textFill>
            <w14:solidFill>
              <w14:schemeClr w14:val="tx1"/>
            </w14:solidFill>
          </w14:textFill>
        </w:rPr>
        <w:t>Figs.</w:t>
      </w:r>
      <w:r>
        <w:rPr>
          <w:rFonts w:ascii="Times New Roman" w:hAnsi="Times New Roman" w:cs="Times New Roman"/>
          <w:color w:val="000000" w:themeColor="text1"/>
          <w:sz w:val="26"/>
          <w:szCs w:val="26"/>
          <w14:textFill>
            <w14:solidFill>
              <w14:schemeClr w14:val="tx1"/>
            </w14:solidFill>
          </w14:textFill>
        </w:rPr>
        <w:t xml:space="preserve"> </w:t>
      </w:r>
      <w:r>
        <w:rPr>
          <w:rFonts w:hint="default" w:ascii="Times New Roman" w:hAnsi="Times New Roman" w:cs="Times New Roman"/>
          <w:color w:val="000000" w:themeColor="text1"/>
          <w:sz w:val="26"/>
          <w:szCs w:val="26"/>
          <w:lang w:val="en-US"/>
          <w14:textFill>
            <w14:solidFill>
              <w14:schemeClr w14:val="tx1"/>
            </w14:solidFill>
          </w14:textFill>
        </w:rPr>
        <w:t>17 (a)</w:t>
      </w:r>
      <w:r>
        <w:rPr>
          <w:rFonts w:ascii="Times New Roman" w:hAnsi="Times New Roman" w:cs="Times New Roman"/>
          <w:color w:val="000000" w:themeColor="text1"/>
          <w:sz w:val="26"/>
          <w:szCs w:val="26"/>
          <w14:textFill>
            <w14:solidFill>
              <w14:schemeClr w14:val="tx1"/>
            </w14:solidFill>
          </w14:textFill>
        </w:rPr>
        <w:t xml:space="preserve"> - </w:t>
      </w:r>
      <w:r>
        <w:rPr>
          <w:rFonts w:hint="default" w:ascii="Times New Roman" w:hAnsi="Times New Roman" w:cs="Times New Roman"/>
          <w:color w:val="000000" w:themeColor="text1"/>
          <w:sz w:val="26"/>
          <w:szCs w:val="26"/>
          <w:lang w:val="en-US"/>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DPPH is a free radical with stable structure that takes and </w:t>
      </w:r>
      <w:r>
        <w:rPr>
          <w:rFonts w:ascii="Times New Roman" w:hAnsi="Times New Roman" w:cs="Times New Roman"/>
          <w:color w:val="000000" w:themeColor="text1"/>
          <w:sz w:val="26"/>
          <w:szCs w:val="26"/>
          <w:lang w:val="en-GB"/>
          <w14:textFill>
            <w14:solidFill>
              <w14:schemeClr w14:val="tx1"/>
            </w14:solidFill>
          </w14:textFill>
        </w:rPr>
        <w:t xml:space="preserve">an </w:t>
      </w:r>
      <w:r>
        <w:rPr>
          <w:rFonts w:ascii="Times New Roman" w:hAnsi="Times New Roman" w:cs="Times New Roman"/>
          <w:color w:val="000000" w:themeColor="text1"/>
          <w:sz w:val="26"/>
          <w:szCs w:val="26"/>
          <w14:textFill>
            <w14:solidFill>
              <w14:schemeClr w14:val="tx1"/>
            </w14:solidFill>
          </w14:textFill>
        </w:rPr>
        <w:t>electron or hydrogen radical to generate a diamagnetic molecule that is commonly utilized in radical scavenging studies. The antioxidant scavenging activity describe</w:t>
      </w:r>
      <w:r>
        <w:rPr>
          <w:rFonts w:ascii="Times New Roman" w:hAnsi="Times New Roman" w:cs="Times New Roman"/>
          <w:color w:val="000000" w:themeColor="text1"/>
          <w:sz w:val="26"/>
          <w:szCs w:val="26"/>
          <w:highlight w:val="none"/>
          <w14:textFill>
            <w14:solidFill>
              <w14:schemeClr w14:val="tx1"/>
            </w14:solidFill>
          </w14:textFill>
        </w:rPr>
        <w:t xml:space="preserve">d in section </w:t>
      </w:r>
      <w:r>
        <w:rPr>
          <w:rFonts w:hint="default" w:ascii="Times New Roman" w:hAnsi="Times New Roman" w:cs="Times New Roman"/>
          <w:color w:val="000000" w:themeColor="text1"/>
          <w:sz w:val="26"/>
          <w:szCs w:val="26"/>
          <w:highlight w:val="none"/>
          <w:lang w:val="en-US"/>
          <w14:textFill>
            <w14:solidFill>
              <w14:schemeClr w14:val="tx1"/>
            </w14:solidFill>
          </w14:textFill>
        </w:rPr>
        <w:t>2.2.6.2</w:t>
      </w:r>
      <w:r>
        <w:rPr>
          <w:rFonts w:ascii="Times New Roman" w:hAnsi="Times New Roman" w:cs="Times New Roman"/>
          <w:color w:val="000000" w:themeColor="text1"/>
          <w:sz w:val="26"/>
          <w:szCs w:val="26"/>
          <w:highlight w:val="none"/>
          <w14:textFill>
            <w14:solidFill>
              <w14:schemeClr w14:val="tx1"/>
            </w14:solidFill>
          </w14:textFill>
        </w:rPr>
        <w:t xml:space="preserve"> w</w:t>
      </w:r>
      <w:r>
        <w:rPr>
          <w:rFonts w:ascii="Times New Roman" w:hAnsi="Times New Roman" w:cs="Times New Roman"/>
          <w:color w:val="000000" w:themeColor="text1"/>
          <w:sz w:val="26"/>
          <w:szCs w:val="26"/>
          <w14:textFill>
            <w14:solidFill>
              <w14:schemeClr w14:val="tx1"/>
            </w14:solidFill>
          </w14:textFill>
        </w:rPr>
        <w:t xml:space="preserve">as used to assess the DPPH and FRAP assays of the biofilms and positive control. The DPPH radical scavenging activities of chitosan,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were 34, 41 and 71%, respectively. The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biofilm exhibited a potential antioxidant activity comparable to that of the garlic oil positive control under identical conditions. Furthermore, it is important to state that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substrate exhibited DPPH antioxidant activity than chitosan, while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demonstrated significantly higher antioxidant activities than both constituents. Due to the existence of numerous antioxidant components, such as flavonoids and phenolics listed in </w:t>
      </w:r>
      <w:r>
        <w:rPr>
          <w:rFonts w:ascii="Times New Roman" w:hAnsi="Times New Roman" w:cs="Times New Roman"/>
          <w:b/>
          <w:bCs/>
          <w:color w:val="000000" w:themeColor="text1"/>
          <w:sz w:val="26"/>
          <w:szCs w:val="26"/>
          <w14:textFill>
            <w14:solidFill>
              <w14:schemeClr w14:val="tx1"/>
            </w14:solidFill>
          </w14:textFill>
        </w:rPr>
        <w:t>Table</w:t>
      </w:r>
      <w:r>
        <w:rPr>
          <w:rFonts w:ascii="Times New Roman" w:hAnsi="Times New Roman" w:cs="Times New Roman"/>
          <w:color w:val="000000" w:themeColor="text1"/>
          <w:sz w:val="26"/>
          <w:szCs w:val="26"/>
          <w14:textFill>
            <w14:solidFill>
              <w14:schemeClr w14:val="tx1"/>
            </w14:solidFill>
          </w14:textFill>
        </w:rPr>
        <w:t xml:space="preserve"> </w:t>
      </w:r>
      <w:r>
        <w:rPr>
          <w:rFonts w:hint="default" w:ascii="Times New Roman" w:hAnsi="Times New Roman" w:cs="Times New Roman"/>
          <w:color w:val="000000" w:themeColor="text1"/>
          <w:sz w:val="26"/>
          <w:szCs w:val="26"/>
          <w:lang w:val="en-US"/>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is a rich source of organic antioxidants. Also, the detection of two prominent flavonoids (Quercetin and kaempferol) with verified antioxidant capacities is of particular interest. The flavonoids, particularly Quercetin, contains phenolic hydroxyl groups which has potential therapeutic applications, and have also been used in various free radical scavenging studies </w:t>
      </w:r>
      <w:r>
        <w:rPr>
          <w:rFonts w:ascii="Times New Roman" w:hAnsi="Times New Roman" w:cs="Times New Roman"/>
          <w:color w:val="000000" w:themeColor="text1"/>
          <w:sz w:val="26"/>
          <w:szCs w:val="26"/>
          <w14:textFill>
            <w14:solidFill>
              <w14:schemeClr w14:val="tx1"/>
            </w14:solidFill>
          </w14:textFill>
        </w:rPr>
        <w:fldChar w:fldCharType="begin">
          <w:fldData xml:space="preserve">PEVuZE5vdGU+PENpdGU+PEF1dGhvcj5BemVlbTwvQXV0aG9yPjxZZWFyPjIwMjM8L1llYXI+PFJl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</w:fldData>
        </w:fldChar>
      </w:r>
      <w:r>
        <w:rPr>
          <w:rFonts w:ascii="Times New Roman" w:hAnsi="Times New Roman" w:cs="Times New Roman"/>
          <w:color w:val="000000" w:themeColor="text1"/>
          <w:sz w:val="26"/>
          <w:szCs w:val="26"/>
          <w14:textFill>
            <w14:solidFill>
              <w14:schemeClr w14:val="tx1"/>
            </w14:solidFill>
          </w14:textFill>
        </w:rPr>
        <w:instrText xml:space="preserve"> ADDIN EN.CITE </w:instrText>
      </w:r>
      <w:r>
        <w:rPr>
          <w:rFonts w:ascii="Times New Roman" w:hAnsi="Times New Roman" w:cs="Times New Roman"/>
          <w:color w:val="000000" w:themeColor="text1"/>
          <w:sz w:val="26"/>
          <w:szCs w:val="26"/>
          <w14:textFill>
            <w14:solidFill>
              <w14:schemeClr w14:val="tx1"/>
            </w14:solidFill>
          </w14:textFill>
        </w:rPr>
        <w:fldChar w:fldCharType="begin">
          <w:fldData xml:space="preserve">PEVuZE5vdGU+PENpdGU+PEF1dGhvcj5BemVlbTwvQXV0aG9yPjxZZWFyPjIwMjM8L1llYXI+PFJl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</w:fldData>
        </w:fldChar>
      </w:r>
      <w:r>
        <w:rPr>
          <w:rFonts w:ascii="Times New Roman" w:hAnsi="Times New Roman" w:cs="Times New Roman"/>
          <w:color w:val="000000" w:themeColor="text1"/>
          <w:sz w:val="26"/>
          <w:szCs w:val="26"/>
          <w14:textFill>
            <w14:solidFill>
              <w14:schemeClr w14:val="tx1"/>
            </w14:solidFill>
          </w14:textFill>
        </w:rPr>
        <w:instrText xml:space="preserve"> ADDIN EN.CITE.DATA </w:instrTex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(Azeem et al., 2023, Shahbaz et al., 2023, Visco et al., 2022)</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These flavonoids and phenolic constituents make up a significant amount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phytochemical composition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&lt;EndNote&gt;&lt;Cite&gt;&lt;Author&gt;Sankhalkar&lt;/Author&gt;&lt;Year&gt;2016&lt;/Year&gt;&lt;RecNum&gt;217&lt;/RecNum&gt;&lt;DisplayText&gt;(Sankhalkar and Vernekar, 2016)&lt;/DisplayText&gt;&lt;record&gt;&lt;rec-number&gt;217&lt;/rec-number&gt;&lt;foreign-keys&gt;&lt;key app="EN" db-id="edvassfwttpfsqe0xsop2wwg2f05wx552500" timestamp="1702820978"&gt;217&lt;/key&gt;&lt;/foreign-keys&gt;&lt;ref-type name="Journal Article"&gt;17&lt;/ref-type&gt;&lt;contributors&gt;&lt;authors&gt;&lt;author&gt;Sankhalkar, Sangeeta&lt;/author&gt;&lt;author&gt;Vernekar, Vrunda&lt;/author&gt;&lt;/authors&gt;&lt;/contributors&gt;&lt;titles&gt;&lt;title&gt;Quantitative and Qualitative analysis of Phenolic and Flavonoid content in Moringa oleifera Lam and Ocimum tenuiflorum L&lt;/title&gt;&lt;secondary-title&gt;Pharmacognosy research&lt;/secondary-title&gt;&lt;/titles&gt;&lt;periodical&gt;&lt;full-title&gt;Pharmacognosy research&lt;/full-title&gt;&lt;/periodical&gt;&lt;pages&gt;16&lt;/pages&gt;&lt;volume&gt;8&lt;/volume&gt;&lt;number&gt;1&lt;/number&gt;&lt;dates&gt;&lt;year&gt;2016&lt;/year&gt;&lt;/dates&gt;&lt;urls&gt;&lt;/urls&gt;&lt;/record&gt;&lt;/Cite&gt;&lt;/EndNote&gt;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(Sankhalkar and Vernekar, 2016)</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This is not the same case with chitosan, where the only strong hydrogen donating ability is a function of the concentration and class of molecular weight. According to Vinsova and Vavrikova </w:t>
      </w:r>
      <w:r>
        <w:rPr>
          <w:rFonts w:ascii="Times New Roman" w:hAnsi="Times New Roman" w:cs="Times New Roman"/>
          <w:color w:val="000000" w:themeColor="text1"/>
          <w:sz w:val="26"/>
          <w:szCs w:val="26"/>
          <w14:textFill>
            <w14:solidFill>
              <w14:schemeClr w14:val="tx1"/>
            </w14:solidFill>
          </w14:textFill>
        </w:rPr>
        <w:fldChar w:fldCharType="begin"/>
      </w:r>
      <w:r>
        <w:rPr>
          <w:rFonts w:ascii="Times New Roman" w:hAnsi="Times New Roman" w:cs="Times New Roman"/>
          <w:color w:val="000000" w:themeColor="text1"/>
          <w:sz w:val="26"/>
          <w:szCs w:val="26"/>
          <w14:textFill>
            <w14:solidFill>
              <w14:schemeClr w14:val="tx1"/>
            </w14:solidFill>
          </w14:textFill>
        </w:rPr>
        <w:instrText xml:space="preserve"> ADDIN EN.CITE &lt;EndNote&gt;&lt;Cite&gt;&lt;Author&gt;Vinsova&lt;/Author&gt;&lt;Year&gt;2011&lt;/Year&gt;&lt;RecNum&gt;218&lt;/RecNum&gt;&lt;DisplayText&gt;(Vinsova and Vavrikova, 2011)&lt;/DisplayText&gt;&lt;record&gt;&lt;rec-number&gt;218&lt;/rec-number&gt;&lt;foreign-keys&gt;&lt;key app="EN" db-id="edvassfwttpfsqe0xsop2wwg2f05wx552500" timestamp="1702821233"&gt;218&lt;/key&gt;&lt;/foreign-keys&gt;&lt;ref-type name="Journal Article"&gt;17&lt;/ref-type&gt;&lt;contributors&gt;&lt;authors&gt;&lt;author&gt;Vinsova, Jarmila&lt;/author&gt;&lt;author&gt;Vavrikova, Eva&lt;/author&gt;&lt;/authors&gt;&lt;/contributors&gt;&lt;titles&gt;&lt;title&gt;Chitosan derivatives with antimicrobial, antitumour and antioxidant activities-a review&lt;/title&gt;&lt;secondary-title&gt;Current pharmaceutical design&lt;/secondary-title&gt;&lt;/titles&gt;&lt;periodical&gt;&lt;full-title&gt;Current pharmaceutical design&lt;/full-title&gt;&lt;/periodical&gt;&lt;pages&gt;3596-3607&lt;/pages&gt;&lt;volume&gt;17&lt;/volume&gt;&lt;number&gt;32&lt;/number&gt;&lt;dates&gt;&lt;year&gt;2011&lt;/year&gt;&lt;/dates&gt;&lt;isbn&gt;1381-6128&lt;/isbn&gt;&lt;urls&gt;&lt;/urls&gt;&lt;/record&gt;&lt;/Cite&gt;&lt;/EndNote&gt;</w:instrText>
      </w:r>
      <w:r>
        <w:rPr>
          <w:rFonts w:ascii="Times New Roman" w:hAnsi="Times New Roman" w:cs="Times New Roman"/>
          <w:color w:val="000000" w:themeColor="text1"/>
          <w:sz w:val="26"/>
          <w:szCs w:val="26"/>
          <w14:textFill>
            <w14:solidFill>
              <w14:schemeClr w14:val="tx1"/>
            </w14:solidFill>
          </w14:textFill>
        </w:rPr>
        <w:fldChar w:fldCharType="separate"/>
      </w:r>
      <w:r>
        <w:rPr>
          <w:rFonts w:ascii="Times New Roman" w:hAnsi="Times New Roman" w:cs="Times New Roman"/>
          <w:color w:val="000000" w:themeColor="text1"/>
          <w:sz w:val="26"/>
          <w:szCs w:val="26"/>
          <w14:textFill>
            <w14:solidFill>
              <w14:schemeClr w14:val="tx1"/>
            </w14:solidFill>
          </w14:textFill>
        </w:rPr>
        <w:t>(Vinsova and Vavrikova, 2011)</w:t>
      </w:r>
      <w:r>
        <w:rPr>
          <w:rFonts w:ascii="Times New Roman" w:hAnsi="Times New Roman" w:cs="Times New Roman"/>
          <w:color w:val="000000" w:themeColor="text1"/>
          <w:sz w:val="26"/>
          <w:szCs w:val="26"/>
          <w14:textFill>
            <w14:solidFill>
              <w14:schemeClr w14:val="tx1"/>
            </w14:solidFill>
          </w14:textFill>
        </w:rPr>
        <w:fldChar w:fldCharType="end"/>
      </w:r>
      <w:r>
        <w:rPr>
          <w:rFonts w:ascii="Times New Roman" w:hAnsi="Times New Roman" w:cs="Times New Roman"/>
          <w:color w:val="000000" w:themeColor="text1"/>
          <w:sz w:val="26"/>
          <w:szCs w:val="26"/>
          <w14:textFill>
            <w14:solidFill>
              <w14:schemeClr w14:val="tx1"/>
            </w14:solidFill>
          </w14:textFill>
        </w:rPr>
        <w:t xml:space="preserve">, increase in concentration of low molecular weight chitosan enhances the antioxidant activity. In the current study, 1% concentration of  medium molecular weight chitosan was used to carryout the antioxidant investigation. This explanations justifies the superior performance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over chitosan throughout the free radical scavenging studies. The hydrogen donating ability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and chitosan was improved in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as depicted in DPPH and FRAP results. The incorporation of </w:t>
      </w:r>
      <w:r>
        <w:rPr>
          <w:rFonts w:ascii="Times New Roman" w:hAnsi="Times New Roman" w:cs="Times New Roman"/>
          <w:i/>
          <w:iCs/>
          <w:color w:val="000000" w:themeColor="text1"/>
          <w:sz w:val="26"/>
          <w:szCs w:val="26"/>
          <w14:textFill>
            <w14:solidFill>
              <w14:schemeClr w14:val="tx1"/>
            </w14:solidFill>
          </w14:textFill>
        </w:rPr>
        <w:t>MOLE</w:t>
      </w:r>
      <w:r>
        <w:rPr>
          <w:rFonts w:ascii="Times New Roman" w:hAnsi="Times New Roman" w:cs="Times New Roman"/>
          <w:color w:val="000000" w:themeColor="text1"/>
          <w:sz w:val="26"/>
          <w:szCs w:val="26"/>
          <w14:textFill>
            <w14:solidFill>
              <w14:schemeClr w14:val="tx1"/>
            </w14:solidFill>
          </w14:textFill>
        </w:rPr>
        <w:t xml:space="preserve"> onto the chitosan network modified the antioxidant activities of both constituents compared to each of them acting alone. The resulting </w:t>
      </w:r>
      <w:r>
        <w:rPr>
          <w:rFonts w:ascii="Times New Roman" w:hAnsi="Times New Roman" w:cs="Times New Roman"/>
          <w:i/>
          <w:iCs/>
          <w:color w:val="000000" w:themeColor="text1"/>
          <w:sz w:val="26"/>
          <w:szCs w:val="26"/>
          <w14:textFill>
            <w14:solidFill>
              <w14:schemeClr w14:val="tx1"/>
            </w14:solidFill>
          </w14:textFill>
        </w:rPr>
        <w:t>MOCEB</w:t>
      </w:r>
      <w:r>
        <w:rPr>
          <w:rFonts w:ascii="Times New Roman" w:hAnsi="Times New Roman" w:cs="Times New Roman"/>
          <w:color w:val="000000" w:themeColor="text1"/>
          <w:sz w:val="26"/>
          <w:szCs w:val="26"/>
          <w14:textFill>
            <w14:solidFill>
              <w14:schemeClr w14:val="tx1"/>
            </w14:solidFill>
          </w14:textFill>
        </w:rPr>
        <w:t xml:space="preserve"> specie showcased an improved free radical scavenging activity where the antioxidant in the parent constituents exerted a synergistic effect resulting in the significantly improved results.</w:t>
      </w:r>
    </w:p>
    <w:p>
      <w:pPr>
        <w:spacing w:line="360" w:lineRule="auto"/>
        <w:jc w:val="both"/>
        <w:rPr>
          <w:rFonts w:ascii="Times New Roman" w:hAnsi="Times New Roman" w:cs="Times New Roman"/>
          <w:color w:val="000000" w:themeColor="text1"/>
          <w:sz w:val="26"/>
          <w:szCs w:val="26"/>
          <w14:textFill>
            <w14:solidFill>
              <w14:schemeClr w14:val="tx1"/>
            </w14:solidFill>
          </w14:textFill>
        </w:rPr>
      </w:pPr>
    </w:p>
    <w:p>
      <w:pPr>
        <w:spacing w:line="240" w:lineRule="auto"/>
        <w:jc w:val="both"/>
        <w:rPr>
          <w:rFonts w:hint="default" w:ascii="Times New Roman" w:hAnsi="Times New Roman" w:cs="Times New Roman"/>
          <w:color w:val="000000" w:themeColor="text1"/>
          <w:sz w:val="26"/>
          <w:szCs w:val="26"/>
          <w:lang w:val="en-US"/>
          <w14:textFill>
            <w14:solidFill>
              <w14:schemeClr w14:val="tx1"/>
            </w14:solidFill>
          </w14:textFill>
        </w:rPr>
      </w:pPr>
      <w:r>
        <w:rPr>
          <w:rFonts w:hint="default" w:ascii="Times New Roman" w:hAnsi="Times New Roman" w:cs="Times New Roman"/>
          <w:color w:val="000000" w:themeColor="text1"/>
          <w:sz w:val="26"/>
          <w:szCs w:val="26"/>
          <w:lang w:val="en-US"/>
          <w14:textFill>
            <w14:solidFill>
              <w14:schemeClr w14:val="tx1"/>
            </w14:solidFill>
          </w14:textFill>
        </w:rPr>
        <w:drawing>
          <wp:inline distT="0" distB="0" distL="114300" distR="114300">
            <wp:extent cx="5273675" cy="7893050"/>
            <wp:effectExtent l="0" t="0" r="14605" b="1270"/>
            <wp:docPr id="15" name="Picture 15" descr="Pictur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189"/>
                    <pic:cNvPicPr>
                      <a:picLocks noChangeAspect="1"/>
                    </pic:cNvPicPr>
                  </pic:nvPicPr>
                  <pic:blipFill>
                    <a:blip r:embed="rId26"/>
                    <a:stretch>
                      <a:fillRect/>
                    </a:stretch>
                  </pic:blipFill>
                  <pic:spPr>
                    <a:xfrm>
                      <a:off x="0" y="0"/>
                      <a:ext cx="5273675" cy="7893050"/>
                    </a:xfrm>
                    <a:prstGeom prst="rect">
                      <a:avLst/>
                    </a:prstGeom>
                  </pic:spPr>
                </pic:pic>
              </a:graphicData>
            </a:graphic>
          </wp:inline>
        </w:drawing>
      </w:r>
    </w:p>
    <w:p>
      <w:pPr>
        <w:spacing w:line="240" w:lineRule="auto"/>
        <w:jc w:val="both"/>
        <w:rPr>
          <w:rFonts w:hint="default" w:ascii="Times New Roman" w:hAnsi="Times New Roman" w:cs="Times New Roman"/>
          <w:color w:val="000000" w:themeColor="text1"/>
          <w:sz w:val="26"/>
          <w:szCs w:val="26"/>
          <w:lang w:val="en-US"/>
          <w14:textFill>
            <w14:solidFill>
              <w14:schemeClr w14:val="tx1"/>
            </w14:solidFill>
          </w14:textFill>
        </w:rPr>
      </w:pPr>
      <w:r>
        <w:rPr>
          <w:rFonts w:hint="default" w:ascii="Times New Roman" w:hAnsi="Times New Roman" w:cs="Times New Roman"/>
          <w:color w:val="000000" w:themeColor="text1"/>
          <w:sz w:val="26"/>
          <w:szCs w:val="26"/>
          <w:lang w:val="en-US"/>
          <w14:textFill>
            <w14:solidFill>
              <w14:schemeClr w14:val="tx1"/>
            </w14:solidFill>
          </w14:textFill>
        </w:rPr>
        <w:t>Fig.</w:t>
      </w:r>
      <w:r>
        <w:rPr>
          <w:rFonts w:ascii="Times New Roman" w:hAnsi="Times New Roman" w:cs="Times New Roman"/>
          <w:color w:val="000000" w:themeColor="text1"/>
          <w:sz w:val="26"/>
          <w:szCs w:val="26"/>
          <w14:textFill>
            <w14:solidFill>
              <w14:schemeClr w14:val="tx1"/>
            </w14:solidFill>
          </w14:textFill>
        </w:rPr>
        <w:t xml:space="preserve"> </w:t>
      </w:r>
      <w:r>
        <w:rPr>
          <w:rFonts w:hint="default" w:ascii="Times New Roman" w:hAnsi="Times New Roman" w:cs="Times New Roman"/>
          <w:color w:val="000000" w:themeColor="text1"/>
          <w:sz w:val="26"/>
          <w:szCs w:val="26"/>
          <w:lang w:val="en-US"/>
          <w14:textFill>
            <w14:solidFill>
              <w14:schemeClr w14:val="tx1"/>
            </w14:solidFill>
          </w14:textFill>
        </w:rPr>
        <w:t xml:space="preserve">17. </w:t>
      </w:r>
      <w:r>
        <w:rPr>
          <w:rFonts w:hint="default" w:ascii="Times New Roman" w:hAnsi="Times New Roman"/>
          <w:color w:val="000000" w:themeColor="text1"/>
          <w:sz w:val="26"/>
          <w:szCs w:val="26"/>
          <w:lang w:val="en-US"/>
          <w14:textFill>
            <w14:solidFill>
              <w14:schemeClr w14:val="tx1"/>
            </w14:solidFill>
          </w14:textFill>
        </w:rPr>
        <w:t xml:space="preserve">Antioxidant activity of Chitosan, </w:t>
      </w:r>
      <w:r>
        <w:rPr>
          <w:rFonts w:hint="default" w:ascii="Times New Roman" w:hAnsi="Times New Roman"/>
          <w:i/>
          <w:iCs/>
          <w:color w:val="000000" w:themeColor="text1"/>
          <w:sz w:val="26"/>
          <w:szCs w:val="26"/>
          <w:lang w:val="en-US"/>
          <w14:textFill>
            <w14:solidFill>
              <w14:schemeClr w14:val="tx1"/>
            </w14:solidFill>
          </w14:textFill>
        </w:rPr>
        <w:t>MOLE</w:t>
      </w:r>
      <w:r>
        <w:rPr>
          <w:rFonts w:hint="default" w:ascii="Times New Roman" w:hAnsi="Times New Roman"/>
          <w:color w:val="000000" w:themeColor="text1"/>
          <w:sz w:val="26"/>
          <w:szCs w:val="26"/>
          <w:lang w:val="en-US"/>
          <w14:textFill>
            <w14:solidFill>
              <w14:schemeClr w14:val="tx1"/>
            </w14:solidFill>
          </w14:textFill>
        </w:rPr>
        <w:t xml:space="preserve">, </w:t>
      </w:r>
      <w:r>
        <w:rPr>
          <w:rFonts w:hint="default" w:ascii="Times New Roman" w:hAnsi="Times New Roman"/>
          <w:i/>
          <w:iCs/>
          <w:color w:val="000000" w:themeColor="text1"/>
          <w:sz w:val="26"/>
          <w:szCs w:val="26"/>
          <w:lang w:val="en-US"/>
          <w14:textFill>
            <w14:solidFill>
              <w14:schemeClr w14:val="tx1"/>
            </w14:solidFill>
          </w14:textFill>
        </w:rPr>
        <w:t>MOCEB</w:t>
      </w:r>
      <w:r>
        <w:rPr>
          <w:rFonts w:hint="default" w:ascii="Times New Roman" w:hAnsi="Times New Roman"/>
          <w:color w:val="000000" w:themeColor="text1"/>
          <w:sz w:val="26"/>
          <w:szCs w:val="26"/>
          <w:lang w:val="en-US"/>
          <w14:textFill>
            <w14:solidFill>
              <w14:schemeClr w14:val="tx1"/>
            </w14:solidFill>
          </w14:textFill>
        </w:rPr>
        <w:t xml:space="preserve"> and control </w:t>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ab/>
      </w:r>
      <w:r>
        <w:rPr>
          <w:rFonts w:hint="default" w:ascii="Times New Roman" w:hAnsi="Times New Roman"/>
          <w:color w:val="000000" w:themeColor="text1"/>
          <w:sz w:val="26"/>
          <w:szCs w:val="26"/>
          <w:lang w:val="en-US"/>
          <w14:textFill>
            <w14:solidFill>
              <w14:schemeClr w14:val="tx1"/>
            </w14:solidFill>
          </w14:textFill>
        </w:rPr>
        <w:t>(Garlic oil) using (a) DPPH, and (b) FRAP</w:t>
      </w:r>
    </w:p>
    <w:p>
      <w:pPr>
        <w:spacing w:line="360" w:lineRule="auto"/>
        <w:jc w:val="both"/>
        <w:rPr>
          <w:rFonts w:ascii="Times New Roman" w:hAnsi="Times New Roman" w:cs="Times New Roman"/>
          <w:color w:val="000000" w:themeColor="text1"/>
          <w:sz w:val="26"/>
          <w:szCs w:val="26"/>
          <w14:textFill>
            <w14:solidFill>
              <w14:schemeClr w14:val="tx1"/>
            </w14:solidFill>
          </w14:textFill>
        </w:rPr>
      </w:pPr>
    </w:p>
    <w:p>
      <w:pPr>
        <w:spacing w:line="360" w:lineRule="auto"/>
        <w:jc w:val="both"/>
        <w:rPr>
          <w:rFonts w:ascii="Times New Roman" w:hAnsi="Times New Roman" w:cs="Times New Roman"/>
          <w:color w:val="000000" w:themeColor="text1"/>
          <w:sz w:val="26"/>
          <w:szCs w:val="26"/>
          <w14:textFill>
            <w14:solidFill>
              <w14:schemeClr w14:val="tx1"/>
            </w14:solidFill>
          </w14:textFill>
        </w:rPr>
      </w:pPr>
    </w:p>
    <w:p>
      <w:pPr>
        <w:spacing w:line="360" w:lineRule="auto"/>
        <w:jc w:val="both"/>
        <w:rPr>
          <w:rFonts w:hint="default" w:ascii="Times New Roman" w:hAnsi="Times New Roman" w:cs="Times New Roman"/>
          <w:sz w:val="24"/>
          <w:szCs w:val="24"/>
          <w:highlight w:val="none"/>
          <w:lang w:val="en-US"/>
        </w:rPr>
      </w:pPr>
      <w:r>
        <w:rPr>
          <w:rFonts w:hint="default" w:ascii="Times New Roman" w:hAnsi="Times New Roman" w:cs="Times New Roman"/>
          <w:b/>
          <w:bCs/>
          <w:sz w:val="26"/>
          <w:szCs w:val="26"/>
          <w:lang w:val="en-US"/>
        </w:rPr>
        <w:t>4.0 Conclusion</w:t>
      </w:r>
    </w:p>
    <w:p>
      <w:pPr>
        <w:spacing w:line="360" w:lineRule="auto"/>
        <w:jc w:val="both"/>
        <w:rPr>
          <w:rFonts w:hint="default" w:ascii="Times New Roman" w:hAnsi="Times New Roman" w:cs="Times New Roman"/>
          <w:sz w:val="26"/>
          <w:szCs w:val="26"/>
          <w:highlight w:val="none"/>
          <w:lang w:val="en-US"/>
        </w:rPr>
      </w:pPr>
      <w:r>
        <w:rPr>
          <w:rFonts w:hint="default" w:ascii="Times New Roman" w:hAnsi="Times New Roman" w:cs="Times New Roman"/>
          <w:sz w:val="26"/>
          <w:szCs w:val="26"/>
          <w:highlight w:val="none"/>
          <w:lang w:val="en-US"/>
        </w:rPr>
        <w:t xml:space="preserve">In this study, </w:t>
      </w:r>
      <w:r>
        <w:rPr>
          <w:rFonts w:hint="default" w:ascii="Times New Roman" w:hAnsi="Times New Roman" w:cs="Times New Roman"/>
          <w:i/>
          <w:iCs/>
          <w:sz w:val="26"/>
          <w:szCs w:val="26"/>
          <w:highlight w:val="none"/>
          <w:lang w:val="en-US"/>
        </w:rPr>
        <w:t>MOCEB</w:t>
      </w:r>
      <w:r>
        <w:rPr>
          <w:rFonts w:hint="default" w:ascii="Times New Roman" w:hAnsi="Times New Roman" w:cs="Times New Roman"/>
          <w:sz w:val="26"/>
          <w:szCs w:val="26"/>
          <w:highlight w:val="none"/>
          <w:lang w:val="en-US"/>
        </w:rPr>
        <w:t xml:space="preserve"> biofilm was successfully synthesized by dynamic homogenization of </w:t>
      </w:r>
      <w:r>
        <w:rPr>
          <w:rFonts w:hint="default" w:ascii="Times New Roman" w:hAnsi="Times New Roman" w:cs="Times New Roman"/>
          <w:i/>
          <w:iCs/>
          <w:sz w:val="26"/>
          <w:szCs w:val="26"/>
          <w:highlight w:val="none"/>
          <w:lang w:val="en-US"/>
        </w:rPr>
        <w:t>MOLE</w:t>
      </w:r>
      <w:r>
        <w:rPr>
          <w:rFonts w:hint="default" w:ascii="Times New Roman" w:hAnsi="Times New Roman" w:cs="Times New Roman"/>
          <w:sz w:val="26"/>
          <w:szCs w:val="26"/>
          <w:highlight w:val="none"/>
          <w:lang w:val="en-US"/>
        </w:rPr>
        <w:t xml:space="preserve"> and chitosan. The characterization of the biofilm was explored and found to contain significant antioxidant and antimicrobial ingredients suitable to propagate the bio-preservation of fruits and vegetables. The effect of bio-preservation variables revealed that increment in chitosan concentration significantly reduced the loss of weight and titratable acidity of coated tomato fruits. Furthermore, effect of </w:t>
      </w:r>
      <w:r>
        <w:rPr>
          <w:rFonts w:hint="default" w:ascii="Times New Roman" w:hAnsi="Times New Roman" w:cs="Times New Roman"/>
          <w:i/>
          <w:iCs/>
          <w:sz w:val="26"/>
          <w:szCs w:val="26"/>
          <w:highlight w:val="none"/>
          <w:lang w:val="en-US"/>
        </w:rPr>
        <w:t>MOCEB</w:t>
      </w:r>
      <w:r>
        <w:rPr>
          <w:rFonts w:hint="default" w:ascii="Times New Roman" w:hAnsi="Times New Roman" w:cs="Times New Roman"/>
          <w:sz w:val="26"/>
          <w:szCs w:val="26"/>
          <w:highlight w:val="none"/>
          <w:lang w:val="en-US"/>
        </w:rPr>
        <w:t xml:space="preserve"> mixing ratio demonstrated that 40:60 </w:t>
      </w:r>
      <w:r>
        <w:rPr>
          <w:rFonts w:hint="default" w:ascii="Times New Roman" w:hAnsi="Times New Roman" w:cs="Times New Roman"/>
          <w:i/>
          <w:iCs/>
          <w:sz w:val="26"/>
          <w:szCs w:val="26"/>
          <w:highlight w:val="none"/>
          <w:lang w:val="en-US"/>
        </w:rPr>
        <w:t>MOCEB</w:t>
      </w:r>
      <w:r>
        <w:rPr>
          <w:rFonts w:hint="default" w:ascii="Times New Roman" w:hAnsi="Times New Roman" w:cs="Times New Roman"/>
          <w:sz w:val="26"/>
          <w:szCs w:val="26"/>
          <w:highlight w:val="none"/>
          <w:lang w:val="en-US"/>
        </w:rPr>
        <w:t xml:space="preserve"> ratio was the optimum ratio, given the associated enhanced quality parameters at this value. Physicochemical kinetic analysis indicated that zero order equation was the most suitable model that described the bio-preservation process at best chitosan concentration, while kinetics at best </w:t>
      </w:r>
      <w:r>
        <w:rPr>
          <w:rFonts w:hint="default" w:ascii="Times New Roman" w:hAnsi="Times New Roman" w:cs="Times New Roman"/>
          <w:i/>
          <w:iCs/>
          <w:sz w:val="26"/>
          <w:szCs w:val="26"/>
          <w:highlight w:val="none"/>
          <w:lang w:val="en-US"/>
        </w:rPr>
        <w:t>MOCEB</w:t>
      </w:r>
      <w:r>
        <w:rPr>
          <w:rFonts w:hint="default" w:ascii="Times New Roman" w:hAnsi="Times New Roman" w:cs="Times New Roman"/>
          <w:sz w:val="26"/>
          <w:szCs w:val="26"/>
          <w:highlight w:val="none"/>
          <w:lang w:val="en-US"/>
        </w:rPr>
        <w:t xml:space="preserve"> ratio was accurately captured by first order model. The established implication of the kinetic modeling was that enzymatic degradation took place at the best chitosan concentration, while oxidation induced lycopene degradation was prevalent at best </w:t>
      </w:r>
      <w:r>
        <w:rPr>
          <w:rFonts w:hint="default" w:ascii="Times New Roman" w:hAnsi="Times New Roman" w:cs="Times New Roman"/>
          <w:i/>
          <w:iCs/>
          <w:sz w:val="26"/>
          <w:szCs w:val="26"/>
          <w:highlight w:val="none"/>
          <w:lang w:val="en-US"/>
        </w:rPr>
        <w:t>MOCEB</w:t>
      </w:r>
      <w:r>
        <w:rPr>
          <w:rFonts w:hint="default" w:ascii="Times New Roman" w:hAnsi="Times New Roman" w:cs="Times New Roman"/>
          <w:sz w:val="26"/>
          <w:szCs w:val="26"/>
          <w:highlight w:val="none"/>
          <w:lang w:val="en-US"/>
        </w:rPr>
        <w:t xml:space="preserve"> mixing ratio. Microbial assay studies revealed that </w:t>
      </w:r>
      <w:r>
        <w:rPr>
          <w:rFonts w:hint="default" w:ascii="Times New Roman" w:hAnsi="Times New Roman" w:cs="Times New Roman"/>
          <w:i/>
          <w:iCs/>
          <w:sz w:val="26"/>
          <w:szCs w:val="26"/>
          <w:highlight w:val="none"/>
          <w:lang w:val="en-US"/>
        </w:rPr>
        <w:t>MOCEB</w:t>
      </w:r>
      <w:r>
        <w:rPr>
          <w:rFonts w:hint="default" w:ascii="Times New Roman" w:hAnsi="Times New Roman" w:cs="Times New Roman"/>
          <w:sz w:val="26"/>
          <w:szCs w:val="26"/>
          <w:highlight w:val="none"/>
          <w:lang w:val="en-US"/>
        </w:rPr>
        <w:t xml:space="preserve"> was resistant to both gram-positive and gram-negative bacteria species, while the antioxidant activity was slightly lower that garlic oil. Generally, the results from the present study has demonstrated that coating the tomato fruit with </w:t>
      </w:r>
      <w:r>
        <w:rPr>
          <w:rFonts w:hint="default" w:ascii="Times New Roman" w:hAnsi="Times New Roman" w:cs="Times New Roman"/>
          <w:i/>
          <w:iCs/>
          <w:sz w:val="26"/>
          <w:szCs w:val="26"/>
          <w:highlight w:val="none"/>
          <w:lang w:val="en-US"/>
        </w:rPr>
        <w:t>MOCEB</w:t>
      </w:r>
      <w:r>
        <w:rPr>
          <w:rFonts w:hint="default" w:ascii="Times New Roman" w:hAnsi="Times New Roman" w:cs="Times New Roman"/>
          <w:sz w:val="26"/>
          <w:szCs w:val="26"/>
          <w:highlight w:val="none"/>
          <w:lang w:val="en-US"/>
        </w:rPr>
        <w:t xml:space="preserve"> biofilm can significantly regulate the quality deterioration rate. Also, coating application of fresh tomato fruit with </w:t>
      </w:r>
      <w:r>
        <w:rPr>
          <w:rFonts w:hint="default" w:ascii="Times New Roman" w:hAnsi="Times New Roman" w:cs="Times New Roman"/>
          <w:i/>
          <w:iCs/>
          <w:sz w:val="26"/>
          <w:szCs w:val="26"/>
          <w:highlight w:val="none"/>
          <w:lang w:val="en-US"/>
        </w:rPr>
        <w:t>MOCEB</w:t>
      </w:r>
      <w:r>
        <w:rPr>
          <w:rFonts w:hint="default" w:ascii="Times New Roman" w:hAnsi="Times New Roman" w:cs="Times New Roman"/>
          <w:sz w:val="26"/>
          <w:szCs w:val="26"/>
          <w:highlight w:val="none"/>
          <w:lang w:val="en-US"/>
        </w:rPr>
        <w:t xml:space="preserve"> can guarantee the delivery of safe and edible tomatoes to the consumer even after 20 days of preservation. </w:t>
      </w: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b/>
          <w:bCs/>
          <w:sz w:val="24"/>
          <w:szCs w:val="24"/>
          <w:lang w:val="en-US"/>
        </w:rPr>
      </w:pPr>
    </w:p>
    <w:p>
      <w:pPr>
        <w:spacing w:line="360" w:lineRule="auto"/>
        <w:jc w:val="both"/>
        <w:rPr>
          <w:rFonts w:hint="default" w:ascii="Times New Roman" w:hAnsi="Times New Roman"/>
          <w:sz w:val="24"/>
          <w:szCs w:val="24"/>
          <w:lang w:val="en-US"/>
        </w:rPr>
      </w:pPr>
      <w:r>
        <w:rPr>
          <w:rFonts w:hint="default" w:ascii="Times New Roman" w:hAnsi="Times New Roman"/>
          <w:b/>
          <w:bCs/>
          <w:sz w:val="24"/>
          <w:szCs w:val="24"/>
          <w:lang w:val="en-US"/>
        </w:rPr>
        <w:t>References</w:t>
      </w:r>
    </w:p>
    <w:p>
      <w:pPr>
        <w:pStyle w:val="8"/>
        <w:bidi w:val="0"/>
        <w:ind w:left="720" w:hanging="720"/>
        <w:rPr>
          <w:rFonts w:ascii="Calibri" w:hAnsi="Calibri" w:cs="Calibri" w:eastAsiaTheme="minorEastAsia"/>
          <w:lang w:val="en-US" w:eastAsia="zh-CN" w:bidi="ar-SA"/>
        </w:rPr>
      </w:pPr>
      <w:r>
        <w:rPr>
          <w:rFonts w:hint="default" w:ascii="Times New Roman" w:hAnsi="Times New Roman"/>
          <w:sz w:val="24"/>
          <w:szCs w:val="24"/>
          <w:lang w:val="en-US"/>
        </w:rPr>
        <w:fldChar w:fldCharType="begin"/>
      </w:r>
      <w:r>
        <w:rPr>
          <w:rFonts w:hint="default" w:ascii="Times New Roman" w:hAnsi="Times New Roman"/>
          <w:sz w:val="24"/>
          <w:szCs w:val="24"/>
          <w:lang w:val="en-US"/>
        </w:rPr>
        <w:instrText xml:space="preserve"> ADDIN EN.REFLIST </w:instrText>
      </w:r>
      <w:r>
        <w:rPr>
          <w:rFonts w:hint="default" w:ascii="Times New Roman" w:hAnsi="Times New Roman"/>
          <w:sz w:val="24"/>
          <w:szCs w:val="24"/>
          <w:lang w:val="en-US"/>
        </w:rPr>
        <w:fldChar w:fldCharType="separate"/>
      </w:r>
      <w:r>
        <w:rPr>
          <w:rFonts w:ascii="Calibri" w:hAnsi="Calibri" w:cs="Calibri" w:eastAsiaTheme="minorEastAsia"/>
          <w:lang w:val="en-US" w:eastAsia="zh-CN" w:bidi="ar-SA"/>
        </w:rPr>
        <w:t xml:space="preserve">ABONYI, M. N., NWABANNE, J. T., OHALE, P. E., NWADIKE, E. C., IGBONEKWU, L. I., CHUKWU, M. M. &amp; MADIEBO, E. M. 2023. Application of RSM and ANFIS in the optimal parameter evaluation for crude oil degradation in contaminated water amended with PES. </w:t>
      </w:r>
      <w:r>
        <w:rPr>
          <w:rFonts w:ascii="Calibri" w:hAnsi="Calibri" w:cs="Calibri" w:eastAsiaTheme="minorEastAsia"/>
          <w:i/>
          <w:lang w:val="en-US" w:eastAsia="zh-CN" w:bidi="ar-SA"/>
        </w:rPr>
        <w:t>Case Studies in Chemical and Environmental Engineering</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100483.</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AHMADPOUR KERMANI, S., SALARI, S. &amp; GHASEMI NEJAD ALMANI, P. 2021. Comparison of antifungal and cytotoxicity activities of titanium dioxide and zinc oxide nanoparticles with amphotericin B against different Candida species: In vitro evaluation. </w:t>
      </w:r>
      <w:r>
        <w:rPr>
          <w:rFonts w:ascii="Calibri" w:hAnsi="Calibri" w:cs="Calibri" w:eastAsiaTheme="minorEastAsia"/>
          <w:i/>
          <w:lang w:val="en-US" w:eastAsia="zh-CN" w:bidi="ar-SA"/>
        </w:rPr>
        <w:t>Journal of Clinical Laboratory Analysis,</w:t>
      </w:r>
      <w:r>
        <w:rPr>
          <w:rFonts w:ascii="Calibri" w:hAnsi="Calibri" w:cs="Calibri" w:eastAsiaTheme="minorEastAsia"/>
          <w:lang w:val="en-US" w:eastAsia="zh-CN" w:bidi="ar-SA"/>
        </w:rPr>
        <w:t xml:space="preserve"> 35</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e23577.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AISIDA, S. O., UGWU, K., AKPA, P. A., NWANYA, A. C., NWANKWO, U., BASHIR, A., MADIBA, I., AHMED, I. &amp; EZEMA, F. I. 2021. Synthesis and characterization of iron oxide nanoparticles capped with Moringa Oleifera: the mechanisms of formation effects on the optical, structural, magnetic and morphological properties. </w:t>
      </w:r>
      <w:r>
        <w:rPr>
          <w:rFonts w:ascii="Calibri" w:hAnsi="Calibri" w:cs="Calibri" w:eastAsiaTheme="minorEastAsia"/>
          <w:i/>
          <w:lang w:val="en-US" w:eastAsia="zh-CN" w:bidi="ar-SA"/>
        </w:rPr>
        <w:t>Materials Today: Proceedings,</w:t>
      </w:r>
      <w:r>
        <w:rPr>
          <w:rFonts w:ascii="Calibri" w:hAnsi="Calibri" w:cs="Calibri" w:eastAsiaTheme="minorEastAsia"/>
          <w:lang w:val="en-US" w:eastAsia="zh-CN" w:bidi="ar-SA"/>
        </w:rPr>
        <w:t xml:space="preserve"> 36</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214-218.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AL-DAIRI, M., PATHARE, P. B., AL-YAHYAI, R., JAYASURIYA, H. &amp; AL-ATTABI, Z. 2023. Postharvest quality, technologies, and strategies to reduce losses along the supply chain of banana: A review. </w:t>
      </w:r>
      <w:r>
        <w:rPr>
          <w:rFonts w:ascii="Calibri" w:hAnsi="Calibri" w:cs="Calibri" w:eastAsiaTheme="minorEastAsia"/>
          <w:i/>
          <w:lang w:val="en-US" w:eastAsia="zh-CN" w:bidi="ar-SA"/>
        </w:rPr>
        <w:t>Trends in Food Science &amp; Technology</w:t>
      </w:r>
      <w:r>
        <w:rPr>
          <w:rFonts w:ascii="Calibri" w:hAnsi="Calibri" w:cs="Calibri" w:eastAsiaTheme="minorEastAsia"/>
          <w:lang w:val="en-US" w:eastAsia="zh-CN" w:bidi="ar-SA"/>
        </w:rPr>
        <w:t>.</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AL‐JUHAIMI, F. Y. 2014. Physicochemical and Sensory Characteristics of Arabic Gum‐Coated Tomato (S olanum Lycopersicum L.) Fruits during Storage. </w:t>
      </w:r>
      <w:r>
        <w:rPr>
          <w:rFonts w:ascii="Calibri" w:hAnsi="Calibri" w:cs="Calibri" w:eastAsiaTheme="minorEastAsia"/>
          <w:i/>
          <w:lang w:val="en-US" w:eastAsia="zh-CN" w:bidi="ar-SA"/>
        </w:rPr>
        <w:t>Journal of Food Processing and Preservation,</w:t>
      </w:r>
      <w:r>
        <w:rPr>
          <w:rFonts w:ascii="Calibri" w:hAnsi="Calibri" w:cs="Calibri" w:eastAsiaTheme="minorEastAsia"/>
          <w:lang w:val="en-US" w:eastAsia="zh-CN" w:bidi="ar-SA"/>
        </w:rPr>
        <w:t xml:space="preserve"> 38</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971-979.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ALSAMHARY, K. E. 2023. Moringa oleifera seed based green synthesis of copper nanoparticles: Characterization, environmental remediation and antimicrobial activity. </w:t>
      </w:r>
      <w:r>
        <w:rPr>
          <w:rFonts w:ascii="Calibri" w:hAnsi="Calibri" w:cs="Calibri" w:eastAsiaTheme="minorEastAsia"/>
          <w:i/>
          <w:lang w:val="en-US" w:eastAsia="zh-CN" w:bidi="ar-SA"/>
        </w:rPr>
        <w:t>Saudi Journal of Biological Sciences,</w:t>
      </w:r>
      <w:r>
        <w:rPr>
          <w:rFonts w:ascii="Calibri" w:hAnsi="Calibri" w:cs="Calibri" w:eastAsiaTheme="minorEastAsia"/>
          <w:lang w:val="en-US" w:eastAsia="zh-CN" w:bidi="ar-SA"/>
        </w:rPr>
        <w:t xml:space="preserve"> 30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103820.</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AZEEM, M., HANIF, M., MAHMOOD, K., AMEER, N., CHUGHTAI, F. R. S. &amp; ABID, U. 2023. An insight into anticancer, antioxidant, antimicrobial, antidiabetic and anti-inflammatory effects of quercetin: A review. </w:t>
      </w:r>
      <w:r>
        <w:rPr>
          <w:rFonts w:ascii="Calibri" w:hAnsi="Calibri" w:cs="Calibri" w:eastAsiaTheme="minorEastAsia"/>
          <w:i/>
          <w:lang w:val="en-US" w:eastAsia="zh-CN" w:bidi="ar-SA"/>
        </w:rPr>
        <w:t>Polymer Bulletin,</w:t>
      </w:r>
      <w:r>
        <w:rPr>
          <w:rFonts w:ascii="Calibri" w:hAnsi="Calibri" w:cs="Calibri" w:eastAsiaTheme="minorEastAsia"/>
          <w:lang w:val="en-US" w:eastAsia="zh-CN" w:bidi="ar-SA"/>
        </w:rPr>
        <w:t xml:space="preserve"> 80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241-262.</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BAINS, A., SHARMA, P., KAUR, S., YADAV, R., KUMAR, A., SRIDHAR, K., CHAWLA, P. &amp; SHARMA, M. 2023. Gum arabic/guar gum stabilized Hydnocarpus wightiana oil nanohydrogel: Characterization, antimicrobial, anti-inflammatory, and anti-biofilm activities. </w:t>
      </w:r>
      <w:r>
        <w:rPr>
          <w:rFonts w:ascii="Calibri" w:hAnsi="Calibri" w:cs="Calibri" w:eastAsiaTheme="minorEastAsia"/>
          <w:i/>
          <w:lang w:val="en-US" w:eastAsia="zh-CN" w:bidi="ar-SA"/>
        </w:rPr>
        <w:t>International Journal of Biological Macromolecules,</w:t>
      </w:r>
      <w:r>
        <w:rPr>
          <w:rFonts w:ascii="Calibri" w:hAnsi="Calibri" w:cs="Calibri" w:eastAsiaTheme="minorEastAsia"/>
          <w:lang w:val="en-US" w:eastAsia="zh-CN" w:bidi="ar-SA"/>
        </w:rPr>
        <w:t xml:space="preserve"> 239</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124341.</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BHAT, M. I., SHAHI, N. C., LOHANI, U. C., PATHANIA, S., MALIK, S., SINGH, S. &amp; AMIN, T. 2023. Cellulose nanocrystals reinforced chitosan/titanium dioxide bionanocomposite with enhanced interfacial compatibility: Fabrication, characterization, and application in fresh-cut apple slices. </w:t>
      </w:r>
      <w:r>
        <w:rPr>
          <w:rFonts w:ascii="Calibri" w:hAnsi="Calibri" w:cs="Calibri" w:eastAsiaTheme="minorEastAsia"/>
          <w:i/>
          <w:lang w:val="en-US" w:eastAsia="zh-CN" w:bidi="ar-SA"/>
        </w:rPr>
        <w:t>International Journal of Biological Macromolecules</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127498.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BOŽIČ, M., GORGIEVA, S. &amp; KOKOL, V. 2012. Homogeneous and heterogeneous methods for laccase-mediated functionalization of chitosan by tannic acid and quercetin. </w:t>
      </w:r>
      <w:r>
        <w:rPr>
          <w:rFonts w:ascii="Calibri" w:hAnsi="Calibri" w:cs="Calibri" w:eastAsiaTheme="minorEastAsia"/>
          <w:i/>
          <w:lang w:val="en-US" w:eastAsia="zh-CN" w:bidi="ar-SA"/>
        </w:rPr>
        <w:t>Carbohydrate polymers,</w:t>
      </w:r>
      <w:r>
        <w:rPr>
          <w:rFonts w:ascii="Calibri" w:hAnsi="Calibri" w:cs="Calibri" w:eastAsiaTheme="minorEastAsia"/>
          <w:lang w:val="en-US" w:eastAsia="zh-CN" w:bidi="ar-SA"/>
        </w:rPr>
        <w:t xml:space="preserve"> 89</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854-864.</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BUTT, M. S., MALIK, Z., GHAFFAR, R., BALUCH, A. H., SALEEM, M. &amp; GHAFFAR, A. 2023. Moringa oleifera/chitosan-coated silk sutures for improved wound healing. </w:t>
      </w:r>
      <w:r>
        <w:rPr>
          <w:rFonts w:ascii="Calibri" w:hAnsi="Calibri" w:cs="Calibri" w:eastAsiaTheme="minorEastAsia"/>
          <w:i/>
          <w:lang w:val="en-US" w:eastAsia="zh-CN" w:bidi="ar-SA"/>
        </w:rPr>
        <w:t>Materials Chemistry and Physics</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128737.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CAREV, I., GELEMANOVIĆ, A., GLUMAC, M., TUTEK, K., DŽELALIJA, M., PAIARDINI, A. &amp; PROSSEDA, G. 2023a. Centaurea triumfetii essential oil chemical composition, comparative analysis, and antimicrobial activity of selected compounds. </w:t>
      </w:r>
      <w:r>
        <w:rPr>
          <w:rFonts w:ascii="Calibri" w:hAnsi="Calibri" w:cs="Calibri" w:eastAsiaTheme="minorEastAsia"/>
          <w:i/>
          <w:lang w:val="en-US" w:eastAsia="zh-CN" w:bidi="ar-SA"/>
        </w:rPr>
        <w:t>Scientific Reports,</w:t>
      </w:r>
      <w:r>
        <w:rPr>
          <w:rFonts w:ascii="Calibri" w:hAnsi="Calibri" w:cs="Calibri" w:eastAsiaTheme="minorEastAsia"/>
          <w:lang w:val="en-US" w:eastAsia="zh-CN" w:bidi="ar-SA"/>
        </w:rPr>
        <w:t xml:space="preserve"> 13</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7475.</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CAREV, I., RUŠČIĆ, M., GLUMAC, M., POLITEO, O. &amp; SILJAK‐YAKOVLEV, S. 2023b. Phytochemical and cytogenetic study of two Centaurea species from Croatia: the particular case of diploid and tetraploid C. salonitana. </w:t>
      </w:r>
      <w:r>
        <w:rPr>
          <w:rFonts w:ascii="Calibri" w:hAnsi="Calibri" w:cs="Calibri" w:eastAsiaTheme="minorEastAsia"/>
          <w:i/>
          <w:lang w:val="en-US" w:eastAsia="zh-CN" w:bidi="ar-SA"/>
        </w:rPr>
        <w:t>Chemistry &amp; Biodiversity,</w:t>
      </w:r>
      <w:r>
        <w:rPr>
          <w:rFonts w:ascii="Calibri" w:hAnsi="Calibri" w:cs="Calibri" w:eastAsiaTheme="minorEastAsia"/>
          <w:lang w:val="en-US" w:eastAsia="zh-CN" w:bidi="ar-SA"/>
        </w:rPr>
        <w:t xml:space="preserve"> 20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e202300092.</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CHEN, H., WANG, J., CHENG, Y., WANG, C., LIU, H., BIAN, H., PAN, Y., SUN, J. &amp; HAN, W. 2019. Application of protein-based films and coatings for food packaging: A review. </w:t>
      </w:r>
      <w:r>
        <w:rPr>
          <w:rFonts w:ascii="Calibri" w:hAnsi="Calibri" w:cs="Calibri" w:eastAsiaTheme="minorEastAsia"/>
          <w:i/>
          <w:lang w:val="en-US" w:eastAsia="zh-CN" w:bidi="ar-SA"/>
        </w:rPr>
        <w:t>Polymers,</w:t>
      </w:r>
      <w:r>
        <w:rPr>
          <w:rFonts w:ascii="Calibri" w:hAnsi="Calibri" w:cs="Calibri" w:eastAsiaTheme="minorEastAsia"/>
          <w:lang w:val="en-US" w:eastAsia="zh-CN" w:bidi="ar-SA"/>
        </w:rPr>
        <w:t xml:space="preserve"> 11</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2039.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CHIEN, P.-J., SHEU, F., HUANG, W.-T. &amp; SU, M.-S. 2007. Effect of molecular weight of chitosans on their antioxidative activities in apple juice. </w:t>
      </w:r>
      <w:r>
        <w:rPr>
          <w:rFonts w:ascii="Calibri" w:hAnsi="Calibri" w:cs="Calibri" w:eastAsiaTheme="minorEastAsia"/>
          <w:i/>
          <w:lang w:val="en-US" w:eastAsia="zh-CN" w:bidi="ar-SA"/>
        </w:rPr>
        <w:t>Food chemistry,</w:t>
      </w:r>
      <w:r>
        <w:rPr>
          <w:rFonts w:ascii="Calibri" w:hAnsi="Calibri" w:cs="Calibri" w:eastAsiaTheme="minorEastAsia"/>
          <w:lang w:val="en-US" w:eastAsia="zh-CN" w:bidi="ar-SA"/>
        </w:rPr>
        <w:t xml:space="preserve"> 102</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1192-1198.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CUSIOLI, L. F., MANTOVANI, D., BERGAMASCO, R., TUSSET, A. M. &amp; LENZI, G. G. 2023. Preparation of a New Adsorbent Material from Agro-Industrial Waste and Comparison with Commercial Adsorbent for Emerging Contaminant Removal. </w:t>
      </w:r>
      <w:r>
        <w:rPr>
          <w:rFonts w:ascii="Calibri" w:hAnsi="Calibri" w:cs="Calibri" w:eastAsiaTheme="minorEastAsia"/>
          <w:i/>
          <w:lang w:val="en-US" w:eastAsia="zh-CN" w:bidi="ar-SA"/>
        </w:rPr>
        <w:t>Processes,</w:t>
      </w:r>
      <w:r>
        <w:rPr>
          <w:rFonts w:ascii="Calibri" w:hAnsi="Calibri" w:cs="Calibri" w:eastAsiaTheme="minorEastAsia"/>
          <w:lang w:val="en-US" w:eastAsia="zh-CN" w:bidi="ar-SA"/>
        </w:rPr>
        <w:t xml:space="preserve"> 11</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2478.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DA SILVA, M., TRANCOSO, J., TORMEN, L., BOMBARDELLI, M. M., CORAZZA, M. L. &amp; BAINY, E. M. 2022. Extraction of compounds from Moringa oleifera leaves using supercritical CO2 plus ethanol as a cosolvent. </w:t>
      </w:r>
      <w:r>
        <w:rPr>
          <w:rFonts w:ascii="Calibri" w:hAnsi="Calibri" w:cs="Calibri" w:eastAsiaTheme="minorEastAsia"/>
          <w:i/>
          <w:lang w:val="en-US" w:eastAsia="zh-CN" w:bidi="ar-SA"/>
        </w:rPr>
        <w:t>Journal of Food Process Engineering,</w:t>
      </w:r>
      <w:r>
        <w:rPr>
          <w:rFonts w:ascii="Calibri" w:hAnsi="Calibri" w:cs="Calibri" w:eastAsiaTheme="minorEastAsia"/>
          <w:lang w:val="en-US" w:eastAsia="zh-CN" w:bidi="ar-SA"/>
        </w:rPr>
        <w:t xml:space="preserve"> 45</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e13979.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DEVI, M. K. &amp; DAS, S. K. 2017. Kinetics of color changes of popped rice during microwave popping: Effect of salt and moisture content. </w:t>
      </w:r>
      <w:r>
        <w:rPr>
          <w:rFonts w:ascii="Calibri" w:hAnsi="Calibri" w:cs="Calibri" w:eastAsiaTheme="minorEastAsia"/>
          <w:i/>
          <w:lang w:val="en-US" w:eastAsia="zh-CN" w:bidi="ar-SA"/>
        </w:rPr>
        <w:t>Journal of food process engineering,</w:t>
      </w:r>
      <w:r>
        <w:rPr>
          <w:rFonts w:ascii="Calibri" w:hAnsi="Calibri" w:cs="Calibri" w:eastAsiaTheme="minorEastAsia"/>
          <w:lang w:val="en-US" w:eastAsia="zh-CN" w:bidi="ar-SA"/>
        </w:rPr>
        <w:t xml:space="preserve"> 40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e12560.</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DONG, H., CHENG, L., TAN, J., ZHENG, K. &amp; JIANG, Y. 2004. Effects of chitosan coating on quality and shelf life of peeled litchi fruit. </w:t>
      </w:r>
      <w:r>
        <w:rPr>
          <w:rFonts w:ascii="Calibri" w:hAnsi="Calibri" w:cs="Calibri" w:eastAsiaTheme="minorEastAsia"/>
          <w:i/>
          <w:lang w:val="en-US" w:eastAsia="zh-CN" w:bidi="ar-SA"/>
        </w:rPr>
        <w:t>Journal of food engineering,</w:t>
      </w:r>
      <w:r>
        <w:rPr>
          <w:rFonts w:ascii="Calibri" w:hAnsi="Calibri" w:cs="Calibri" w:eastAsiaTheme="minorEastAsia"/>
          <w:lang w:val="en-US" w:eastAsia="zh-CN" w:bidi="ar-SA"/>
        </w:rPr>
        <w:t xml:space="preserve"> 64</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355-358.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FARIDHA BEGUM, I., MOHANKUMAR, R., JEEVAN, M. &amp; RAMANI, K. 2016. GC–MS analysis of bio-active molecules derived from Paracoccus pantotrophus FMR19 and the antimicrobial activity against bacterial pathogens and MDROs. </w:t>
      </w:r>
      <w:r>
        <w:rPr>
          <w:rFonts w:ascii="Calibri" w:hAnsi="Calibri" w:cs="Calibri" w:eastAsiaTheme="minorEastAsia"/>
          <w:i/>
          <w:lang w:val="en-US" w:eastAsia="zh-CN" w:bidi="ar-SA"/>
        </w:rPr>
        <w:t>Indian journal of microbiology,</w:t>
      </w:r>
      <w:r>
        <w:rPr>
          <w:rFonts w:ascii="Calibri" w:hAnsi="Calibri" w:cs="Calibri" w:eastAsiaTheme="minorEastAsia"/>
          <w:lang w:val="en-US" w:eastAsia="zh-CN" w:bidi="ar-SA"/>
        </w:rPr>
        <w:t xml:space="preserve"> 56</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426-432.</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FELDSINE, P., ABEYTA, C. &amp; ANDREWS, W. H. 2002. AOAC International methods committee guidelines for validation of qualitative and quantitative food microbiological official methods of analysis. </w:t>
      </w:r>
      <w:r>
        <w:rPr>
          <w:rFonts w:ascii="Calibri" w:hAnsi="Calibri" w:cs="Calibri" w:eastAsiaTheme="minorEastAsia"/>
          <w:i/>
          <w:lang w:val="en-US" w:eastAsia="zh-CN" w:bidi="ar-SA"/>
        </w:rPr>
        <w:t>Journal of AOAC international,</w:t>
      </w:r>
      <w:r>
        <w:rPr>
          <w:rFonts w:ascii="Calibri" w:hAnsi="Calibri" w:cs="Calibri" w:eastAsiaTheme="minorEastAsia"/>
          <w:lang w:val="en-US" w:eastAsia="zh-CN" w:bidi="ar-SA"/>
        </w:rPr>
        <w:t xml:space="preserve"> 85</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1187-1200.</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GALLAGHER, M. S., MAHAJAN, P. &amp; YAN, Z. 2011. Modelling chemical and physical deterioration of foods and beverages. </w:t>
      </w:r>
      <w:r>
        <w:rPr>
          <w:rFonts w:ascii="Calibri" w:hAnsi="Calibri" w:cs="Calibri" w:eastAsiaTheme="minorEastAsia"/>
          <w:i/>
          <w:lang w:val="en-US" w:eastAsia="zh-CN" w:bidi="ar-SA"/>
        </w:rPr>
        <w:t>Food and beverage stability and shelf life.</w:t>
      </w:r>
      <w:r>
        <w:rPr>
          <w:rFonts w:ascii="Calibri" w:hAnsi="Calibri" w:cs="Calibri" w:eastAsiaTheme="minorEastAsia"/>
          <w:lang w:val="en-US" w:eastAsia="zh-CN" w:bidi="ar-SA"/>
        </w:rPr>
        <w:t xml:space="preserve"> Elsevier.</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GHASEMI, G., FATTAHI, M., ALIREZALU, A. &amp; GHOSTA, Y. 2019. Antioxidant and antifungal activities of a new chemovar of cumin (Cuminum cyminum L.). </w:t>
      </w:r>
      <w:r>
        <w:rPr>
          <w:rFonts w:ascii="Calibri" w:hAnsi="Calibri" w:cs="Calibri" w:eastAsiaTheme="minorEastAsia"/>
          <w:i/>
          <w:lang w:val="en-US" w:eastAsia="zh-CN" w:bidi="ar-SA"/>
        </w:rPr>
        <w:t>Food science and biotechnology,</w:t>
      </w:r>
      <w:r>
        <w:rPr>
          <w:rFonts w:ascii="Calibri" w:hAnsi="Calibri" w:cs="Calibri" w:eastAsiaTheme="minorEastAsia"/>
          <w:lang w:val="en-US" w:eastAsia="zh-CN" w:bidi="ar-SA"/>
        </w:rPr>
        <w:t xml:space="preserve"> 28</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669-677.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GIRIJA, S., DURAIPANDIYAN, V., KUPPUSAMY, P. S., GAJENDRAN, H. &amp; RAJAGOPAL, R. 2014. Chromatographic characterization and GC-MS evaluation of the bioactive constituents with antimicrobial potential from the pigmented ink of Loligo duvauceli. </w:t>
      </w:r>
      <w:r>
        <w:rPr>
          <w:rFonts w:ascii="Calibri" w:hAnsi="Calibri" w:cs="Calibri" w:eastAsiaTheme="minorEastAsia"/>
          <w:i/>
          <w:lang w:val="en-US" w:eastAsia="zh-CN" w:bidi="ar-SA"/>
        </w:rPr>
        <w:t>International Scholarly Research Notices,</w:t>
      </w:r>
      <w:r>
        <w:rPr>
          <w:rFonts w:ascii="Calibri" w:hAnsi="Calibri" w:cs="Calibri" w:eastAsiaTheme="minorEastAsia"/>
          <w:lang w:val="en-US" w:eastAsia="zh-CN" w:bidi="ar-SA"/>
        </w:rPr>
        <w:t xml:space="preserve"> 2014.</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GOL, N. B., PATEL, P. R. &amp; RAO, T. R. 2013. Improvement of quality and shelf-life of strawberries with edible coatings enriched with chitosan. </w:t>
      </w:r>
      <w:r>
        <w:rPr>
          <w:rFonts w:ascii="Calibri" w:hAnsi="Calibri" w:cs="Calibri" w:eastAsiaTheme="minorEastAsia"/>
          <w:i/>
          <w:lang w:val="en-US" w:eastAsia="zh-CN" w:bidi="ar-SA"/>
        </w:rPr>
        <w:t>Postharvest Biology and Technology,</w:t>
      </w:r>
      <w:r>
        <w:rPr>
          <w:rFonts w:ascii="Calibri" w:hAnsi="Calibri" w:cs="Calibri" w:eastAsiaTheme="minorEastAsia"/>
          <w:lang w:val="en-US" w:eastAsia="zh-CN" w:bidi="ar-SA"/>
        </w:rPr>
        <w:t xml:space="preserve"> 85</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185-195.</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HADIDI, M., POURAMIN, S., ADINEPOUR, F., HAGHANI, S. &amp; JAFARI, S. M. 2020. Chitosan nanoparticles loaded with clove essential oil: Characterization, antioxidant and antibacterial activities. </w:t>
      </w:r>
      <w:r>
        <w:rPr>
          <w:rFonts w:ascii="Calibri" w:hAnsi="Calibri" w:cs="Calibri" w:eastAsiaTheme="minorEastAsia"/>
          <w:i/>
          <w:lang w:val="en-US" w:eastAsia="zh-CN" w:bidi="ar-SA"/>
        </w:rPr>
        <w:t>Carbohydrate polymers,</w:t>
      </w:r>
      <w:r>
        <w:rPr>
          <w:rFonts w:ascii="Calibri" w:hAnsi="Calibri" w:cs="Calibri" w:eastAsiaTheme="minorEastAsia"/>
          <w:lang w:val="en-US" w:eastAsia="zh-CN" w:bidi="ar-SA"/>
        </w:rPr>
        <w:t xml:space="preserve"> 236</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116075.</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HONG, D.-W., CHEN, L.-B., LIN, X.-J., ATTIN, T. &amp; YU, H. 2022. Dual function of quercetin as an MMP inhibitor and crosslinker in preventing dentin erosion and abrasion: An in situ/in vivo study. </w:t>
      </w:r>
      <w:r>
        <w:rPr>
          <w:rFonts w:ascii="Calibri" w:hAnsi="Calibri" w:cs="Calibri" w:eastAsiaTheme="minorEastAsia"/>
          <w:i/>
          <w:lang w:val="en-US" w:eastAsia="zh-CN" w:bidi="ar-SA"/>
        </w:rPr>
        <w:t>Dental Materials,</w:t>
      </w:r>
      <w:r>
        <w:rPr>
          <w:rFonts w:ascii="Calibri" w:hAnsi="Calibri" w:cs="Calibri" w:eastAsiaTheme="minorEastAsia"/>
          <w:lang w:val="en-US" w:eastAsia="zh-CN" w:bidi="ar-SA"/>
        </w:rPr>
        <w:t xml:space="preserve"> 38</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e297-e307.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HONG, K., XIE, J., ZHANG, L., SUN, D. &amp; GONG, D. 2012. Effects of chitosan coating on postharvest life and quality of guava (Psidium guajava L.) fruit during cold storage. </w:t>
      </w:r>
      <w:r>
        <w:rPr>
          <w:rFonts w:ascii="Calibri" w:hAnsi="Calibri" w:cs="Calibri" w:eastAsiaTheme="minorEastAsia"/>
          <w:i/>
          <w:lang w:val="en-US" w:eastAsia="zh-CN" w:bidi="ar-SA"/>
        </w:rPr>
        <w:t>Scientia horticulturae,</w:t>
      </w:r>
      <w:r>
        <w:rPr>
          <w:rFonts w:ascii="Calibri" w:hAnsi="Calibri" w:cs="Calibri" w:eastAsiaTheme="minorEastAsia"/>
          <w:lang w:val="en-US" w:eastAsia="zh-CN" w:bidi="ar-SA"/>
        </w:rPr>
        <w:t xml:space="preserve"> 144</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172-178.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HOSSEINIFARAHI, M., JAMSHIDI, E., AMIRI, S., KAMYAB, F. &amp; RADI, M. 2020. Quality, phenolic content, antioxidant activity, and the degradation kinetic of some quality parameters in strawberry fruit coated with salicylic acid and Aloe vera gel. </w:t>
      </w:r>
      <w:r>
        <w:rPr>
          <w:rFonts w:ascii="Calibri" w:hAnsi="Calibri" w:cs="Calibri" w:eastAsiaTheme="minorEastAsia"/>
          <w:i/>
          <w:lang w:val="en-US" w:eastAsia="zh-CN" w:bidi="ar-SA"/>
        </w:rPr>
        <w:t>Journal of Food Processing and Preservation,</w:t>
      </w:r>
      <w:r>
        <w:rPr>
          <w:rFonts w:ascii="Calibri" w:hAnsi="Calibri" w:cs="Calibri" w:eastAsiaTheme="minorEastAsia"/>
          <w:lang w:val="en-US" w:eastAsia="zh-CN" w:bidi="ar-SA"/>
        </w:rPr>
        <w:t xml:space="preserve"> 44</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e14647.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IBARZ, A., PAGAN, J. &amp; GARZA, S. 2000. Kinetic models of non‐enzymatic browning in apple puree. </w:t>
      </w:r>
      <w:r>
        <w:rPr>
          <w:rFonts w:ascii="Calibri" w:hAnsi="Calibri" w:cs="Calibri" w:eastAsiaTheme="minorEastAsia"/>
          <w:i/>
          <w:lang w:val="en-US" w:eastAsia="zh-CN" w:bidi="ar-SA"/>
        </w:rPr>
        <w:t>Journal of the Science of Food and Agriculture,</w:t>
      </w:r>
      <w:r>
        <w:rPr>
          <w:rFonts w:ascii="Calibri" w:hAnsi="Calibri" w:cs="Calibri" w:eastAsiaTheme="minorEastAsia"/>
          <w:lang w:val="en-US" w:eastAsia="zh-CN" w:bidi="ar-SA"/>
        </w:rPr>
        <w:t xml:space="preserve"> 80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1162-1168.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ISLAM, T., AFRIN, N., PARVIN, S., DANA, N., RAHMAN, K., ZZAMAN, W. &amp; ISLAM, M. 2018. The impact of chitosan and guava leaf extract as preservative to extend the shelf-life of fruits. </w:t>
      </w:r>
      <w:r>
        <w:rPr>
          <w:rFonts w:ascii="Calibri" w:hAnsi="Calibri" w:cs="Calibri" w:eastAsiaTheme="minorEastAsia"/>
          <w:i/>
          <w:lang w:val="en-US" w:eastAsia="zh-CN" w:bidi="ar-SA"/>
        </w:rPr>
        <w:t>International Food Research Journal,</w:t>
      </w:r>
      <w:r>
        <w:rPr>
          <w:rFonts w:ascii="Calibri" w:hAnsi="Calibri" w:cs="Calibri" w:eastAsiaTheme="minorEastAsia"/>
          <w:lang w:val="en-US" w:eastAsia="zh-CN" w:bidi="ar-SA"/>
        </w:rPr>
        <w:t xml:space="preserve"> 25.</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JOHNSON, J., MANI, J., ASHWATH, N. &amp; NAIKER, M. 2020. Potential for Fourier transform infrared (FTIR) spectroscopy toward predicting antioxidant and phenolic contents in powdered plant matrices. </w:t>
      </w:r>
      <w:r>
        <w:rPr>
          <w:rFonts w:ascii="Calibri" w:hAnsi="Calibri" w:cs="Calibri" w:eastAsiaTheme="minorEastAsia"/>
          <w:i/>
          <w:lang w:val="en-US" w:eastAsia="zh-CN" w:bidi="ar-SA"/>
        </w:rPr>
        <w:t>Spectrochimica Acta Part A: Molecular and Biomolecular Spectroscopy,</w:t>
      </w:r>
      <w:r>
        <w:rPr>
          <w:rFonts w:ascii="Calibri" w:hAnsi="Calibri" w:cs="Calibri" w:eastAsiaTheme="minorEastAsia"/>
          <w:lang w:val="en-US" w:eastAsia="zh-CN" w:bidi="ar-SA"/>
        </w:rPr>
        <w:t xml:space="preserve"> 233</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118228.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KARADAG, A., OZCELIK, B. &amp; SANER, S. 2009. Review of methods to determine antioxidant capacities. </w:t>
      </w:r>
      <w:r>
        <w:rPr>
          <w:rFonts w:ascii="Calibri" w:hAnsi="Calibri" w:cs="Calibri" w:eastAsiaTheme="minorEastAsia"/>
          <w:i/>
          <w:lang w:val="en-US" w:eastAsia="zh-CN" w:bidi="ar-SA"/>
        </w:rPr>
        <w:t>Food analytical methods,</w:t>
      </w:r>
      <w:r>
        <w:rPr>
          <w:rFonts w:ascii="Calibri" w:hAnsi="Calibri" w:cs="Calibri" w:eastAsiaTheme="minorEastAsia"/>
          <w:lang w:val="en-US" w:eastAsia="zh-CN" w:bidi="ar-SA"/>
        </w:rPr>
        <w:t xml:space="preserve"> 2</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41-60.</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KARIM, M., FATHI, M., SOLEIMANIAN-ZAD, S. &amp; SPIGNO, G. 2022. Development of sausage packaging with zein nanofibers containing tetradecane produced via needle-less electrospinning method. </w:t>
      </w:r>
      <w:r>
        <w:rPr>
          <w:rFonts w:ascii="Calibri" w:hAnsi="Calibri" w:cs="Calibri" w:eastAsiaTheme="minorEastAsia"/>
          <w:i/>
          <w:lang w:val="en-US" w:eastAsia="zh-CN" w:bidi="ar-SA"/>
        </w:rPr>
        <w:t>Food Packaging and Shelf Life,</w:t>
      </w:r>
      <w:r>
        <w:rPr>
          <w:rFonts w:ascii="Calibri" w:hAnsi="Calibri" w:cs="Calibri" w:eastAsiaTheme="minorEastAsia"/>
          <w:lang w:val="en-US" w:eastAsia="zh-CN" w:bidi="ar-SA"/>
        </w:rPr>
        <w:t xml:space="preserve"> 33</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100911.</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KASHYAP, P., KUMAR, S., RIAR, C. S., JINDAL, N., BANIWAL, P., GUINÉ, R. P., CORREIA, P. M., MEHRA, R. &amp; KUMAR, H. 2022. Recent advances in Drumstick (Moringa oleifera) leaves bioactive compounds: Composition, health benefits, bioaccessibility, and dietary applications. </w:t>
      </w:r>
      <w:r>
        <w:rPr>
          <w:rFonts w:ascii="Calibri" w:hAnsi="Calibri" w:cs="Calibri" w:eastAsiaTheme="minorEastAsia"/>
          <w:i/>
          <w:lang w:val="en-US" w:eastAsia="zh-CN" w:bidi="ar-SA"/>
        </w:rPr>
        <w:t>Antioxidants,</w:t>
      </w:r>
      <w:r>
        <w:rPr>
          <w:rFonts w:ascii="Calibri" w:hAnsi="Calibri" w:cs="Calibri" w:eastAsiaTheme="minorEastAsia"/>
          <w:lang w:val="en-US" w:eastAsia="zh-CN" w:bidi="ar-SA"/>
        </w:rPr>
        <w:t xml:space="preserve"> 11</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402.</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KAYODE, R. M. &amp; AFOLAYAN, A. J. 2014. Microbiological and chemical evaluation of decomposed open pollinated tomato (Lycopersicon esculentum) fruits in storage. </w:t>
      </w:r>
      <w:r>
        <w:rPr>
          <w:rFonts w:ascii="Calibri" w:hAnsi="Calibri" w:cs="Calibri" w:eastAsiaTheme="minorEastAsia"/>
          <w:i/>
          <w:lang w:val="en-US" w:eastAsia="zh-CN" w:bidi="ar-SA"/>
        </w:rPr>
        <w:t>Journal of Pure and Applied Microbiology,</w:t>
      </w:r>
      <w:r>
        <w:rPr>
          <w:rFonts w:ascii="Calibri" w:hAnsi="Calibri" w:cs="Calibri" w:eastAsiaTheme="minorEastAsia"/>
          <w:lang w:val="en-US" w:eastAsia="zh-CN" w:bidi="ar-SA"/>
        </w:rPr>
        <w:t xml:space="preserve"> 8</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4441-4449.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KHALID, S., ARSHAD, M., MAHMOOD, S., SIDDIQUE, F., ROOBAB, U., RANJHA, M. M. A. N. &amp; LORENZO, J. M. 2023. Extraction and Quantification of Moringa oleifera Leaf Powder Extracts by HPLC and FTIR. </w:t>
      </w:r>
      <w:r>
        <w:rPr>
          <w:rFonts w:ascii="Calibri" w:hAnsi="Calibri" w:cs="Calibri" w:eastAsiaTheme="minorEastAsia"/>
          <w:i/>
          <w:lang w:val="en-US" w:eastAsia="zh-CN" w:bidi="ar-SA"/>
        </w:rPr>
        <w:t>Food Analytical Methods,</w:t>
      </w:r>
      <w:r>
        <w:rPr>
          <w:rFonts w:ascii="Calibri" w:hAnsi="Calibri" w:cs="Calibri" w:eastAsiaTheme="minorEastAsia"/>
          <w:lang w:val="en-US" w:eastAsia="zh-CN" w:bidi="ar-SA"/>
        </w:rPr>
        <w:t xml:space="preserve"> 16</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787-797.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LIAO, B.-K., GOH, A. P., LIO, C. I. &amp; HSIAO, H.-I. 2024. Kinetic models applied to quality change and shelf-life prediction of fresh-cut pineapple in food cold chain. </w:t>
      </w:r>
      <w:r>
        <w:rPr>
          <w:rFonts w:ascii="Calibri" w:hAnsi="Calibri" w:cs="Calibri" w:eastAsiaTheme="minorEastAsia"/>
          <w:i/>
          <w:lang w:val="en-US" w:eastAsia="zh-CN" w:bidi="ar-SA"/>
        </w:rPr>
        <w:t>Food Chemistry,</w:t>
      </w:r>
      <w:r>
        <w:rPr>
          <w:rFonts w:ascii="Calibri" w:hAnsi="Calibri" w:cs="Calibri" w:eastAsiaTheme="minorEastAsia"/>
          <w:lang w:val="en-US" w:eastAsia="zh-CN" w:bidi="ar-SA"/>
        </w:rPr>
        <w:t xml:space="preserve"> 437</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137803.</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LIN, M., ZHANG, J. &amp; CHEN, X. 2018. Bioactive flavonoids in Moringa oleifera and their health-promoting properties. </w:t>
      </w:r>
      <w:r>
        <w:rPr>
          <w:rFonts w:ascii="Calibri" w:hAnsi="Calibri" w:cs="Calibri" w:eastAsiaTheme="minorEastAsia"/>
          <w:i/>
          <w:lang w:val="en-US" w:eastAsia="zh-CN" w:bidi="ar-SA"/>
        </w:rPr>
        <w:t>Journal of functional foods,</w:t>
      </w:r>
      <w:r>
        <w:rPr>
          <w:rFonts w:ascii="Calibri" w:hAnsi="Calibri" w:cs="Calibri" w:eastAsiaTheme="minorEastAsia"/>
          <w:lang w:val="en-US" w:eastAsia="zh-CN" w:bidi="ar-SA"/>
        </w:rPr>
        <w:t xml:space="preserve"> 47</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469-479.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LING, J. K. U., SAN CHAN, Y. &amp; NANDONG, J. 2021. Degradation kinetics modeling of antioxidant compounds from the wastes of Mangifera pajang fruit in aqueous and choline chloride/ascorbic acid natural deep eutectic solvent. </w:t>
      </w:r>
      <w:r>
        <w:rPr>
          <w:rFonts w:ascii="Calibri" w:hAnsi="Calibri" w:cs="Calibri" w:eastAsiaTheme="minorEastAsia"/>
          <w:i/>
          <w:lang w:val="en-US" w:eastAsia="zh-CN" w:bidi="ar-SA"/>
        </w:rPr>
        <w:t>Journal of Food Engineering,</w:t>
      </w:r>
      <w:r>
        <w:rPr>
          <w:rFonts w:ascii="Calibri" w:hAnsi="Calibri" w:cs="Calibri" w:eastAsiaTheme="minorEastAsia"/>
          <w:lang w:val="en-US" w:eastAsia="zh-CN" w:bidi="ar-SA"/>
        </w:rPr>
        <w:t xml:space="preserve"> 294</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110401.</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MAHFOUDHI, N., CHOUAIBI, M. &amp; HAMDI, S. 2014. Effectiveness of almond gum trees exudate as a novel edible coating for improving postharvest quality of tomato (Solanum lycopersicum L.) fruits. </w:t>
      </w:r>
      <w:r>
        <w:rPr>
          <w:rFonts w:ascii="Calibri" w:hAnsi="Calibri" w:cs="Calibri" w:eastAsiaTheme="minorEastAsia"/>
          <w:i/>
          <w:lang w:val="en-US" w:eastAsia="zh-CN" w:bidi="ar-SA"/>
        </w:rPr>
        <w:t>Food Science and Technology International,</w:t>
      </w:r>
      <w:r>
        <w:rPr>
          <w:rFonts w:ascii="Calibri" w:hAnsi="Calibri" w:cs="Calibri" w:eastAsiaTheme="minorEastAsia"/>
          <w:lang w:val="en-US" w:eastAsia="zh-CN" w:bidi="ar-SA"/>
        </w:rPr>
        <w:t xml:space="preserve"> 20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33-43.</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MAI, A.-D. &amp; PATHARE, P. B. 2021. Kinetic modeling of quality changes of tomato during storage. </w:t>
      </w:r>
      <w:r>
        <w:rPr>
          <w:rFonts w:ascii="Calibri" w:hAnsi="Calibri" w:cs="Calibri" w:eastAsiaTheme="minorEastAsia"/>
          <w:i/>
          <w:lang w:val="en-US" w:eastAsia="zh-CN" w:bidi="ar-SA"/>
        </w:rPr>
        <w:t>Agricultural Engineering International: CIGR Journal,</w:t>
      </w:r>
      <w:r>
        <w:rPr>
          <w:rFonts w:ascii="Calibri" w:hAnsi="Calibri" w:cs="Calibri" w:eastAsiaTheme="minorEastAsia"/>
          <w:lang w:val="en-US" w:eastAsia="zh-CN" w:bidi="ar-SA"/>
        </w:rPr>
        <w:t xml:space="preserve"> 23</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183-193.</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MARINGGAL, B., HASHIM, N., TAWAKKAL, I. S. M. A., MOHAMED, M. T. M., HAMZAH, M. H., ALI, M. M. &amp; ABD RAZAK, M. F. H. 2020. Kinetics of quality changes in papayas (Carica papaya L.) coated with Malaysian stingless bee honey. </w:t>
      </w:r>
      <w:r>
        <w:rPr>
          <w:rFonts w:ascii="Calibri" w:hAnsi="Calibri" w:cs="Calibri" w:eastAsiaTheme="minorEastAsia"/>
          <w:i/>
          <w:lang w:val="en-US" w:eastAsia="zh-CN" w:bidi="ar-SA"/>
        </w:rPr>
        <w:t>Scientia Horticulturae,</w:t>
      </w:r>
      <w:r>
        <w:rPr>
          <w:rFonts w:ascii="Calibri" w:hAnsi="Calibri" w:cs="Calibri" w:eastAsiaTheme="minorEastAsia"/>
          <w:lang w:val="en-US" w:eastAsia="zh-CN" w:bidi="ar-SA"/>
        </w:rPr>
        <w:t xml:space="preserve"> 267</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109321.</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MARRUFO, T., NAZZARO, F., MANCINI, E., FRATIANNI, F., COPPOLA, R., DE MARTINO, L., AGOSTINHO, A. B. &amp; DE FEO, V. 2013. Chemical composition and biological activity of the essential oil from leaves of Moringa oleifera Lam. cultivated in Mozambique. </w:t>
      </w:r>
      <w:r>
        <w:rPr>
          <w:rFonts w:ascii="Calibri" w:hAnsi="Calibri" w:cs="Calibri" w:eastAsiaTheme="minorEastAsia"/>
          <w:i/>
          <w:lang w:val="en-US" w:eastAsia="zh-CN" w:bidi="ar-SA"/>
        </w:rPr>
        <w:t>Molecules,</w:t>
      </w:r>
      <w:r>
        <w:rPr>
          <w:rFonts w:ascii="Calibri" w:hAnsi="Calibri" w:cs="Calibri" w:eastAsiaTheme="minorEastAsia"/>
          <w:lang w:val="en-US" w:eastAsia="zh-CN" w:bidi="ar-SA"/>
        </w:rPr>
        <w:t xml:space="preserve"> 18</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10989-11000.</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MOHAMED, A. A., ALI, S. I. &amp; EL-BAZ, F. K. 2013. Antioxidant and antibacterial activities of crude extracts and essential oils of Syzygium cumini leaves. </w:t>
      </w:r>
      <w:r>
        <w:rPr>
          <w:rFonts w:ascii="Calibri" w:hAnsi="Calibri" w:cs="Calibri" w:eastAsiaTheme="minorEastAsia"/>
          <w:i/>
          <w:lang w:val="en-US" w:eastAsia="zh-CN" w:bidi="ar-SA"/>
        </w:rPr>
        <w:t>Plos one,</w:t>
      </w:r>
      <w:r>
        <w:rPr>
          <w:rFonts w:ascii="Calibri" w:hAnsi="Calibri" w:cs="Calibri" w:eastAsiaTheme="minorEastAsia"/>
          <w:lang w:val="en-US" w:eastAsia="zh-CN" w:bidi="ar-SA"/>
        </w:rPr>
        <w:t xml:space="preserve"> 8</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e60269.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MORE, K., TAYADE, S., GAWANDE, P., MANIK, S. &amp; SHELKE, D. 2022. Antioxidant and antimicrobial potential of Canavalia gladiata (Jacq.) DC. leaves and seeds: GC-MS based metabolic profiling. </w:t>
      </w:r>
      <w:r>
        <w:rPr>
          <w:rFonts w:ascii="Calibri" w:hAnsi="Calibri" w:cs="Calibri" w:eastAsiaTheme="minorEastAsia"/>
          <w:i/>
          <w:lang w:val="en-US" w:eastAsia="zh-CN" w:bidi="ar-SA"/>
        </w:rPr>
        <w:t>Indian Journal of Natural Products and Resources (IJNPR)[Formerly Natural Product Radiance (NPR)],</w:t>
      </w:r>
      <w:r>
        <w:rPr>
          <w:rFonts w:ascii="Calibri" w:hAnsi="Calibri" w:cs="Calibri" w:eastAsiaTheme="minorEastAsia"/>
          <w:lang w:val="en-US" w:eastAsia="zh-CN" w:bidi="ar-SA"/>
        </w:rPr>
        <w:t xml:space="preserve"> 13</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163-169.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NAIK, N. K., SINGH, R. K., SINGH, P., KUMAR, N., AHMED, G. &amp; NARAYAN, S. 2023. Eco-friendly produced superfine Moringa oleifera nanometric food powder and its characteristic effect on its structural, morphological and toxicity for varied applications as new functional nanomaterials. </w:t>
      </w:r>
      <w:r>
        <w:rPr>
          <w:rFonts w:ascii="Calibri" w:hAnsi="Calibri" w:cs="Calibri" w:eastAsiaTheme="minorEastAsia"/>
          <w:i/>
          <w:lang w:val="en-US" w:eastAsia="zh-CN" w:bidi="ar-SA"/>
        </w:rPr>
        <w:t>Materials Today: Proceedings,</w:t>
      </w:r>
      <w:r>
        <w:rPr>
          <w:rFonts w:ascii="Calibri" w:hAnsi="Calibri" w:cs="Calibri" w:eastAsiaTheme="minorEastAsia"/>
          <w:lang w:val="en-US" w:eastAsia="zh-CN" w:bidi="ar-SA"/>
        </w:rPr>
        <w:t xml:space="preserve"> 80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1382-1391.</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NASRIN, T., MOLLA, M., HOSSAEN, M. A., ALAM, M. &amp; YASMIN, L. 2008. Effect of postharvest treatments on shelf life and quality of tomato. </w:t>
      </w:r>
      <w:r>
        <w:rPr>
          <w:rFonts w:ascii="Calibri" w:hAnsi="Calibri" w:cs="Calibri" w:eastAsiaTheme="minorEastAsia"/>
          <w:i/>
          <w:lang w:val="en-US" w:eastAsia="zh-CN" w:bidi="ar-SA"/>
        </w:rPr>
        <w:t>Bangladesh Journal of Agricultural Research,</w:t>
      </w:r>
      <w:r>
        <w:rPr>
          <w:rFonts w:ascii="Calibri" w:hAnsi="Calibri" w:cs="Calibri" w:eastAsiaTheme="minorEastAsia"/>
          <w:lang w:val="en-US" w:eastAsia="zh-CN" w:bidi="ar-SA"/>
        </w:rPr>
        <w:t xml:space="preserve"> 33</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579-585.</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OHALE, P. E., CHUKWUDI, K., NDIVE, J. N., MICHAEL, M. E., ABONYI, M. N., CHUKWU, M. M., OBI, C. C., ONU, C. E., IGWEGBE, C. A. &amp; AZIE, C. O. 2023. Optimization of Fe2O3@ BC-KC composite preparation for adsorption of Alizarin red S dye: Characterization, kinetics, equilibrium, and thermodynamic studies. </w:t>
      </w:r>
      <w:r>
        <w:rPr>
          <w:rFonts w:ascii="Calibri" w:hAnsi="Calibri" w:cs="Calibri" w:eastAsiaTheme="minorEastAsia"/>
          <w:i/>
          <w:lang w:val="en-US" w:eastAsia="zh-CN" w:bidi="ar-SA"/>
        </w:rPr>
        <w:t>Results in Surfaces and Interfaces</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100157.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OHALE, P. E., NWAJIOBI, O. J., ONU, C. E., MADIEBO, E. M. &amp; OHALE, N. J. 2022. Solvent extraction of oil from three cultivars of Nigerian mango seed kernel: Process modeling, GA-optimization, nonlinear kinetics and comparative characterization. </w:t>
      </w:r>
      <w:r>
        <w:rPr>
          <w:rFonts w:ascii="Calibri" w:hAnsi="Calibri" w:cs="Calibri" w:eastAsiaTheme="minorEastAsia"/>
          <w:i/>
          <w:lang w:val="en-US" w:eastAsia="zh-CN" w:bidi="ar-SA"/>
        </w:rPr>
        <w:t>Applied Food Research,</w:t>
      </w:r>
      <w:r>
        <w:rPr>
          <w:rFonts w:ascii="Calibri" w:hAnsi="Calibri" w:cs="Calibri" w:eastAsiaTheme="minorEastAsia"/>
          <w:lang w:val="en-US" w:eastAsia="zh-CN" w:bidi="ar-SA"/>
        </w:rPr>
        <w:t xml:space="preserve"> 2</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100227.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OLANREWAJU, T., JACOBS, I., SULEIMAN, R. &amp; ABUBAKAR, M. 2019. Trend analysis of tomato production in Nigeria 2010 to 2014.</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PANDA, P. K., SADEGHI, K., PARK, K. &amp; SEO, J. 2023. Regeneration approach to enhance the antimicrobial and antioxidant activities of chitosan for biomedical applications. </w:t>
      </w:r>
      <w:r>
        <w:rPr>
          <w:rFonts w:ascii="Calibri" w:hAnsi="Calibri" w:cs="Calibri" w:eastAsiaTheme="minorEastAsia"/>
          <w:i/>
          <w:lang w:val="en-US" w:eastAsia="zh-CN" w:bidi="ar-SA"/>
        </w:rPr>
        <w:t>Polymers,</w:t>
      </w:r>
      <w:r>
        <w:rPr>
          <w:rFonts w:ascii="Calibri" w:hAnsi="Calibri" w:cs="Calibri" w:eastAsiaTheme="minorEastAsia"/>
          <w:lang w:val="en-US" w:eastAsia="zh-CN" w:bidi="ar-SA"/>
        </w:rPr>
        <w:t xml:space="preserve"> 15</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132.</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PINHEIRO, J., ALEGRIA, C., ABREU, M., GONÇALVES, E. M. &amp; SILVA, C. L. 2015. Use of UV-C postharvest treatment for extending fresh whole tomato (Solanum lycopersicum, cv. Zinac) shelf-life. </w:t>
      </w:r>
      <w:r>
        <w:rPr>
          <w:rFonts w:ascii="Calibri" w:hAnsi="Calibri" w:cs="Calibri" w:eastAsiaTheme="minorEastAsia"/>
          <w:i/>
          <w:lang w:val="en-US" w:eastAsia="zh-CN" w:bidi="ar-SA"/>
        </w:rPr>
        <w:t>Journal of food science and technology,</w:t>
      </w:r>
      <w:r>
        <w:rPr>
          <w:rFonts w:ascii="Calibri" w:hAnsi="Calibri" w:cs="Calibri" w:eastAsiaTheme="minorEastAsia"/>
          <w:lang w:val="en-US" w:eastAsia="zh-CN" w:bidi="ar-SA"/>
        </w:rPr>
        <w:t xml:space="preserve"> 52</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5066-5074.</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RUELAS-CHACON, X., CONTRERAS-ESQUIVEL, J., MONTAÑEZ, J., AGUILERA-CARBO, A., REYES-VEGA, M., PERALTA-RODRIGUEZ, R. &amp; SANCHÉZ-BRAMBILA, G. 2017. Guar gum as an edible coating for enhancing shelf-life and improving postharvest quality of roma tomato (Solanum lycopersicum L.). </w:t>
      </w:r>
      <w:r>
        <w:rPr>
          <w:rFonts w:ascii="Calibri" w:hAnsi="Calibri" w:cs="Calibri" w:eastAsiaTheme="minorEastAsia"/>
          <w:i/>
          <w:lang w:val="en-US" w:eastAsia="zh-CN" w:bidi="ar-SA"/>
        </w:rPr>
        <w:t>Journal of Food Quality,</w:t>
      </w:r>
      <w:r>
        <w:rPr>
          <w:rFonts w:ascii="Calibri" w:hAnsi="Calibri" w:cs="Calibri" w:eastAsiaTheme="minorEastAsia"/>
          <w:lang w:val="en-US" w:eastAsia="zh-CN" w:bidi="ar-SA"/>
        </w:rPr>
        <w:t xml:space="preserve"> 2017.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RUVUBU, S. B. &amp; ROY, I. 2023. Tandem Coating of Gly-Gly-Gly and 2–Mercaptoethylaminehydrochloride on Chitosan Magnetic Nanoparticles for Environmental Remediation of Dyes. </w:t>
      </w:r>
      <w:r>
        <w:rPr>
          <w:rFonts w:ascii="Calibri" w:hAnsi="Calibri" w:cs="Calibri" w:eastAsiaTheme="minorEastAsia"/>
          <w:i/>
          <w:lang w:val="en-US" w:eastAsia="zh-CN" w:bidi="ar-SA"/>
        </w:rPr>
        <w:t>Journal of Polymers and the Environment</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1-28.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SANKHALKAR, S. &amp; VERNEKAR, V. 2016. Quantitative and Qualitative analysis of Phenolic and Flavonoid content in Moringa oleifera Lam and Ocimum tenuiflorum L. </w:t>
      </w:r>
      <w:r>
        <w:rPr>
          <w:rFonts w:ascii="Calibri" w:hAnsi="Calibri" w:cs="Calibri" w:eastAsiaTheme="minorEastAsia"/>
          <w:i/>
          <w:lang w:val="en-US" w:eastAsia="zh-CN" w:bidi="ar-SA"/>
        </w:rPr>
        <w:t>Pharmacognosy research,</w:t>
      </w:r>
      <w:r>
        <w:rPr>
          <w:rFonts w:ascii="Calibri" w:hAnsi="Calibri" w:cs="Calibri" w:eastAsiaTheme="minorEastAsia"/>
          <w:lang w:val="en-US" w:eastAsia="zh-CN" w:bidi="ar-SA"/>
        </w:rPr>
        <w:t xml:space="preserve"> 8</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16.</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SHAHBAZ, M., IMRAN, M., ALSAGABY, S. A., NAEEM, H., AL ABDULMONEM, W., HUSSAIN, M., ABDELGAWAD, M. A., EL-GHORAB, A. H., GHONEIM, M. M. &amp; EL-SHERBINY, M. 2023. Anticancer, antioxidant, ameliorative and therapeutic properties of kaempferol. </w:t>
      </w:r>
      <w:r>
        <w:rPr>
          <w:rFonts w:ascii="Calibri" w:hAnsi="Calibri" w:cs="Calibri" w:eastAsiaTheme="minorEastAsia"/>
          <w:i/>
          <w:lang w:val="en-US" w:eastAsia="zh-CN" w:bidi="ar-SA"/>
        </w:rPr>
        <w:t>International Journal of Food Properties,</w:t>
      </w:r>
      <w:r>
        <w:rPr>
          <w:rFonts w:ascii="Calibri" w:hAnsi="Calibri" w:cs="Calibri" w:eastAsiaTheme="minorEastAsia"/>
          <w:lang w:val="en-US" w:eastAsia="zh-CN" w:bidi="ar-SA"/>
        </w:rPr>
        <w:t xml:space="preserve"> 26</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1140-1166.</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SIBOMANA, M., QUADT, E. P., BLESSING, F., AKINWEKOMI, E., VAN DER WAAL, H. W. &amp; CLERCX, L. 2019. Improving Inland Transport Modalities for Vegetables and Food Crops between Production Zones, Urban Conglomerations and Export Hubs.</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SKREDE, G. 1985. Color quality of blackcurrant syrups during storage evaluated by hunter L', a', b'values. </w:t>
      </w:r>
      <w:r>
        <w:rPr>
          <w:rFonts w:ascii="Calibri" w:hAnsi="Calibri" w:cs="Calibri" w:eastAsiaTheme="minorEastAsia"/>
          <w:i/>
          <w:lang w:val="en-US" w:eastAsia="zh-CN" w:bidi="ar-SA"/>
        </w:rPr>
        <w:t>Journal of Food Science,</w:t>
      </w:r>
      <w:r>
        <w:rPr>
          <w:rFonts w:ascii="Calibri" w:hAnsi="Calibri" w:cs="Calibri" w:eastAsiaTheme="minorEastAsia"/>
          <w:lang w:val="en-US" w:eastAsia="zh-CN" w:bidi="ar-SA"/>
        </w:rPr>
        <w:t xml:space="preserve"> 50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514-517.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SMOLARKIEWICZ-WYCZACHOWSKI, A., KACZMAREK, H., PISKORZ, J. &amp; ZIEGLER-BOROWSKA, M. 2023. Effect of heat and UV-irradiation on chitosan film doped with BODIPY dyes. </w:t>
      </w:r>
      <w:r>
        <w:rPr>
          <w:rFonts w:ascii="Calibri" w:hAnsi="Calibri" w:cs="Calibri" w:eastAsiaTheme="minorEastAsia"/>
          <w:i/>
          <w:lang w:val="en-US" w:eastAsia="zh-CN" w:bidi="ar-SA"/>
        </w:rPr>
        <w:t>Polymer,</w:t>
      </w:r>
      <w:r>
        <w:rPr>
          <w:rFonts w:ascii="Calibri" w:hAnsi="Calibri" w:cs="Calibri" w:eastAsiaTheme="minorEastAsia"/>
          <w:lang w:val="en-US" w:eastAsia="zh-CN" w:bidi="ar-SA"/>
        </w:rPr>
        <w:t xml:space="preserve"> 285</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126324.</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TAN, H., MA, R., LIN, C., LIU, Z. &amp; TANG, T. 2013. Quaternized chitosan as an antimicrobial agent: antimicrobial activity, mechanism of action and biomedical applications in orthopedics. </w:t>
      </w:r>
      <w:r>
        <w:rPr>
          <w:rFonts w:ascii="Calibri" w:hAnsi="Calibri" w:cs="Calibri" w:eastAsiaTheme="minorEastAsia"/>
          <w:i/>
          <w:lang w:val="en-US" w:eastAsia="zh-CN" w:bidi="ar-SA"/>
        </w:rPr>
        <w:t>International journal of molecular sciences,</w:t>
      </w:r>
      <w:r>
        <w:rPr>
          <w:rFonts w:ascii="Calibri" w:hAnsi="Calibri" w:cs="Calibri" w:eastAsiaTheme="minorEastAsia"/>
          <w:lang w:val="en-US" w:eastAsia="zh-CN" w:bidi="ar-SA"/>
        </w:rPr>
        <w:t xml:space="preserve"> 14</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1854-1869.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TAN, W., LI, Q., DONG, F., ZHANG, J., LUAN, F., WEI, L., CHEN, Y. &amp; GUO, Z. 2018. Novel cationic chitosan derivative bearing 1, 2, 3-triazolium and pyridinium: Synthesis, characterization, and antifungal property. </w:t>
      </w:r>
      <w:r>
        <w:rPr>
          <w:rFonts w:ascii="Calibri" w:hAnsi="Calibri" w:cs="Calibri" w:eastAsiaTheme="minorEastAsia"/>
          <w:i/>
          <w:lang w:val="en-US" w:eastAsia="zh-CN" w:bidi="ar-SA"/>
        </w:rPr>
        <w:t>Carbohydrate polymers,</w:t>
      </w:r>
      <w:r>
        <w:rPr>
          <w:rFonts w:ascii="Calibri" w:hAnsi="Calibri" w:cs="Calibri" w:eastAsiaTheme="minorEastAsia"/>
          <w:lang w:val="en-US" w:eastAsia="zh-CN" w:bidi="ar-SA"/>
        </w:rPr>
        <w:t xml:space="preserve"> 182</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180-187.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TARANGINI, K., KAVI, P. &amp; JAGAJJANANI RAO, K. 2022. Application of sericin‐based edible coating material for postharvest shelf‐life extension and preservation of tomatoes. </w:t>
      </w:r>
      <w:r>
        <w:rPr>
          <w:rFonts w:ascii="Calibri" w:hAnsi="Calibri" w:cs="Calibri" w:eastAsiaTheme="minorEastAsia"/>
          <w:i/>
          <w:lang w:val="en-US" w:eastAsia="zh-CN" w:bidi="ar-SA"/>
        </w:rPr>
        <w:t>eFood,</w:t>
      </w:r>
      <w:r>
        <w:rPr>
          <w:rFonts w:ascii="Calibri" w:hAnsi="Calibri" w:cs="Calibri" w:eastAsiaTheme="minorEastAsia"/>
          <w:lang w:val="en-US" w:eastAsia="zh-CN" w:bidi="ar-SA"/>
        </w:rPr>
        <w:t xml:space="preserve"> 3</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e36.</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TESHOME, E., FORSIDO, S. F., RUPASINGHE, H. &amp; OLIKA KEYATA, E. 2022. Potentials of natural preservatives to enhance food safety and shelf life: A review. </w:t>
      </w:r>
      <w:r>
        <w:rPr>
          <w:rFonts w:ascii="Calibri" w:hAnsi="Calibri" w:cs="Calibri" w:eastAsiaTheme="minorEastAsia"/>
          <w:i/>
          <w:lang w:val="en-US" w:eastAsia="zh-CN" w:bidi="ar-SA"/>
        </w:rPr>
        <w:t>The Scientific World Journal,</w:t>
      </w:r>
      <w:r>
        <w:rPr>
          <w:rFonts w:ascii="Calibri" w:hAnsi="Calibri" w:cs="Calibri" w:eastAsiaTheme="minorEastAsia"/>
          <w:lang w:val="en-US" w:eastAsia="zh-CN" w:bidi="ar-SA"/>
        </w:rPr>
        <w:t xml:space="preserve"> 2022.</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TIAN, C., LIU, X., CHANG, Y., WANG, R., LV, T., CUI, C. &amp; LIU, M. 2021. Investigation of the anti-inflammatory and antioxidant activities of luteolin, kaempferol, apigenin and quercetin. </w:t>
      </w:r>
      <w:r>
        <w:rPr>
          <w:rFonts w:ascii="Calibri" w:hAnsi="Calibri" w:cs="Calibri" w:eastAsiaTheme="minorEastAsia"/>
          <w:i/>
          <w:lang w:val="en-US" w:eastAsia="zh-CN" w:bidi="ar-SA"/>
        </w:rPr>
        <w:t>South African Journal of Botany,</w:t>
      </w:r>
      <w:r>
        <w:rPr>
          <w:rFonts w:ascii="Calibri" w:hAnsi="Calibri" w:cs="Calibri" w:eastAsiaTheme="minorEastAsia"/>
          <w:lang w:val="en-US" w:eastAsia="zh-CN" w:bidi="ar-SA"/>
        </w:rPr>
        <w:t xml:space="preserve"> 137</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257-264.</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VAN BOEKEL, M. A. 2008. Kinetic modeling of food quality: a critical review. </w:t>
      </w:r>
      <w:r>
        <w:rPr>
          <w:rFonts w:ascii="Calibri" w:hAnsi="Calibri" w:cs="Calibri" w:eastAsiaTheme="minorEastAsia"/>
          <w:i/>
          <w:lang w:val="en-US" w:eastAsia="zh-CN" w:bidi="ar-SA"/>
        </w:rPr>
        <w:t>Comprehensive reviews in food science and food safety,</w:t>
      </w:r>
      <w:r>
        <w:rPr>
          <w:rFonts w:ascii="Calibri" w:hAnsi="Calibri" w:cs="Calibri" w:eastAsiaTheme="minorEastAsia"/>
          <w:lang w:val="en-US" w:eastAsia="zh-CN" w:bidi="ar-SA"/>
        </w:rPr>
        <w:t xml:space="preserve"> 7</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144-158.</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VIJAYAKUMAR, S., ARULMOZHI, P., KUMAR, N., SAKTHIVEL, B., KUMAR, S. P. &amp; PRASEETHA, P. 2020. Acalypha fruticosa L. leaf extract mediated synthesis of ZnO nanoparticles: Characterization and antimicrobial activities. </w:t>
      </w:r>
      <w:r>
        <w:rPr>
          <w:rFonts w:ascii="Calibri" w:hAnsi="Calibri" w:cs="Calibri" w:eastAsiaTheme="minorEastAsia"/>
          <w:i/>
          <w:lang w:val="en-US" w:eastAsia="zh-CN" w:bidi="ar-SA"/>
        </w:rPr>
        <w:t>Materials Today: Proceedings,</w:t>
      </w:r>
      <w:r>
        <w:rPr>
          <w:rFonts w:ascii="Calibri" w:hAnsi="Calibri" w:cs="Calibri" w:eastAsiaTheme="minorEastAsia"/>
          <w:lang w:val="en-US" w:eastAsia="zh-CN" w:bidi="ar-SA"/>
        </w:rPr>
        <w:t xml:space="preserve"> 23</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73-80.</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VINSOVA, J. &amp; VAVRIKOVA, E. 2011. Chitosan derivatives with antimicrobial, antitumour and antioxidant activities-a review. </w:t>
      </w:r>
      <w:r>
        <w:rPr>
          <w:rFonts w:ascii="Calibri" w:hAnsi="Calibri" w:cs="Calibri" w:eastAsiaTheme="minorEastAsia"/>
          <w:i/>
          <w:lang w:val="en-US" w:eastAsia="zh-CN" w:bidi="ar-SA"/>
        </w:rPr>
        <w:t>Current pharmaceutical design,</w:t>
      </w:r>
      <w:r>
        <w:rPr>
          <w:rFonts w:ascii="Calibri" w:hAnsi="Calibri" w:cs="Calibri" w:eastAsiaTheme="minorEastAsia"/>
          <w:lang w:val="en-US" w:eastAsia="zh-CN" w:bidi="ar-SA"/>
        </w:rPr>
        <w:t xml:space="preserve"> 17</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3596-3607.</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VISCO, D. B., MANHÃES-DE-CASTRO, R., DA SILVA, M. M., COSTA-DE-SANTANA, B. J., PEREIRA DOS SANTOS JUNIOR, J., SAAVEDRA, L. M., DE LEMOS, M. D. T. B., VALDÉZ-ALARCÓN, J. J., LAGRANHA, C. J. &amp; GUZMAN-QUEVEDO, O. 2022. Neonatal kaempferol exposure attenuates impact of cerebral palsy model on neuromotor development, cell proliferation, microglia activation, and antioxidant enzyme expression in the hippocampus of rats. </w:t>
      </w:r>
      <w:r>
        <w:rPr>
          <w:rFonts w:ascii="Calibri" w:hAnsi="Calibri" w:cs="Calibri" w:eastAsiaTheme="minorEastAsia"/>
          <w:i/>
          <w:lang w:val="en-US" w:eastAsia="zh-CN" w:bidi="ar-SA"/>
        </w:rPr>
        <w:t>Nutritional Neuroscience</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1-22.</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WALIA, S., MUKHIA, S., BHATT, V., KUMAR, R. &amp; KUMAR, R. 2020. Variability in chemical composition and antimicrobial activity of Tagetes minuta L. essential oil collected from different locations of Himalaya. </w:t>
      </w:r>
      <w:r>
        <w:rPr>
          <w:rFonts w:ascii="Calibri" w:hAnsi="Calibri" w:cs="Calibri" w:eastAsiaTheme="minorEastAsia"/>
          <w:i/>
          <w:lang w:val="en-US" w:eastAsia="zh-CN" w:bidi="ar-SA"/>
        </w:rPr>
        <w:t>Industrial crops and products,</w:t>
      </w:r>
      <w:r>
        <w:rPr>
          <w:rFonts w:ascii="Calibri" w:hAnsi="Calibri" w:cs="Calibri" w:eastAsiaTheme="minorEastAsia"/>
          <w:lang w:val="en-US" w:eastAsia="zh-CN" w:bidi="ar-SA"/>
        </w:rPr>
        <w:t xml:space="preserve"> 150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112449.</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WANG, W., XUE, C. &amp; MAO, X. 2020. Chitosan: Structural modification, biological activity and application. </w:t>
      </w:r>
      <w:r>
        <w:rPr>
          <w:rFonts w:ascii="Calibri" w:hAnsi="Calibri" w:cs="Calibri" w:eastAsiaTheme="minorEastAsia"/>
          <w:i/>
          <w:lang w:val="en-US" w:eastAsia="zh-CN" w:bidi="ar-SA"/>
        </w:rPr>
        <w:t>International Journal of Biological Macromolecules,</w:t>
      </w:r>
      <w:r>
        <w:rPr>
          <w:rFonts w:ascii="Calibri" w:hAnsi="Calibri" w:cs="Calibri" w:eastAsiaTheme="minorEastAsia"/>
          <w:lang w:val="en-US" w:eastAsia="zh-CN" w:bidi="ar-SA"/>
        </w:rPr>
        <w:t xml:space="preserve"> 164</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4532-4546.</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WEI, L., WANG, W., HOU, Y., XIE, X., LI, X., CHEN, F., WANG, Z., ZHOU, Y., LI, F. &amp; JING, B. 2023. Chemical Composition, Antibacterial Test, and Antioxidant Activity of Essential Oils from Fresh and Dried Stropharia rugosoannulata. </w:t>
      </w:r>
      <w:r>
        <w:rPr>
          <w:rFonts w:ascii="Calibri" w:hAnsi="Calibri" w:cs="Calibri" w:eastAsiaTheme="minorEastAsia"/>
          <w:i/>
          <w:lang w:val="en-US" w:eastAsia="zh-CN" w:bidi="ar-SA"/>
        </w:rPr>
        <w:t>Journal of Chemistry,</w:t>
      </w:r>
      <w:r>
        <w:rPr>
          <w:rFonts w:ascii="Calibri" w:hAnsi="Calibri" w:cs="Calibri" w:eastAsiaTheme="minorEastAsia"/>
          <w:lang w:val="en-US" w:eastAsia="zh-CN" w:bidi="ar-SA"/>
        </w:rPr>
        <w:t xml:space="preserve"> 2023.</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WIGGERS, H. J., CHEVALLIER, P., COPES, F., SIMCH, F. H., DA SILVA VELOSO, F., GENEVRO, G. M. &amp; MANTOVANI, D. 2022. Quercetin-Crosslinked Chitosan Films for Controlled Release of Antimicrobial Drugs. </w:t>
      </w:r>
      <w:r>
        <w:rPr>
          <w:rFonts w:ascii="Calibri" w:hAnsi="Calibri" w:cs="Calibri" w:eastAsiaTheme="minorEastAsia"/>
          <w:i/>
          <w:lang w:val="en-US" w:eastAsia="zh-CN" w:bidi="ar-SA"/>
        </w:rPr>
        <w:t>Frontiers in Bioengineering and Biotechnology,</w:t>
      </w:r>
      <w:r>
        <w:rPr>
          <w:rFonts w:ascii="Calibri" w:hAnsi="Calibri" w:cs="Calibri" w:eastAsiaTheme="minorEastAsia"/>
          <w:lang w:val="en-US" w:eastAsia="zh-CN" w:bidi="ar-SA"/>
        </w:rPr>
        <w:t xml:space="preserve"> 10</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814162.</w:t>
      </w:r>
    </w:p>
    <w:p>
      <w:pPr>
        <w:pStyle w:val="8"/>
        <w:bidi w:val="0"/>
        <w:ind w:left="720" w:hanging="720"/>
        <w:rPr>
          <w:rFonts w:ascii="Calibri" w:hAnsi="Calibri" w:cs="Calibri" w:eastAsiaTheme="minorEastAsia"/>
          <w:lang w:val="en-US" w:eastAsia="zh-CN" w:bidi="ar-SA"/>
        </w:rPr>
      </w:pPr>
      <w:r>
        <w:rPr>
          <w:rFonts w:ascii="Calibri" w:hAnsi="Calibri" w:cs="Calibri" w:eastAsiaTheme="minorEastAsia"/>
          <w:lang w:val="en-US" w:eastAsia="zh-CN" w:bidi="ar-SA"/>
        </w:rPr>
        <w:t xml:space="preserve">WU, W., LI, Y., ZHU, X., WANG, L., WANG, J., QIN, Y., ZHANG, M., YU, C., GOU, C. &amp; YAN, X. 2023. Antimicrobial activity enabled by chitosan-ε-polylysine-natamycin and its effect on microbial diversity of tomato scrambled egg paste. </w:t>
      </w:r>
      <w:r>
        <w:rPr>
          <w:rFonts w:ascii="Calibri" w:hAnsi="Calibri" w:cs="Calibri" w:eastAsiaTheme="minorEastAsia"/>
          <w:i/>
          <w:lang w:val="en-US" w:eastAsia="zh-CN" w:bidi="ar-SA"/>
        </w:rPr>
        <w:t>Food Chemistry: X,</w:t>
      </w:r>
      <w:r>
        <w:rPr>
          <w:rFonts w:ascii="Calibri" w:hAnsi="Calibri" w:cs="Calibri" w:eastAsiaTheme="minorEastAsia"/>
          <w:lang w:val="en-US" w:eastAsia="zh-CN" w:bidi="ar-SA"/>
        </w:rPr>
        <w:t xml:space="preserve"> 19</w:t>
      </w:r>
      <w:r>
        <w:rPr>
          <w:rFonts w:ascii="Calibri" w:hAnsi="Calibri" w:cs="Calibri" w:eastAsiaTheme="minorEastAsia"/>
          <w:b/>
          <w:lang w:val="en-US" w:eastAsia="zh-CN" w:bidi="ar-SA"/>
        </w:rPr>
        <w:t>,</w:t>
      </w:r>
      <w:r>
        <w:rPr>
          <w:rFonts w:ascii="Calibri" w:hAnsi="Calibri" w:cs="Calibri" w:eastAsiaTheme="minorEastAsia"/>
          <w:lang w:val="en-US" w:eastAsia="zh-CN" w:bidi="ar-SA"/>
        </w:rPr>
        <w:t xml:space="preserve"> 100872.</w:t>
      </w:r>
    </w:p>
    <w:p>
      <w:pPr>
        <w:spacing w:line="360" w:lineRule="auto"/>
        <w:jc w:val="both"/>
        <w:rPr>
          <w:rFonts w:hint="default" w:ascii="Times New Roman" w:hAnsi="Times New Roman"/>
          <w:sz w:val="24"/>
          <w:szCs w:val="24"/>
          <w:lang w:val="en-US"/>
        </w:rPr>
      </w:pPr>
      <w:r>
        <w:rPr>
          <w:rFonts w:hint="default" w:ascii="Times New Roman" w:hAnsi="Times New Roman"/>
          <w:sz w:val="24"/>
          <w:szCs w:val="24"/>
          <w:lang w:val="en-US"/>
        </w:rPr>
        <w:fldChar w:fldCharType="end"/>
      </w:r>
    </w:p>
    <w:sectPr>
      <w:pgSz w:w="11906" w:h="16838"/>
      <w:pgMar w:top="1440" w:right="1800" w:bottom="1440" w:left="1800" w:header="720" w:footer="720" w:gutter="0"/>
      <w:lnNumType w:countBy="1" w:restart="continuou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ionPro-Regular">
    <w:altName w:val="Segoe Print"/>
    <w:panose1 w:val="00000000000000000000"/>
    <w:charset w:val="00"/>
    <w:family w:val="auto"/>
    <w:pitch w:val="default"/>
    <w:sig w:usb0="00000000" w:usb1="00000000" w:usb2="00000000" w:usb3="00000000" w:csb0="00000000" w:csb1="00000000"/>
  </w:font>
  <w:font w:name="URWPalladioL-Roma">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00" w:usb3="00000000" w:csb0="00000000" w:csb1="00000000"/>
  </w:font>
  <w:font w:name="E-BZ">
    <w:altName w:val="Segoe Print"/>
    <w:panose1 w:val="00000000000000000000"/>
    <w:charset w:val="00"/>
    <w:family w:val="auto"/>
    <w:pitch w:val="default"/>
    <w:sig w:usb0="00000000" w:usb1="00000000" w:usb2="00000000" w:usb3="00000000" w:csb0="00000000" w:csb1="00000000"/>
  </w:font>
  <w:font w:name="AdvOT3c2d9f11">
    <w:altName w:val="Segoe Print"/>
    <w:panose1 w:val="00000000000000000000"/>
    <w:charset w:val="00"/>
    <w:family w:val="auto"/>
    <w:pitch w:val="default"/>
    <w:sig w:usb0="00000000" w:usb1="00000000" w:usb2="00000000" w:usb3="00000000" w:csb0="00000000" w:csb1="00000000"/>
  </w:font>
  <w:font w:name="MinionPro-It">
    <w:altName w:val="Segoe Print"/>
    <w:panose1 w:val="00000000000000000000"/>
    <w:charset w:val="00"/>
    <w:family w:val="auto"/>
    <w:pitch w:val="default"/>
    <w:sig w:usb0="00000000" w:usb1="00000000" w:usb2="00000000" w:usb3="00000000" w:csb0="00000000" w:csb1="00000000"/>
  </w:font>
  <w:font w:name="MinionPro">
    <w:altName w:val="Segoe Print"/>
    <w:panose1 w:val="00000000000000000000"/>
    <w:charset w:val="00"/>
    <w:family w:val="auto"/>
    <w:pitch w:val="default"/>
    <w:sig w:usb0="00000000" w:usb1="00000000" w:usb2="00000000" w:usb3="00000000" w:csb0="00000000" w:csb1="00000000"/>
  </w:font>
  <w:font w:name="MinionMath-Capt">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auto"/>
    <w:pitch w:val="default"/>
    <w:sig w:usb0="A00002AF" w:usb1="400078FB" w:usb2="00000000" w:usb3="00000000" w:csb0="6000009F" w:csb1="DFD7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vassfwttpfsqe0xsop2wwg2f05wx552500&quot;&gt;My EndNote Library&lt;record-ids&gt;&lt;item&gt;57&lt;/item&gt;&lt;item&gt;110&lt;/item&gt;&lt;item&gt;111&lt;/item&gt;&lt;item&gt;112&lt;/item&gt;&lt;item&gt;114&lt;/item&gt;&lt;item&gt;115&lt;/item&gt;&lt;item&gt;116&lt;/item&gt;&lt;item&gt;117&lt;/item&gt;&lt;item&gt;118&lt;/item&gt;&lt;item&gt;120&lt;/item&gt;&lt;item&gt;121&lt;/item&gt;&lt;item&gt;123&lt;/item&gt;&lt;item&gt;125&lt;/item&gt;&lt;item&gt;129&lt;/item&gt;&lt;item&gt;131&lt;/item&gt;&lt;item&gt;132&lt;/item&gt;&lt;item&gt;133&lt;/item&gt;&lt;item&gt;134&lt;/item&gt;&lt;item&gt;135&lt;/item&gt;&lt;item&gt;137&lt;/item&gt;&lt;item&gt;138&lt;/item&gt;&lt;item&gt;140&lt;/item&gt;&lt;item&gt;141&lt;/item&gt;&lt;item&gt;142&lt;/item&gt;&lt;item&gt;144&lt;/item&gt;&lt;item&gt;145&lt;/item&gt;&lt;item&gt;147&lt;/item&gt;&lt;item&gt;148&lt;/item&gt;&lt;item&gt;149&lt;/item&gt;&lt;item&gt;150&lt;/item&gt;&lt;item&gt;151&lt;/item&gt;&lt;item&gt;153&lt;/item&gt;&lt;item&gt;157&lt;/item&gt;&lt;item&gt;158&lt;/item&gt;&lt;item&gt;159&lt;/item&gt;&lt;item&gt;160&lt;/item&gt;&lt;item&gt;161&lt;/item&gt;&lt;item&gt;162&lt;/item&gt;&lt;item&gt;163&lt;/item&gt;&lt;item&gt;164&lt;/item&gt;&lt;item&gt;165&lt;/item&gt;&lt;item&gt;198&lt;/item&gt;&lt;item&gt;201&lt;/item&gt;&lt;item&gt;202&lt;/item&gt;&lt;item&gt;203&lt;/item&gt;&lt;item&gt;207&lt;/item&gt;&lt;item&gt;208&lt;/item&gt;&lt;item&gt;210&lt;/item&gt;&lt;item&gt;211&lt;/item&gt;&lt;item&gt;212&lt;/item&gt;&lt;item&gt;213&lt;/item&gt;&lt;item&gt;217&lt;/item&gt;&lt;item&gt;218&lt;/item&gt;&lt;item&gt;322&lt;/item&gt;&lt;item&gt;323&lt;/item&gt;&lt;item&gt;324&lt;/item&gt;&lt;item&gt;417&lt;/item&gt;&lt;item&gt;418&lt;/item&gt;&lt;item&gt;419&lt;/item&gt;&lt;item&gt;420&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record-ids&gt;&lt;/item&gt;&lt;/Libraries&gt;"/>
  </w:docVars>
  <w:rsids>
    <w:rsidRoot w:val="005A3FF5"/>
    <w:rsid w:val="000F7E3E"/>
    <w:rsid w:val="001240F4"/>
    <w:rsid w:val="003A4468"/>
    <w:rsid w:val="004C0FE5"/>
    <w:rsid w:val="005A3FF5"/>
    <w:rsid w:val="00781DCE"/>
    <w:rsid w:val="00BD1C5E"/>
    <w:rsid w:val="00DF073C"/>
    <w:rsid w:val="016E5688"/>
    <w:rsid w:val="0185278D"/>
    <w:rsid w:val="01E83A82"/>
    <w:rsid w:val="02BE1699"/>
    <w:rsid w:val="02C45698"/>
    <w:rsid w:val="02EE61D1"/>
    <w:rsid w:val="03535EF8"/>
    <w:rsid w:val="035F61C3"/>
    <w:rsid w:val="03950D7C"/>
    <w:rsid w:val="03D66E79"/>
    <w:rsid w:val="03D7349B"/>
    <w:rsid w:val="03E00AD0"/>
    <w:rsid w:val="04B9408F"/>
    <w:rsid w:val="0521388A"/>
    <w:rsid w:val="05732B32"/>
    <w:rsid w:val="058A6B95"/>
    <w:rsid w:val="05C35956"/>
    <w:rsid w:val="067D365B"/>
    <w:rsid w:val="067E0D1B"/>
    <w:rsid w:val="068C0634"/>
    <w:rsid w:val="06BA5298"/>
    <w:rsid w:val="07580D39"/>
    <w:rsid w:val="076D09C1"/>
    <w:rsid w:val="07903FF7"/>
    <w:rsid w:val="08344858"/>
    <w:rsid w:val="083F0E7E"/>
    <w:rsid w:val="08A74FBB"/>
    <w:rsid w:val="099C79A0"/>
    <w:rsid w:val="09EB2C7F"/>
    <w:rsid w:val="0A7F46C9"/>
    <w:rsid w:val="0A8B7655"/>
    <w:rsid w:val="0A9C14DF"/>
    <w:rsid w:val="0B0B0B09"/>
    <w:rsid w:val="0B5E4B85"/>
    <w:rsid w:val="0B8C38D8"/>
    <w:rsid w:val="0BB058B3"/>
    <w:rsid w:val="0BE91675"/>
    <w:rsid w:val="0D455C9E"/>
    <w:rsid w:val="0DD52EAB"/>
    <w:rsid w:val="0E354C95"/>
    <w:rsid w:val="0E7A2FC8"/>
    <w:rsid w:val="0EAA7F34"/>
    <w:rsid w:val="0ECC12D1"/>
    <w:rsid w:val="0F8704DA"/>
    <w:rsid w:val="0FE51F22"/>
    <w:rsid w:val="100223E4"/>
    <w:rsid w:val="100B0E88"/>
    <w:rsid w:val="106079A9"/>
    <w:rsid w:val="108871AD"/>
    <w:rsid w:val="10B81EFA"/>
    <w:rsid w:val="113B273E"/>
    <w:rsid w:val="11594B8B"/>
    <w:rsid w:val="11776C44"/>
    <w:rsid w:val="11B05318"/>
    <w:rsid w:val="11F363FF"/>
    <w:rsid w:val="120D44DF"/>
    <w:rsid w:val="12246685"/>
    <w:rsid w:val="12704275"/>
    <w:rsid w:val="12AC2FA1"/>
    <w:rsid w:val="12BF484E"/>
    <w:rsid w:val="12F324C0"/>
    <w:rsid w:val="13095F47"/>
    <w:rsid w:val="1364009C"/>
    <w:rsid w:val="13640BDF"/>
    <w:rsid w:val="13966E30"/>
    <w:rsid w:val="13AE24E2"/>
    <w:rsid w:val="13B70D40"/>
    <w:rsid w:val="1433594E"/>
    <w:rsid w:val="14997957"/>
    <w:rsid w:val="15041CE5"/>
    <w:rsid w:val="15930E74"/>
    <w:rsid w:val="162A1B44"/>
    <w:rsid w:val="16414353"/>
    <w:rsid w:val="16460917"/>
    <w:rsid w:val="16B10542"/>
    <w:rsid w:val="16BD1CAC"/>
    <w:rsid w:val="16E06979"/>
    <w:rsid w:val="16F80AB8"/>
    <w:rsid w:val="17C33F38"/>
    <w:rsid w:val="17E1613A"/>
    <w:rsid w:val="17F2118F"/>
    <w:rsid w:val="184F676E"/>
    <w:rsid w:val="188C1E56"/>
    <w:rsid w:val="18B807A5"/>
    <w:rsid w:val="18F556CB"/>
    <w:rsid w:val="191C071A"/>
    <w:rsid w:val="1A1254D5"/>
    <w:rsid w:val="1A2E4BEE"/>
    <w:rsid w:val="1A3B1EE4"/>
    <w:rsid w:val="1A5D7FC5"/>
    <w:rsid w:val="1A9833C9"/>
    <w:rsid w:val="1B181FF7"/>
    <w:rsid w:val="1B7653D2"/>
    <w:rsid w:val="1C1E3330"/>
    <w:rsid w:val="1C242649"/>
    <w:rsid w:val="1C24274C"/>
    <w:rsid w:val="1C395ACC"/>
    <w:rsid w:val="1CC57360"/>
    <w:rsid w:val="1CF973E3"/>
    <w:rsid w:val="1D0168F0"/>
    <w:rsid w:val="1D09129C"/>
    <w:rsid w:val="1D1247BD"/>
    <w:rsid w:val="1D300705"/>
    <w:rsid w:val="1D521A58"/>
    <w:rsid w:val="1D5D13BA"/>
    <w:rsid w:val="1D6C4859"/>
    <w:rsid w:val="1D7E66C3"/>
    <w:rsid w:val="1DC91D6E"/>
    <w:rsid w:val="1DD377A6"/>
    <w:rsid w:val="1DD7758F"/>
    <w:rsid w:val="1E3F7422"/>
    <w:rsid w:val="1ED77B8A"/>
    <w:rsid w:val="1F3523D1"/>
    <w:rsid w:val="20CE0125"/>
    <w:rsid w:val="20E678B0"/>
    <w:rsid w:val="212D66B9"/>
    <w:rsid w:val="21537F1B"/>
    <w:rsid w:val="216A4F46"/>
    <w:rsid w:val="216E03E1"/>
    <w:rsid w:val="21E50274"/>
    <w:rsid w:val="22644208"/>
    <w:rsid w:val="22A330C7"/>
    <w:rsid w:val="22D20532"/>
    <w:rsid w:val="239D1610"/>
    <w:rsid w:val="240E24B8"/>
    <w:rsid w:val="24435E0A"/>
    <w:rsid w:val="24D40F7C"/>
    <w:rsid w:val="24ED40A4"/>
    <w:rsid w:val="25943CEA"/>
    <w:rsid w:val="25AC335B"/>
    <w:rsid w:val="2648158A"/>
    <w:rsid w:val="26627539"/>
    <w:rsid w:val="26B15A9F"/>
    <w:rsid w:val="26C46BEF"/>
    <w:rsid w:val="27E11AF8"/>
    <w:rsid w:val="282923F0"/>
    <w:rsid w:val="28631706"/>
    <w:rsid w:val="292C2687"/>
    <w:rsid w:val="299326CD"/>
    <w:rsid w:val="29CC4423"/>
    <w:rsid w:val="2A055081"/>
    <w:rsid w:val="2A867768"/>
    <w:rsid w:val="2B095658"/>
    <w:rsid w:val="2B7A3678"/>
    <w:rsid w:val="2BBC30F9"/>
    <w:rsid w:val="2BC362DB"/>
    <w:rsid w:val="2C0A5282"/>
    <w:rsid w:val="2C730EBB"/>
    <w:rsid w:val="2CB45A85"/>
    <w:rsid w:val="2D125BFD"/>
    <w:rsid w:val="2D141B7A"/>
    <w:rsid w:val="2DB63F01"/>
    <w:rsid w:val="2E2146D6"/>
    <w:rsid w:val="2E3D34A8"/>
    <w:rsid w:val="2E4C576E"/>
    <w:rsid w:val="2E601123"/>
    <w:rsid w:val="2F6F7693"/>
    <w:rsid w:val="2F874408"/>
    <w:rsid w:val="30280FC3"/>
    <w:rsid w:val="3037125C"/>
    <w:rsid w:val="309F7453"/>
    <w:rsid w:val="30E85823"/>
    <w:rsid w:val="318B0355"/>
    <w:rsid w:val="31B66C1B"/>
    <w:rsid w:val="320932D4"/>
    <w:rsid w:val="326C1CFE"/>
    <w:rsid w:val="327A710B"/>
    <w:rsid w:val="33074C71"/>
    <w:rsid w:val="336E1D9C"/>
    <w:rsid w:val="33D82E64"/>
    <w:rsid w:val="340708F3"/>
    <w:rsid w:val="346D3911"/>
    <w:rsid w:val="34DF5740"/>
    <w:rsid w:val="34EC435E"/>
    <w:rsid w:val="35A837C6"/>
    <w:rsid w:val="367C4B66"/>
    <w:rsid w:val="36975D73"/>
    <w:rsid w:val="36C26992"/>
    <w:rsid w:val="37711EAC"/>
    <w:rsid w:val="391D0741"/>
    <w:rsid w:val="393A44E6"/>
    <w:rsid w:val="3948288A"/>
    <w:rsid w:val="398E7608"/>
    <w:rsid w:val="3A0640D3"/>
    <w:rsid w:val="3A8F09E2"/>
    <w:rsid w:val="3A93317B"/>
    <w:rsid w:val="3B862684"/>
    <w:rsid w:val="3B946BCC"/>
    <w:rsid w:val="3BB53761"/>
    <w:rsid w:val="3BCA6834"/>
    <w:rsid w:val="3C381797"/>
    <w:rsid w:val="3C9F2399"/>
    <w:rsid w:val="3D3E5875"/>
    <w:rsid w:val="3D623848"/>
    <w:rsid w:val="3DAB5647"/>
    <w:rsid w:val="3DCB6A74"/>
    <w:rsid w:val="3DE24C72"/>
    <w:rsid w:val="3DEB498B"/>
    <w:rsid w:val="3E0E700D"/>
    <w:rsid w:val="3E401741"/>
    <w:rsid w:val="3F5465F5"/>
    <w:rsid w:val="3F8769F5"/>
    <w:rsid w:val="3FA27361"/>
    <w:rsid w:val="41535317"/>
    <w:rsid w:val="41636602"/>
    <w:rsid w:val="419158DF"/>
    <w:rsid w:val="41F149BD"/>
    <w:rsid w:val="42B4113D"/>
    <w:rsid w:val="42CC1372"/>
    <w:rsid w:val="42FC75D2"/>
    <w:rsid w:val="42FE1677"/>
    <w:rsid w:val="43135E6C"/>
    <w:rsid w:val="434E13EE"/>
    <w:rsid w:val="4385641F"/>
    <w:rsid w:val="43A55308"/>
    <w:rsid w:val="43F6747D"/>
    <w:rsid w:val="44605A3B"/>
    <w:rsid w:val="448A250B"/>
    <w:rsid w:val="44B37A44"/>
    <w:rsid w:val="452E4B2B"/>
    <w:rsid w:val="454F1D48"/>
    <w:rsid w:val="46A04F42"/>
    <w:rsid w:val="46E57892"/>
    <w:rsid w:val="482C0F74"/>
    <w:rsid w:val="48EB5005"/>
    <w:rsid w:val="49080389"/>
    <w:rsid w:val="493C2173"/>
    <w:rsid w:val="494C4419"/>
    <w:rsid w:val="49EE407D"/>
    <w:rsid w:val="4A7B715E"/>
    <w:rsid w:val="4A8745C2"/>
    <w:rsid w:val="4B0F5E67"/>
    <w:rsid w:val="4BAC0F36"/>
    <w:rsid w:val="4BFE54BD"/>
    <w:rsid w:val="4C2D583F"/>
    <w:rsid w:val="4C420F4E"/>
    <w:rsid w:val="4CA662FF"/>
    <w:rsid w:val="4CCA5ABE"/>
    <w:rsid w:val="4CF77C53"/>
    <w:rsid w:val="4D123D00"/>
    <w:rsid w:val="4D301632"/>
    <w:rsid w:val="4D345A44"/>
    <w:rsid w:val="4D7F7FB0"/>
    <w:rsid w:val="4E097885"/>
    <w:rsid w:val="4E4D17DC"/>
    <w:rsid w:val="4EA92A2A"/>
    <w:rsid w:val="513E4F39"/>
    <w:rsid w:val="51457EE2"/>
    <w:rsid w:val="51CC5275"/>
    <w:rsid w:val="51D402FF"/>
    <w:rsid w:val="520F2AE8"/>
    <w:rsid w:val="5218539D"/>
    <w:rsid w:val="52360AEF"/>
    <w:rsid w:val="52AD5468"/>
    <w:rsid w:val="52FA49E3"/>
    <w:rsid w:val="53B84F4D"/>
    <w:rsid w:val="53B95953"/>
    <w:rsid w:val="53DD4242"/>
    <w:rsid w:val="54036AE1"/>
    <w:rsid w:val="546D688C"/>
    <w:rsid w:val="550E0298"/>
    <w:rsid w:val="55831E66"/>
    <w:rsid w:val="56504D7A"/>
    <w:rsid w:val="565F681A"/>
    <w:rsid w:val="566B01D5"/>
    <w:rsid w:val="56CA2358"/>
    <w:rsid w:val="578366B4"/>
    <w:rsid w:val="58830CAF"/>
    <w:rsid w:val="589966DD"/>
    <w:rsid w:val="58BE2FA8"/>
    <w:rsid w:val="58BE69FC"/>
    <w:rsid w:val="58E81385"/>
    <w:rsid w:val="591E4ADF"/>
    <w:rsid w:val="593E1D65"/>
    <w:rsid w:val="599B1691"/>
    <w:rsid w:val="59C778E7"/>
    <w:rsid w:val="5AA60A7D"/>
    <w:rsid w:val="5AD977C2"/>
    <w:rsid w:val="5B403C30"/>
    <w:rsid w:val="5B4051FB"/>
    <w:rsid w:val="5BC870A9"/>
    <w:rsid w:val="5BDF3CB5"/>
    <w:rsid w:val="5C4302C2"/>
    <w:rsid w:val="5CAE4CAF"/>
    <w:rsid w:val="5CF16580"/>
    <w:rsid w:val="5D7F0087"/>
    <w:rsid w:val="5DC9453A"/>
    <w:rsid w:val="5DF50FB6"/>
    <w:rsid w:val="5E1F706D"/>
    <w:rsid w:val="5EED1AED"/>
    <w:rsid w:val="5F892764"/>
    <w:rsid w:val="5FA16A73"/>
    <w:rsid w:val="5FA479F8"/>
    <w:rsid w:val="601B4B9F"/>
    <w:rsid w:val="60203ECA"/>
    <w:rsid w:val="60364222"/>
    <w:rsid w:val="6036677B"/>
    <w:rsid w:val="60A3591F"/>
    <w:rsid w:val="62055E3F"/>
    <w:rsid w:val="623951A2"/>
    <w:rsid w:val="625C73EB"/>
    <w:rsid w:val="63300561"/>
    <w:rsid w:val="6344336F"/>
    <w:rsid w:val="6349526F"/>
    <w:rsid w:val="637B6F88"/>
    <w:rsid w:val="63883D4D"/>
    <w:rsid w:val="638E5D64"/>
    <w:rsid w:val="63A34CAC"/>
    <w:rsid w:val="63B23767"/>
    <w:rsid w:val="63C70312"/>
    <w:rsid w:val="644B3B98"/>
    <w:rsid w:val="64AE5E3B"/>
    <w:rsid w:val="652F1436"/>
    <w:rsid w:val="6576269F"/>
    <w:rsid w:val="657D5348"/>
    <w:rsid w:val="65E05F87"/>
    <w:rsid w:val="660F3F41"/>
    <w:rsid w:val="661F767D"/>
    <w:rsid w:val="66517943"/>
    <w:rsid w:val="66717017"/>
    <w:rsid w:val="667F048D"/>
    <w:rsid w:val="668E174E"/>
    <w:rsid w:val="66E020E9"/>
    <w:rsid w:val="67880AE7"/>
    <w:rsid w:val="67E54704"/>
    <w:rsid w:val="685E1247"/>
    <w:rsid w:val="686750FF"/>
    <w:rsid w:val="68A512BF"/>
    <w:rsid w:val="690470DA"/>
    <w:rsid w:val="6967357B"/>
    <w:rsid w:val="696E0D08"/>
    <w:rsid w:val="697A703D"/>
    <w:rsid w:val="69CF348D"/>
    <w:rsid w:val="6A2048FC"/>
    <w:rsid w:val="6A731F89"/>
    <w:rsid w:val="6A8C0A2C"/>
    <w:rsid w:val="6B7227BC"/>
    <w:rsid w:val="6B761510"/>
    <w:rsid w:val="6B8C3876"/>
    <w:rsid w:val="6BE16F41"/>
    <w:rsid w:val="6BFA6D45"/>
    <w:rsid w:val="6C0826E5"/>
    <w:rsid w:val="6C0A7EB8"/>
    <w:rsid w:val="6C4309CF"/>
    <w:rsid w:val="6CFD6ECC"/>
    <w:rsid w:val="6D050DAB"/>
    <w:rsid w:val="6D694C91"/>
    <w:rsid w:val="6E4530CE"/>
    <w:rsid w:val="6E852F72"/>
    <w:rsid w:val="6EDF397D"/>
    <w:rsid w:val="6F310AF8"/>
    <w:rsid w:val="6F7076E4"/>
    <w:rsid w:val="7004302B"/>
    <w:rsid w:val="700F1FCA"/>
    <w:rsid w:val="706B3E36"/>
    <w:rsid w:val="70755E6B"/>
    <w:rsid w:val="70AE6490"/>
    <w:rsid w:val="70EC64EE"/>
    <w:rsid w:val="70F1418A"/>
    <w:rsid w:val="71C13613"/>
    <w:rsid w:val="71C81EF7"/>
    <w:rsid w:val="72676E0E"/>
    <w:rsid w:val="727B3A2F"/>
    <w:rsid w:val="72C3012B"/>
    <w:rsid w:val="736E0E6D"/>
    <w:rsid w:val="74416DA1"/>
    <w:rsid w:val="74581FAA"/>
    <w:rsid w:val="74D474BB"/>
    <w:rsid w:val="74E52159"/>
    <w:rsid w:val="74FC737A"/>
    <w:rsid w:val="75096069"/>
    <w:rsid w:val="7543325D"/>
    <w:rsid w:val="75EF348B"/>
    <w:rsid w:val="766962DF"/>
    <w:rsid w:val="77335DF7"/>
    <w:rsid w:val="774D0E49"/>
    <w:rsid w:val="78367CCC"/>
    <w:rsid w:val="783B3DB6"/>
    <w:rsid w:val="78670F74"/>
    <w:rsid w:val="788240B7"/>
    <w:rsid w:val="78A7541C"/>
    <w:rsid w:val="78B4474C"/>
    <w:rsid w:val="78E430AD"/>
    <w:rsid w:val="792606CF"/>
    <w:rsid w:val="7979004A"/>
    <w:rsid w:val="7A626B20"/>
    <w:rsid w:val="7A843E8E"/>
    <w:rsid w:val="7AB537B8"/>
    <w:rsid w:val="7BE6624C"/>
    <w:rsid w:val="7C2300B7"/>
    <w:rsid w:val="7C38005C"/>
    <w:rsid w:val="7C887453"/>
    <w:rsid w:val="7D7F4443"/>
    <w:rsid w:val="7E474901"/>
    <w:rsid w:val="7E6924EF"/>
    <w:rsid w:val="7E7810F7"/>
    <w:rsid w:val="7ECF1219"/>
    <w:rsid w:val="7EE54700"/>
    <w:rsid w:val="7F5B6A68"/>
    <w:rsid w:val="7F9B4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pPr>
    <w:rPr>
      <w:sz w:val="18"/>
      <w:szCs w:val="18"/>
    </w:rPr>
  </w:style>
  <w:style w:type="character" w:styleId="5">
    <w:name w:val="Hyperlink"/>
    <w:basedOn w:val="2"/>
    <w:qFormat/>
    <w:uiPriority w:val="0"/>
    <w:rPr>
      <w:color w:val="0000FF"/>
      <w:u w:val="single"/>
    </w:rPr>
  </w:style>
  <w:style w:type="table" w:styleId="6">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EndNote Bibliography Title"/>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lang w:val="en-US" w:eastAsia="zh-CN" w:bidi="ar-SA"/>
    </w:rPr>
  </w:style>
  <w:style w:type="paragraph" w:customStyle="1" w:styleId="8">
    <w:name w:val="EndNote Bibliography"/>
    <w:qFormat/>
    <w:uiPriority w:val="0"/>
    <w:pPr>
      <w:pBdr>
        <w:top w:val="none" w:color="auto" w:sz="0" w:space="0"/>
        <w:left w:val="none" w:color="auto" w:sz="0" w:space="0"/>
        <w:bottom w:val="none" w:color="auto" w:sz="0" w:space="0"/>
        <w:right w:val="none" w:color="auto" w:sz="0" w:space="0"/>
        <w:between w:val="none" w:color="auto" w:sz="0" w:space="0"/>
      </w:pBdr>
      <w:jc w:val="both"/>
    </w:pPr>
    <w:rPr>
      <w:rFonts w:ascii="Calibri" w:hAnsi="Calibri" w:cs="Calibri" w:eastAsiaTheme="minorEastAsia"/>
      <w:lang w:val="en-US" w:eastAsia="zh-CN" w:bidi="ar-SA"/>
    </w:rPr>
  </w:style>
  <w:style w:type="character" w:customStyle="1" w:styleId="9">
    <w:name w:val="font11"/>
    <w:qFormat/>
    <w:uiPriority w:val="0"/>
    <w:rPr>
      <w:rFonts w:hint="default" w:ascii="Times New Roman" w:hAnsi="Times New Roman" w:cs="Times New Roman"/>
      <w:color w:val="000000"/>
      <w:sz w:val="24"/>
      <w:szCs w:val="24"/>
      <w:u w:val="none"/>
    </w:rPr>
  </w:style>
  <w:style w:type="character" w:customStyle="1" w:styleId="10">
    <w:name w:val="font21"/>
    <w:qFormat/>
    <w:uiPriority w:val="0"/>
    <w:rPr>
      <w:rFonts w:hint="default" w:ascii="Times New Roman" w:hAnsi="Times New Roman" w:cs="Times New Roman"/>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Pascal%20Ohale\Documents\Paschals%20Folder\Peoples%20Projects\Babys%20Project\Research%20Project\tta%20coated%20and%20uncoated%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scal%20Ohale\Documents\Paschals%20Folder\Peoples%20Projects\Babys%20Project\Research%20Project\weightloss%20graphs.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Pascal%20Ohale\Documents\Paschals%20Folder\Peoples%20Projects\Babys%20Project\Research%20Project\tta%20coated%20and%20uncoated%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963510728573"/>
          <c:y val="0.0497553017944535"/>
          <c:w val="0.695017577888229"/>
          <c:h val="0.776141924959217"/>
        </c:manualLayout>
      </c:layout>
      <c:scatterChart>
        <c:scatterStyle val="lineMarker"/>
        <c:varyColors val="0"/>
        <c:ser>
          <c:idx val="0"/>
          <c:order val="0"/>
          <c:tx>
            <c:strRef>
              <c:f>'[tta coated and uncoated graphs.xlsx]Coated TTA'!$R$17</c:f>
              <c:strCache>
                <c:ptCount val="1"/>
                <c:pt idx="0">
                  <c:v>Day 5</c:v>
                </c:pt>
              </c:strCache>
            </c:strRef>
          </c:tx>
          <c:spPr>
            <a:ln w="19050" cap="rnd">
              <a:noFill/>
              <a:round/>
            </a:ln>
            <a:effectLst/>
          </c:spPr>
          <c:marker>
            <c:symbol val="circle"/>
            <c:size val="7"/>
            <c:spPr>
              <a:solidFill>
                <a:srgbClr val="0070C0"/>
              </a:solidFill>
              <a:ln w="9525">
                <a:solidFill>
                  <a:srgbClr val="0070C0"/>
                </a:solidFill>
              </a:ln>
              <a:effectLst/>
            </c:spPr>
          </c:marker>
          <c:dLbls>
            <c:delete val="1"/>
          </c:dLbls>
          <c:xVal>
            <c:numRef>
              <c:f>'[tta coated and uncoated graphs.xlsx]Coated TTA'!$Q$18:$Q$22</c:f>
              <c:numCache>
                <c:formatCode>General</c:formatCode>
                <c:ptCount val="5"/>
                <c:pt idx="0">
                  <c:v>0.5</c:v>
                </c:pt>
                <c:pt idx="1">
                  <c:v>1</c:v>
                </c:pt>
                <c:pt idx="2">
                  <c:v>1.5</c:v>
                </c:pt>
                <c:pt idx="3">
                  <c:v>2</c:v>
                </c:pt>
                <c:pt idx="4">
                  <c:v>2.5</c:v>
                </c:pt>
              </c:numCache>
            </c:numRef>
          </c:xVal>
          <c:yVal>
            <c:numRef>
              <c:f>'[tta coated and uncoated graphs.xlsx]Coated TTA'!$R$18:$R$22</c:f>
              <c:numCache>
                <c:formatCode>0.0000_ </c:formatCode>
                <c:ptCount val="5"/>
                <c:pt idx="0">
                  <c:v>3.40683132172953</c:v>
                </c:pt>
                <c:pt idx="1">
                  <c:v>3.70079301079206</c:v>
                </c:pt>
                <c:pt idx="2">
                  <c:v>3.69931242615441</c:v>
                </c:pt>
                <c:pt idx="3">
                  <c:v>3.69680892736449</c:v>
                </c:pt>
                <c:pt idx="4">
                  <c:v>3.71788531919059</c:v>
                </c:pt>
              </c:numCache>
            </c:numRef>
          </c:yVal>
          <c:smooth val="0"/>
        </c:ser>
        <c:ser>
          <c:idx val="1"/>
          <c:order val="1"/>
          <c:tx>
            <c:strRef>
              <c:f>'[tta coated and uncoated graphs.xlsx]Coated TTA'!$S$17</c:f>
              <c:strCache>
                <c:ptCount val="1"/>
                <c:pt idx="0">
                  <c:v>Day 10</c:v>
                </c:pt>
              </c:strCache>
            </c:strRef>
          </c:tx>
          <c:spPr>
            <a:ln w="19050" cap="rnd">
              <a:noFill/>
              <a:round/>
            </a:ln>
            <a:effectLst/>
          </c:spPr>
          <c:marker>
            <c:symbol val="x"/>
            <c:size val="7"/>
            <c:spPr>
              <a:noFill/>
              <a:ln w="28575">
                <a:solidFill>
                  <a:srgbClr val="FF0000"/>
                </a:solidFill>
              </a:ln>
              <a:effectLst/>
            </c:spPr>
          </c:marker>
          <c:dLbls>
            <c:delete val="1"/>
          </c:dLbls>
          <c:xVal>
            <c:numRef>
              <c:f>'[tta coated and uncoated graphs.xlsx]Coated TTA'!$Q$18:$Q$22</c:f>
              <c:numCache>
                <c:formatCode>General</c:formatCode>
                <c:ptCount val="5"/>
                <c:pt idx="0">
                  <c:v>0.5</c:v>
                </c:pt>
                <c:pt idx="1">
                  <c:v>1</c:v>
                </c:pt>
                <c:pt idx="2">
                  <c:v>1.5</c:v>
                </c:pt>
                <c:pt idx="3">
                  <c:v>2</c:v>
                </c:pt>
                <c:pt idx="4">
                  <c:v>2.5</c:v>
                </c:pt>
              </c:numCache>
            </c:numRef>
          </c:xVal>
          <c:yVal>
            <c:numRef>
              <c:f>'[tta coated and uncoated graphs.xlsx]Coated TTA'!$S$18:$S$22</c:f>
              <c:numCache>
                <c:formatCode>0.0000_ </c:formatCode>
                <c:ptCount val="5"/>
                <c:pt idx="0">
                  <c:v>3.20919508842</c:v>
                </c:pt>
                <c:pt idx="1">
                  <c:v>3.59696282354557</c:v>
                </c:pt>
                <c:pt idx="2">
                  <c:v>3.526792014424</c:v>
                </c:pt>
                <c:pt idx="3">
                  <c:v>3.4910080574522</c:v>
                </c:pt>
                <c:pt idx="4">
                  <c:v>3.4813992076591</c:v>
                </c:pt>
              </c:numCache>
            </c:numRef>
          </c:yVal>
          <c:smooth val="0"/>
        </c:ser>
        <c:ser>
          <c:idx val="2"/>
          <c:order val="2"/>
          <c:tx>
            <c:strRef>
              <c:f>'[tta coated and uncoated graphs.xlsx]Coated TTA'!$T$17</c:f>
              <c:strCache>
                <c:ptCount val="1"/>
                <c:pt idx="0">
                  <c:v>Day 15</c:v>
                </c:pt>
              </c:strCache>
            </c:strRef>
          </c:tx>
          <c:spPr>
            <a:ln w="19050" cap="rnd">
              <a:noFill/>
              <a:round/>
            </a:ln>
            <a:effectLst/>
          </c:spPr>
          <c:marker>
            <c:symbol val="square"/>
            <c:size val="7"/>
            <c:spPr>
              <a:solidFill>
                <a:schemeClr val="tx1"/>
              </a:solidFill>
              <a:ln w="9525">
                <a:solidFill>
                  <a:schemeClr val="tx1"/>
                </a:solidFill>
              </a:ln>
              <a:effectLst/>
            </c:spPr>
          </c:marker>
          <c:dLbls>
            <c:delete val="1"/>
          </c:dLbls>
          <c:xVal>
            <c:numRef>
              <c:f>'[tta coated and uncoated graphs.xlsx]Coated TTA'!$Q$18:$Q$22</c:f>
              <c:numCache>
                <c:formatCode>General</c:formatCode>
                <c:ptCount val="5"/>
                <c:pt idx="0">
                  <c:v>0.5</c:v>
                </c:pt>
                <c:pt idx="1">
                  <c:v>1</c:v>
                </c:pt>
                <c:pt idx="2">
                  <c:v>1.5</c:v>
                </c:pt>
                <c:pt idx="3">
                  <c:v>2</c:v>
                </c:pt>
                <c:pt idx="4">
                  <c:v>2.5</c:v>
                </c:pt>
              </c:numCache>
            </c:numRef>
          </c:xVal>
          <c:yVal>
            <c:numRef>
              <c:f>'[tta coated and uncoated graphs.xlsx]Coated TTA'!$T$18:$T$22</c:f>
              <c:numCache>
                <c:formatCode>0.0000_ </c:formatCode>
                <c:ptCount val="5"/>
                <c:pt idx="0">
                  <c:v>2.63036520307591</c:v>
                </c:pt>
                <c:pt idx="1">
                  <c:v>3.0204869809455</c:v>
                </c:pt>
                <c:pt idx="2">
                  <c:v>3.018503447253</c:v>
                </c:pt>
                <c:pt idx="3">
                  <c:v>3.02384770923487</c:v>
                </c:pt>
                <c:pt idx="4">
                  <c:v>3.01005504601</c:v>
                </c:pt>
              </c:numCache>
            </c:numRef>
          </c:yVal>
          <c:smooth val="0"/>
        </c:ser>
        <c:ser>
          <c:idx val="3"/>
          <c:order val="3"/>
          <c:tx>
            <c:strRef>
              <c:f>'[tta coated and uncoated graphs.xlsx]Coated TTA'!$U$17</c:f>
              <c:strCache>
                <c:ptCount val="1"/>
                <c:pt idx="0">
                  <c:v>Day 20</c:v>
                </c:pt>
              </c:strCache>
            </c:strRef>
          </c:tx>
          <c:spPr>
            <a:ln w="19050" cap="rnd">
              <a:noFill/>
              <a:round/>
            </a:ln>
            <a:effectLst/>
          </c:spPr>
          <c:marker>
            <c:symbol val="triangle"/>
            <c:size val="7"/>
            <c:spPr>
              <a:solidFill>
                <a:srgbClr val="00B050"/>
              </a:solidFill>
              <a:ln w="9525">
                <a:solidFill>
                  <a:srgbClr val="00B050"/>
                </a:solidFill>
              </a:ln>
              <a:effectLst/>
            </c:spPr>
          </c:marker>
          <c:dLbls>
            <c:delete val="1"/>
          </c:dLbls>
          <c:xVal>
            <c:numRef>
              <c:f>'[tta coated and uncoated graphs.xlsx]Coated TTA'!$Q$18:$Q$22</c:f>
              <c:numCache>
                <c:formatCode>General</c:formatCode>
                <c:ptCount val="5"/>
                <c:pt idx="0">
                  <c:v>0.5</c:v>
                </c:pt>
                <c:pt idx="1">
                  <c:v>1</c:v>
                </c:pt>
                <c:pt idx="2">
                  <c:v>1.5</c:v>
                </c:pt>
                <c:pt idx="3">
                  <c:v>2</c:v>
                </c:pt>
                <c:pt idx="4">
                  <c:v>2.5</c:v>
                </c:pt>
              </c:numCache>
            </c:numRef>
          </c:xVal>
          <c:yVal>
            <c:numRef>
              <c:f>'[tta coated and uncoated graphs.xlsx]Coated TTA'!$U$18:$U$22</c:f>
              <c:numCache>
                <c:formatCode>0.0000_ </c:formatCode>
                <c:ptCount val="5"/>
                <c:pt idx="0">
                  <c:v>2.42217175073003</c:v>
                </c:pt>
                <c:pt idx="1">
                  <c:v>2.6917648112696</c:v>
                </c:pt>
                <c:pt idx="2">
                  <c:v>2.68805923415197</c:v>
                </c:pt>
                <c:pt idx="3">
                  <c:v>2.68820098378504</c:v>
                </c:pt>
                <c:pt idx="4">
                  <c:v>2.7174343409648</c:v>
                </c:pt>
              </c:numCache>
            </c:numRef>
          </c:yVal>
          <c:smooth val="0"/>
        </c:ser>
        <c:dLbls>
          <c:showLegendKey val="0"/>
          <c:showVal val="0"/>
          <c:showCatName val="0"/>
          <c:showSerName val="0"/>
          <c:showPercent val="0"/>
          <c:showBubbleSize val="0"/>
        </c:dLbls>
        <c:axId val="444815775"/>
        <c:axId val="57439985"/>
      </c:scatterChart>
      <c:valAx>
        <c:axId val="444815775"/>
        <c:scaling>
          <c:orientation val="minMax"/>
        </c:scaling>
        <c:delete val="0"/>
        <c:axPos val="b"/>
        <c:title>
          <c:tx>
            <c:rich>
              <a:bodyPr rot="0" spcFirstLastPara="0" vertOverflow="ellipsis" vert="horz" wrap="square" anchor="ctr" anchorCtr="1"/>
              <a:lstStyle/>
              <a:p>
                <a:pPr defTabSz="914400">
                  <a:defRPr lang="en-US" sz="13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300" b="1">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Chitosan conc. (%)</a:t>
                </a:r>
                <a:endParaRPr lang="en-US" sz="1300" b="1">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377072298325723"/>
              <c:y val="0.92044581091468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7439985"/>
        <c:crosses val="autoZero"/>
        <c:crossBetween val="midCat"/>
        <c:majorUnit val="0.5"/>
      </c:valAx>
      <c:valAx>
        <c:axId val="57439985"/>
        <c:scaling>
          <c:orientation val="minMax"/>
          <c:min val="2"/>
        </c:scaling>
        <c:delete val="0"/>
        <c:axPos val="l"/>
        <c:title>
          <c:tx>
            <c:rich>
              <a:bodyPr rot="-5400000" spcFirstLastPara="0" vertOverflow="ellipsis" vert="horz" wrap="square" anchor="ctr" anchorCtr="1"/>
              <a:lstStyle/>
              <a:p>
                <a:pPr defTabSz="914400">
                  <a:defRPr lang="en-US" sz="13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300" b="1">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TA (k/kg)</a:t>
                </a:r>
                <a:endParaRPr lang="en-US" sz="1300" b="1">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0118055555555556"/>
              <c:y val="0.335242121445042"/>
            </c:manualLayout>
          </c:layout>
          <c:overlay val="0"/>
          <c:spPr>
            <a:noFill/>
            <a:ln>
              <a:noFill/>
            </a:ln>
            <a:effectLst/>
          </c:spPr>
        </c:title>
        <c:numFmt formatCode="0.00_);[Red]\(0.00\)" sourceLinked="0"/>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44815775"/>
        <c:crosses val="autoZero"/>
        <c:crossBetween val="midCat"/>
      </c:valAx>
      <c:spPr>
        <a:noFill/>
        <a:ln w="25400">
          <a:solidFill>
            <a:schemeClr val="tx1"/>
          </a:solidFill>
        </a:ln>
        <a:effectLst/>
      </c:spPr>
    </c:plotArea>
    <c:legend>
      <c:legendPos val="r"/>
      <c:legendEntry>
        <c:idx val="0"/>
        <c:txPr>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857782619220528"/>
          <c:y val="0.138"/>
        </c:manualLayout>
      </c:layout>
      <c:overlay val="0"/>
      <c:spPr>
        <a:noFill/>
        <a:ln>
          <a:noFill/>
        </a:ln>
        <a:effectLst/>
      </c:spPr>
      <c:txPr>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en-US" sz="1200" b="1">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03539823009"/>
          <c:y val="0.0362239297475302"/>
          <c:w val="0.682898230088495"/>
          <c:h val="0.772301500182949"/>
        </c:manualLayout>
      </c:layout>
      <c:scatterChart>
        <c:scatterStyle val="lineMarker"/>
        <c:varyColors val="0"/>
        <c:ser>
          <c:idx val="0"/>
          <c:order val="0"/>
          <c:tx>
            <c:strRef>
              <c:f>'[weightloss graphs.xls]weightloss rate'!$L$29</c:f>
              <c:strCache>
                <c:ptCount val="1"/>
                <c:pt idx="0">
                  <c:v> Day 5</c:v>
                </c:pt>
              </c:strCache>
            </c:strRef>
          </c:tx>
          <c:spPr>
            <a:ln w="19050" cap="rnd" cmpd="sng" algn="ctr">
              <a:noFill/>
              <a:prstDash val="solid"/>
              <a:round/>
            </a:ln>
            <a:effectLst/>
          </c:spPr>
          <c:marker>
            <c:symbol val="circle"/>
            <c:size val="7"/>
            <c:spPr>
              <a:solidFill>
                <a:srgbClr val="0070C0"/>
              </a:solidFill>
              <a:ln w="9525" cap="flat" cmpd="sng" algn="ctr">
                <a:solidFill>
                  <a:srgbClr val="0070C0"/>
                </a:solidFill>
                <a:prstDash val="solid"/>
                <a:round/>
              </a:ln>
              <a:effectLst/>
            </c:spPr>
          </c:marker>
          <c:dLbls>
            <c:delete val="1"/>
          </c:dLbls>
          <c:xVal>
            <c:numRef>
              <c:f>'[weightloss graphs.xls]weightloss rate'!$K$30:$K$50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numCache>
            </c:numRef>
          </c:xVal>
          <c:yVal>
            <c:numRef>
              <c:f>'[weightloss graphs.xls]weightloss rate'!$L$30:$L$50</c:f>
              <c:numCache>
                <c:formatCode>General</c:formatCode>
                <c:ptCount val="21"/>
                <c:pt idx="0">
                  <c:v>0.4916381235</c:v>
                </c:pt>
                <c:pt idx="1">
                  <c:v>0.4916381235</c:v>
                </c:pt>
                <c:pt idx="2">
                  <c:v>0.457923102</c:v>
                </c:pt>
                <c:pt idx="3">
                  <c:v>0.479659883</c:v>
                </c:pt>
                <c:pt idx="4">
                  <c:v>0.416186321</c:v>
                </c:pt>
                <c:pt idx="5">
                  <c:v>0.414771486</c:v>
                </c:pt>
                <c:pt idx="6">
                  <c:v>0.47545379</c:v>
                </c:pt>
                <c:pt idx="7">
                  <c:v>0.59817998</c:v>
                </c:pt>
                <c:pt idx="8">
                  <c:v>0.782879344</c:v>
                </c:pt>
                <c:pt idx="9">
                  <c:v>1.029699418</c:v>
                </c:pt>
                <c:pt idx="10">
                  <c:v>1.338578218</c:v>
                </c:pt>
              </c:numCache>
            </c:numRef>
          </c:yVal>
          <c:smooth val="0"/>
        </c:ser>
        <c:ser>
          <c:idx val="1"/>
          <c:order val="1"/>
          <c:tx>
            <c:strRef>
              <c:f>'[weightloss graphs.xls]weightloss rate'!$M$29</c:f>
              <c:strCache>
                <c:ptCount val="1"/>
                <c:pt idx="0">
                  <c:v>Day 10</c:v>
                </c:pt>
              </c:strCache>
            </c:strRef>
          </c:tx>
          <c:spPr>
            <a:ln w="19050" cap="rnd" cmpd="sng" algn="ctr">
              <a:noFill/>
              <a:prstDash val="solid"/>
              <a:round/>
            </a:ln>
            <a:effectLst/>
          </c:spPr>
          <c:marker>
            <c:symbol val="x"/>
            <c:size val="7"/>
            <c:spPr>
              <a:noFill/>
              <a:ln w="25400" cap="flat" cmpd="sng" algn="ctr">
                <a:solidFill>
                  <a:srgbClr val="FF0000"/>
                </a:solidFill>
                <a:prstDash val="solid"/>
                <a:round/>
              </a:ln>
              <a:effectLst/>
            </c:spPr>
          </c:marker>
          <c:dLbls>
            <c:delete val="1"/>
          </c:dLbls>
          <c:xVal>
            <c:numRef>
              <c:f>'[weightloss graphs.xls]weightloss rate'!$K$30:$K$50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numCache>
            </c:numRef>
          </c:xVal>
          <c:yVal>
            <c:numRef>
              <c:f>'[weightloss graphs.xls]weightloss rate'!$M$30:$M$51</c:f>
              <c:numCache>
                <c:formatCode>General</c:formatCode>
                <c:ptCount val="22"/>
                <c:pt idx="0">
                  <c:v>0.744039240144935</c:v>
                </c:pt>
                <c:pt idx="1">
                  <c:v>0.744039240144935</c:v>
                </c:pt>
                <c:pt idx="2">
                  <c:v>0.731404779283409</c:v>
                </c:pt>
                <c:pt idx="3">
                  <c:v>0.733681237566818</c:v>
                </c:pt>
                <c:pt idx="4">
                  <c:v>0.709128321</c:v>
                </c:pt>
                <c:pt idx="5">
                  <c:v>0.710389357184058</c:v>
                </c:pt>
                <c:pt idx="6">
                  <c:v>0.772434845733293</c:v>
                </c:pt>
                <c:pt idx="7">
                  <c:v>0.896539061326057</c:v>
                </c:pt>
                <c:pt idx="8">
                  <c:v>1.08270200396235</c:v>
                </c:pt>
                <c:pt idx="9">
                  <c:v>1.33092367364217</c:v>
                </c:pt>
                <c:pt idx="10">
                  <c:v>1.64120407036551</c:v>
                </c:pt>
              </c:numCache>
            </c:numRef>
          </c:yVal>
          <c:smooth val="0"/>
        </c:ser>
        <c:ser>
          <c:idx val="2"/>
          <c:order val="2"/>
          <c:tx>
            <c:strRef>
              <c:f>'[weightloss graphs.xls]weightloss rate'!$N$29</c:f>
              <c:strCache>
                <c:ptCount val="1"/>
                <c:pt idx="0">
                  <c:v>Day 15</c:v>
                </c:pt>
              </c:strCache>
            </c:strRef>
          </c:tx>
          <c:spPr>
            <a:ln w="19050" cap="rnd" cmpd="sng" algn="ctr">
              <a:noFill/>
              <a:prstDash val="solid"/>
              <a:round/>
            </a:ln>
            <a:effectLst/>
          </c:spPr>
          <c:marker>
            <c:symbol val="square"/>
            <c:size val="7"/>
            <c:spPr>
              <a:solidFill>
                <a:schemeClr val="tx1"/>
              </a:solidFill>
              <a:ln w="9525" cap="flat" cmpd="sng" algn="ctr">
                <a:solidFill>
                  <a:schemeClr val="tx1"/>
                </a:solidFill>
                <a:prstDash val="solid"/>
                <a:round/>
              </a:ln>
              <a:effectLst/>
            </c:spPr>
          </c:marker>
          <c:dLbls>
            <c:delete val="1"/>
          </c:dLbls>
          <c:xVal>
            <c:numRef>
              <c:f>'[weightloss graphs.xls]weightloss rate'!$K$30:$K$50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numCache>
            </c:numRef>
          </c:xVal>
          <c:yVal>
            <c:numRef>
              <c:f>'[weightloss graphs.xls]weightloss rate'!$N$30:$N$50</c:f>
              <c:numCache>
                <c:formatCode>General</c:formatCode>
                <c:ptCount val="21"/>
                <c:pt idx="0">
                  <c:v>0.658575945448165</c:v>
                </c:pt>
                <c:pt idx="1">
                  <c:v>0.658575945448165</c:v>
                </c:pt>
                <c:pt idx="2">
                  <c:v>0.664524623808438</c:v>
                </c:pt>
                <c:pt idx="3">
                  <c:v>0.657330444894103</c:v>
                </c:pt>
                <c:pt idx="4">
                  <c:v>0.651718802722773</c:v>
                </c:pt>
                <c:pt idx="5">
                  <c:v>0.682165887594972</c:v>
                </c:pt>
                <c:pt idx="6">
                  <c:v>0.847671699510697</c:v>
                </c:pt>
                <c:pt idx="7">
                  <c:v>1.03523623846995</c:v>
                </c:pt>
                <c:pt idx="8">
                  <c:v>1.28485950447273</c:v>
                </c:pt>
                <c:pt idx="9">
                  <c:v>1.59654149751904</c:v>
                </c:pt>
                <c:pt idx="10">
                  <c:v>1.97028221760888</c:v>
                </c:pt>
              </c:numCache>
            </c:numRef>
          </c:yVal>
          <c:smooth val="0"/>
        </c:ser>
        <c:ser>
          <c:idx val="3"/>
          <c:order val="3"/>
          <c:tx>
            <c:strRef>
              <c:f>'[weightloss graphs.xls]weightloss rate'!$O$29</c:f>
              <c:strCache>
                <c:ptCount val="1"/>
                <c:pt idx="0">
                  <c:v>Day 20</c:v>
                </c:pt>
              </c:strCache>
            </c:strRef>
          </c:tx>
          <c:spPr>
            <a:ln w="19050" cap="rnd" cmpd="sng" algn="ctr">
              <a:noFill/>
              <a:prstDash val="solid"/>
              <a:round/>
            </a:ln>
            <a:effectLst/>
          </c:spPr>
          <c:marker>
            <c:symbol val="triangle"/>
            <c:size val="7"/>
            <c:spPr>
              <a:solidFill>
                <a:srgbClr val="00B050"/>
              </a:solidFill>
              <a:ln w="9525" cap="flat" cmpd="sng" algn="ctr">
                <a:solidFill>
                  <a:srgbClr val="00B050"/>
                </a:solidFill>
                <a:prstDash val="solid"/>
                <a:round/>
              </a:ln>
              <a:effectLst/>
            </c:spPr>
          </c:marker>
          <c:dLbls>
            <c:delete val="1"/>
          </c:dLbls>
          <c:xVal>
            <c:numRef>
              <c:f>'[weightloss graphs.xls]weightloss rate'!$K$30:$K$50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numCache>
            </c:numRef>
          </c:xVal>
          <c:yVal>
            <c:numRef>
              <c:f>'[weightloss graphs.xls]weightloss rate'!$O$30:$O$50</c:f>
              <c:numCache>
                <c:formatCode>General</c:formatCode>
                <c:ptCount val="21"/>
                <c:pt idx="0">
                  <c:v>0.266174010791917</c:v>
                </c:pt>
                <c:pt idx="1">
                  <c:v>0.266174010791917</c:v>
                </c:pt>
                <c:pt idx="2">
                  <c:v>0.265183664090501</c:v>
                </c:pt>
                <c:pt idx="3">
                  <c:v>0.259759823068629</c:v>
                </c:pt>
                <c:pt idx="4">
                  <c:v>0.250607505112372</c:v>
                </c:pt>
                <c:pt idx="5">
                  <c:v>0.284426822785768</c:v>
                </c:pt>
                <c:pt idx="6">
                  <c:v>0.380304867502693</c:v>
                </c:pt>
                <c:pt idx="7">
                  <c:v>0.538241639263144</c:v>
                </c:pt>
                <c:pt idx="8">
                  <c:v>0.758237138067122</c:v>
                </c:pt>
                <c:pt idx="9">
                  <c:v>1.04029136391463</c:v>
                </c:pt>
                <c:pt idx="10">
                  <c:v>1.38440431680566</c:v>
                </c:pt>
              </c:numCache>
            </c:numRef>
          </c:yVal>
          <c:smooth val="0"/>
        </c:ser>
        <c:dLbls>
          <c:showLegendKey val="0"/>
          <c:showVal val="0"/>
          <c:showCatName val="0"/>
          <c:showSerName val="0"/>
          <c:showPercent val="0"/>
          <c:showBubbleSize val="0"/>
        </c:dLbls>
        <c:axId val="367468603"/>
        <c:axId val="343545002"/>
      </c:scatterChart>
      <c:valAx>
        <c:axId val="367468603"/>
        <c:scaling>
          <c:orientation val="minMax"/>
          <c:max val="100"/>
        </c:scaling>
        <c:delete val="0"/>
        <c:axPos val="b"/>
        <c:title>
          <c:tx>
            <c:rich>
              <a:bodyPr rot="0" spcFirstLastPara="0" vertOverflow="ellipsis" vert="horz" wrap="square" anchor="ctr" anchorCtr="1"/>
              <a:lstStyle/>
              <a:p>
                <a:pPr defTabSz="914400">
                  <a:defRPr lang="en-US" sz="1000" b="1" i="0" u="none" strike="noStrike" kern="1200" baseline="0">
                    <a:solidFill>
                      <a:schemeClr val="tx1"/>
                    </a:solidFill>
                    <a:latin typeface="+mn-lt"/>
                    <a:ea typeface="+mn-ea"/>
                    <a:cs typeface="+mn-cs"/>
                  </a:defRPr>
                </a:pPr>
                <a:r>
                  <a:rPr lang="en-GB" altLang="en-US" sz="1300" b="1" i="1" u="none" strike="noStrike" kern="1200" baseline="0">
                    <a:solidFill>
                      <a:schemeClr val="tx1"/>
                    </a:solidFill>
                    <a:latin typeface="Times New Roman" panose="02020603050405020304" charset="0"/>
                    <a:ea typeface="+mn-ea"/>
                    <a:cs typeface="Times New Roman" panose="02020603050405020304" charset="0"/>
                  </a:rPr>
                  <a:t>M</a:t>
                </a:r>
                <a:r>
                  <a:rPr lang="en-GB" altLang="en-GB" sz="1300" b="1" i="1" u="none" strike="noStrike" kern="1200" baseline="0">
                    <a:solidFill>
                      <a:schemeClr val="tx1"/>
                    </a:solidFill>
                    <a:latin typeface="Times New Roman" panose="02020603050405020304" charset="0"/>
                    <a:ea typeface="+mn-ea"/>
                    <a:cs typeface="Times New Roman" panose="02020603050405020304" charset="0"/>
                  </a:rPr>
                  <a:t>OCEB</a:t>
                </a:r>
                <a:r>
                  <a:rPr lang="en-GB" altLang="en-GB" sz="1300" b="1" i="0" u="none" strike="noStrike" kern="1200" baseline="0">
                    <a:solidFill>
                      <a:schemeClr val="tx1"/>
                    </a:solidFill>
                    <a:latin typeface="Times New Roman" panose="02020603050405020304" charset="0"/>
                    <a:ea typeface="+mn-ea"/>
                    <a:cs typeface="Times New Roman" panose="02020603050405020304" charset="0"/>
                  </a:rPr>
                  <a:t> composite</a:t>
                </a:r>
                <a:r>
                  <a:rPr lang="en-GB" altLang="en-US" sz="1300" b="1" i="0" u="none" strike="noStrike" kern="1200" baseline="0">
                    <a:solidFill>
                      <a:schemeClr val="tx1"/>
                    </a:solidFill>
                    <a:latin typeface="Times New Roman" panose="02020603050405020304" charset="0"/>
                    <a:ea typeface="+mn-ea"/>
                    <a:cs typeface="Times New Roman" panose="02020603050405020304" charset="0"/>
                  </a:rPr>
                  <a:t> ratio (Mole:Chitosan, v/v)</a:t>
                </a:r>
                <a:endParaRPr lang="en-GB" altLang="en-US" sz="1300" b="1" i="0" u="none" strike="noStrike" kern="1200" baseline="0">
                  <a:solidFill>
                    <a:schemeClr val="tx1"/>
                  </a:solidFill>
                  <a:latin typeface="Times New Roman" panose="02020603050405020304" charset="0"/>
                  <a:ea typeface="+mn-ea"/>
                  <a:cs typeface="Times New Roman" panose="02020603050405020304" charset="0"/>
                </a:endParaRPr>
              </a:p>
            </c:rich>
          </c:tx>
          <c:layout>
            <c:manualLayout>
              <c:xMode val="edge"/>
              <c:yMode val="edge"/>
              <c:x val="0.188590041238936"/>
              <c:y val="0.894509393294975"/>
            </c:manualLayout>
          </c:layout>
          <c:overlay val="0"/>
          <c:spPr>
            <a:noFill/>
            <a:ln>
              <a:noFill/>
            </a:ln>
            <a:effectLst/>
          </c:spPr>
        </c:title>
        <c:numFmt formatCode="General" sourceLinked="1"/>
        <c:majorTickMark val="none"/>
        <c:minorTickMark val="none"/>
        <c:tickLblPos val="nextTo"/>
        <c:spPr>
          <a:noFill/>
          <a:ln w="25400" cap="flat" cmpd="sng" algn="ctr">
            <a:solidFill>
              <a:schemeClr val="tx1"/>
            </a:solidFill>
            <a:prstDash val="solid"/>
            <a:round/>
          </a:ln>
          <a:effectLst/>
        </c:spPr>
        <c:txPr>
          <a:bodyPr rot="-6000000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43545002"/>
        <c:crosses val="autoZero"/>
        <c:crossBetween val="midCat"/>
      </c:valAx>
      <c:valAx>
        <c:axId val="343545002"/>
        <c:scaling>
          <c:orientation val="minMax"/>
          <c:max val="2"/>
        </c:scaling>
        <c:delete val="0"/>
        <c:axPos val="l"/>
        <c:title>
          <c:tx>
            <c:rich>
              <a:bodyPr rot="-5400000" spcFirstLastPara="0" vertOverflow="ellipsis" vert="horz" wrap="square" anchor="ctr" anchorCtr="1"/>
              <a:lstStyle/>
              <a:p>
                <a:pPr defTabSz="914400">
                  <a:defRPr lang="en-US" sz="1000" b="1" i="0" u="none" strike="noStrike" kern="1200" baseline="0">
                    <a:solidFill>
                      <a:schemeClr val="tx1"/>
                    </a:solidFill>
                    <a:latin typeface="+mn-lt"/>
                    <a:ea typeface="+mn-ea"/>
                    <a:cs typeface="+mn-cs"/>
                  </a:defRPr>
                </a:pPr>
                <a:r>
                  <a:rPr lang="en-GB" altLang="en-US" sz="1300" b="1" i="0" u="none" strike="noStrike" kern="1200" baseline="0">
                    <a:solidFill>
                      <a:schemeClr val="tx1"/>
                    </a:solidFill>
                    <a:latin typeface="Times New Roman" panose="02020603050405020304" charset="0"/>
                    <a:ea typeface="+mn-ea"/>
                    <a:cs typeface="Times New Roman" panose="02020603050405020304" charset="0"/>
                  </a:rPr>
                  <a:t>Weight loss rate (g/day)</a:t>
                </a:r>
                <a:endParaRPr lang="en-GB" altLang="en-US" sz="1300" b="1" i="0" u="none" strike="noStrike" kern="1200" baseline="0">
                  <a:solidFill>
                    <a:schemeClr val="tx1"/>
                  </a:solidFill>
                  <a:latin typeface="Times New Roman" panose="02020603050405020304" charset="0"/>
                  <a:ea typeface="+mn-ea"/>
                  <a:cs typeface="Times New Roman" panose="02020603050405020304" charset="0"/>
                </a:endParaRPr>
              </a:p>
            </c:rich>
          </c:tx>
          <c:layout>
            <c:manualLayout>
              <c:xMode val="edge"/>
              <c:yMode val="edge"/>
              <c:x val="0.0332066292869427"/>
              <c:y val="0.211198541000868"/>
            </c:manualLayout>
          </c:layout>
          <c:overlay val="0"/>
          <c:spPr>
            <a:noFill/>
            <a:ln>
              <a:noFill/>
            </a:ln>
            <a:effectLst/>
          </c:spPr>
        </c:title>
        <c:numFmt formatCode="General" sourceLinked="1"/>
        <c:majorTickMark val="none"/>
        <c:minorTickMark val="none"/>
        <c:tickLblPos val="nextTo"/>
        <c:spPr>
          <a:noFill/>
          <a:ln w="25400" cap="flat" cmpd="sng" algn="ctr">
            <a:solidFill>
              <a:schemeClr val="tx1"/>
            </a:solidFill>
            <a:prstDash val="solid"/>
            <a:round/>
          </a:ln>
          <a:effectLst/>
        </c:spPr>
        <c:txPr>
          <a:bodyPr rot="-6000000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67468603"/>
        <c:crosses val="autoZero"/>
        <c:crossBetween val="midCat"/>
      </c:valAx>
      <c:spPr>
        <a:noFill/>
        <a:ln w="25400">
          <a:solidFill>
            <a:schemeClr val="tx1"/>
          </a:solidFill>
        </a:ln>
        <a:effectLst/>
      </c:spPr>
    </c:plotArea>
    <c:legend>
      <c:legendPos val="r"/>
      <c:legendEntry>
        <c:idx val="0"/>
        <c:txPr>
          <a:bodyPr rot="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858984513274336"/>
          <c:y val="0.195182857665569"/>
          <c:w val="0.135"/>
          <c:h val="0.28075"/>
        </c:manualLayout>
      </c:layout>
      <c:overlay val="0"/>
      <c:spPr>
        <a:noFill/>
        <a:ln>
          <a:noFill/>
        </a:ln>
        <a:effectLst/>
      </c:spPr>
      <c:txPr>
        <a:bodyPr rot="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noFill/>
      <a:prstDash val="solid"/>
      <a:round/>
    </a:ln>
    <a:effectLst/>
  </c:spPr>
  <c:txPr>
    <a:bodyPr wrap="square"/>
    <a:lstStyle/>
    <a:p>
      <a:pPr>
        <a:defRPr lang="en-US" b="1"/>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867832632278"/>
          <c:y val="0.0656300849755921"/>
          <c:w val="0.70316581802081"/>
          <c:h val="0.740987163261616"/>
        </c:manualLayout>
      </c:layout>
      <c:scatterChart>
        <c:scatterStyle val="lineMarker"/>
        <c:varyColors val="0"/>
        <c:ser>
          <c:idx val="0"/>
          <c:order val="0"/>
          <c:tx>
            <c:strRef>
              <c:f>'[tta coated and uncoated graphs.xlsx]Coated TTA'!$R$4</c:f>
              <c:strCache>
                <c:ptCount val="1"/>
                <c:pt idx="0">
                  <c:v>Day 5</c:v>
                </c:pt>
              </c:strCache>
            </c:strRef>
          </c:tx>
          <c:spPr>
            <a:ln w="19050" cap="rnd">
              <a:noFill/>
              <a:round/>
            </a:ln>
            <a:effectLst/>
          </c:spPr>
          <c:marker>
            <c:symbol val="circle"/>
            <c:size val="7"/>
            <c:spPr>
              <a:solidFill>
                <a:srgbClr val="0070C0"/>
              </a:solidFill>
              <a:ln w="9525">
                <a:solidFill>
                  <a:srgbClr val="0070C0"/>
                </a:solidFill>
              </a:ln>
              <a:effectLst/>
            </c:spPr>
          </c:marker>
          <c:dLbls>
            <c:delete val="1"/>
          </c:dLbls>
          <c:xVal>
            <c:numRef>
              <c:f>'[tta coated and uncoated graphs.xlsx]Coated TTA'!$Q$5:$Q$15</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'[tta coated and uncoated graphs.xlsx]Coated TTA'!$R$5:$R$15</c:f>
              <c:numCache>
                <c:formatCode>General</c:formatCode>
                <c:ptCount val="11"/>
                <c:pt idx="0">
                  <c:v>3.41042857502398</c:v>
                </c:pt>
                <c:pt idx="1">
                  <c:v>3.57027511045647</c:v>
                </c:pt>
                <c:pt idx="2">
                  <c:v>3.56668153354497</c:v>
                </c:pt>
                <c:pt idx="3">
                  <c:v>3.64964784428946</c:v>
                </c:pt>
                <c:pt idx="4">
                  <c:v>3.81917404268996</c:v>
                </c:pt>
                <c:pt idx="5">
                  <c:v>3.72473987125354</c:v>
                </c:pt>
                <c:pt idx="6">
                  <c:v>3.38209389754105</c:v>
                </c:pt>
                <c:pt idx="7">
                  <c:v>3.189794648639</c:v>
                </c:pt>
                <c:pt idx="8">
                  <c:v>3.09025681638206</c:v>
                </c:pt>
                <c:pt idx="9">
                  <c:v>2.90415909646913</c:v>
                </c:pt>
                <c:pt idx="10">
                  <c:v>2.13150148890019</c:v>
                </c:pt>
              </c:numCache>
            </c:numRef>
          </c:yVal>
          <c:smooth val="0"/>
        </c:ser>
        <c:ser>
          <c:idx val="1"/>
          <c:order val="1"/>
          <c:tx>
            <c:strRef>
              <c:f>'[tta coated and uncoated graphs.xlsx]Coated TTA'!$S$4</c:f>
              <c:strCache>
                <c:ptCount val="1"/>
                <c:pt idx="0">
                  <c:v>Day 10</c:v>
                </c:pt>
              </c:strCache>
            </c:strRef>
          </c:tx>
          <c:spPr>
            <a:ln w="19050" cap="rnd">
              <a:noFill/>
              <a:round/>
            </a:ln>
            <a:effectLst/>
          </c:spPr>
          <c:marker>
            <c:symbol val="x"/>
            <c:size val="7"/>
            <c:spPr>
              <a:noFill/>
              <a:ln w="25400">
                <a:solidFill>
                  <a:srgbClr val="FF0000"/>
                </a:solidFill>
              </a:ln>
              <a:effectLst/>
            </c:spPr>
          </c:marker>
          <c:dLbls>
            <c:delete val="1"/>
          </c:dLbls>
          <c:xVal>
            <c:numRef>
              <c:f>'[tta coated and uncoated graphs.xlsx]Coated TTA'!$Q$5:$Q$15</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'[tta coated and uncoated graphs.xlsx]Coated TTA'!$S$5:$S$15</c:f>
              <c:numCache>
                <c:formatCode>General</c:formatCode>
                <c:ptCount val="11"/>
                <c:pt idx="0">
                  <c:v>2.58711737993043</c:v>
                </c:pt>
                <c:pt idx="1">
                  <c:v>2.83711737993043</c:v>
                </c:pt>
                <c:pt idx="2">
                  <c:v>2.97799925300449</c:v>
                </c:pt>
                <c:pt idx="3">
                  <c:v>3.31228181344631</c:v>
                </c:pt>
                <c:pt idx="4">
                  <c:v>3.73312426154413</c:v>
                </c:pt>
                <c:pt idx="5">
                  <c:v>3.55947340270204</c:v>
                </c:pt>
                <c:pt idx="6">
                  <c:v>3.1777259323994</c:v>
                </c:pt>
                <c:pt idx="7">
                  <c:v>2.95288803617255</c:v>
                </c:pt>
                <c:pt idx="8">
                  <c:v>2.93712228714805</c:v>
                </c:pt>
                <c:pt idx="9">
                  <c:v>2.83479665046756</c:v>
                </c:pt>
                <c:pt idx="10">
                  <c:v>2.14591112613106</c:v>
                </c:pt>
              </c:numCache>
            </c:numRef>
          </c:yVal>
          <c:smooth val="0"/>
        </c:ser>
        <c:ser>
          <c:idx val="2"/>
          <c:order val="2"/>
          <c:tx>
            <c:strRef>
              <c:f>'[tta coated and uncoated graphs.xlsx]Coated TTA'!$T$4</c:f>
              <c:strCache>
                <c:ptCount val="1"/>
                <c:pt idx="0">
                  <c:v>Day 15</c:v>
                </c:pt>
              </c:strCache>
            </c:strRef>
          </c:tx>
          <c:spPr>
            <a:ln w="19050" cap="rnd">
              <a:noFill/>
              <a:round/>
            </a:ln>
            <a:effectLst/>
          </c:spPr>
          <c:marker>
            <c:symbol val="square"/>
            <c:size val="7"/>
            <c:spPr>
              <a:solidFill>
                <a:schemeClr val="tx1"/>
              </a:solidFill>
              <a:ln w="9525">
                <a:solidFill>
                  <a:schemeClr val="tx1"/>
                </a:solidFill>
              </a:ln>
              <a:effectLst/>
            </c:spPr>
          </c:marker>
          <c:dLbls>
            <c:delete val="1"/>
          </c:dLbls>
          <c:xVal>
            <c:numRef>
              <c:f>'[tta coated and uncoated graphs.xlsx]Coated TTA'!$Q$5:$Q$15</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'[tta coated and uncoated graphs.xlsx]Coated TTA'!$T$5:$T$15</c:f>
              <c:numCache>
                <c:formatCode>General</c:formatCode>
                <c:ptCount val="11"/>
                <c:pt idx="0">
                  <c:v>2.61911379508884</c:v>
                </c:pt>
                <c:pt idx="1">
                  <c:v>2.73027658021866</c:v>
                </c:pt>
                <c:pt idx="2">
                  <c:v>2.91091450491631</c:v>
                </c:pt>
                <c:pt idx="3">
                  <c:v>3.07765289889324</c:v>
                </c:pt>
                <c:pt idx="4">
                  <c:v>3.33095118052618</c:v>
                </c:pt>
                <c:pt idx="5">
                  <c:v>3.12919065018488</c:v>
                </c:pt>
                <c:pt idx="6">
                  <c:v>2.963911687157</c:v>
                </c:pt>
                <c:pt idx="7">
                  <c:v>2.96716165932362</c:v>
                </c:pt>
                <c:pt idx="8">
                  <c:v>2.78385174383424</c:v>
                </c:pt>
                <c:pt idx="9">
                  <c:v>2.51398194068886</c:v>
                </c:pt>
                <c:pt idx="10">
                  <c:v>1.65755224988747</c:v>
                </c:pt>
              </c:numCache>
            </c:numRef>
          </c:yVal>
          <c:smooth val="0"/>
        </c:ser>
        <c:ser>
          <c:idx val="3"/>
          <c:order val="3"/>
          <c:tx>
            <c:strRef>
              <c:f>'[tta coated and uncoated graphs.xlsx]Coated TTA'!$U$4</c:f>
              <c:strCache>
                <c:ptCount val="1"/>
                <c:pt idx="0">
                  <c:v>Day 20</c:v>
                </c:pt>
              </c:strCache>
            </c:strRef>
          </c:tx>
          <c:spPr>
            <a:ln w="19050" cap="rnd">
              <a:noFill/>
              <a:round/>
            </a:ln>
            <a:effectLst/>
          </c:spPr>
          <c:marker>
            <c:symbol val="triangle"/>
            <c:size val="7"/>
            <c:spPr>
              <a:solidFill>
                <a:srgbClr val="00B050"/>
              </a:solidFill>
              <a:ln w="9525">
                <a:solidFill>
                  <a:srgbClr val="00B050"/>
                </a:solidFill>
              </a:ln>
              <a:effectLst/>
            </c:spPr>
          </c:marker>
          <c:dLbls>
            <c:delete val="1"/>
          </c:dLbls>
          <c:xVal>
            <c:numRef>
              <c:f>'[tta coated and uncoated graphs.xlsx]Coated TTA'!$Q$5:$Q$15</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'[tta coated and uncoated graphs.xlsx]Coated TTA'!$U$5:$U$15</c:f>
              <c:numCache>
                <c:formatCode>General</c:formatCode>
                <c:ptCount val="11"/>
                <c:pt idx="0">
                  <c:v>2.52334578661872</c:v>
                </c:pt>
                <c:pt idx="1">
                  <c:v>2.5507364885161</c:v>
                </c:pt>
                <c:pt idx="2">
                  <c:v>2.71468707806948</c:v>
                </c:pt>
                <c:pt idx="3">
                  <c:v>2.96519755527886</c:v>
                </c:pt>
                <c:pt idx="4">
                  <c:v>3.30226792014424</c:v>
                </c:pt>
                <c:pt idx="5">
                  <c:v>3.07410182733438</c:v>
                </c:pt>
                <c:pt idx="6">
                  <c:v>2.96551117929222</c:v>
                </c:pt>
                <c:pt idx="7">
                  <c:v>2.2849890682264</c:v>
                </c:pt>
                <c:pt idx="8">
                  <c:v>2.01790706950457</c:v>
                </c:pt>
                <c:pt idx="9">
                  <c:v>1.66426518312675</c:v>
                </c:pt>
                <c:pt idx="10">
                  <c:v>0.72406340909293</c:v>
                </c:pt>
              </c:numCache>
            </c:numRef>
          </c:yVal>
          <c:smooth val="0"/>
        </c:ser>
        <c:dLbls>
          <c:showLegendKey val="0"/>
          <c:showVal val="0"/>
          <c:showCatName val="0"/>
          <c:showSerName val="0"/>
          <c:showPercent val="0"/>
          <c:showBubbleSize val="0"/>
        </c:dLbls>
        <c:axId val="499301325"/>
        <c:axId val="953237875"/>
      </c:scatterChart>
      <c:valAx>
        <c:axId val="499301325"/>
        <c:scaling>
          <c:orientation val="minMax"/>
          <c:max val="100"/>
        </c:scaling>
        <c:delete val="0"/>
        <c:axPos val="b"/>
        <c:title>
          <c:tx>
            <c:rich>
              <a:bodyPr rot="0" spcFirstLastPara="0" vertOverflow="ellipsis" vert="horz" wrap="square" anchor="ctr" anchorCtr="1"/>
              <a:lstStyle/>
              <a:p>
                <a:pPr defTabSz="914400">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300" b="1" i="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MOCEB</a:t>
                </a:r>
                <a:r>
                  <a:rPr lang="en-US" sz="13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 composite ratio (mole:chitosan, v/v)</a:t>
                </a:r>
                <a:endParaRPr lang="en-US" sz="13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57571451647589"/>
              <c:y val="0.889969293756397"/>
            </c:manualLayout>
          </c:layout>
          <c:overlay val="0"/>
          <c:spPr>
            <a:noFill/>
            <a:ln>
              <a:noFill/>
            </a:ln>
            <a:effectLst/>
          </c:spPr>
        </c:title>
        <c:numFmt formatCode="General" sourceLinked="1"/>
        <c:majorTickMark val="none"/>
        <c:minorTickMark val="none"/>
        <c:tickLblPos val="nextTo"/>
        <c:spPr>
          <a:noFill/>
          <a:ln w="25400" cap="flat" cmpd="sng" algn="ctr">
            <a:solidFill>
              <a:schemeClr val="tx1"/>
            </a:solidFill>
            <a:round/>
          </a:ln>
          <a:effectLst/>
        </c:spPr>
        <c:txPr>
          <a:bodyPr rot="-60000000" spcFirstLastPara="0"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53237875"/>
        <c:crosses val="autoZero"/>
        <c:crossBetween val="midCat"/>
      </c:valAx>
      <c:valAx>
        <c:axId val="953237875"/>
        <c:scaling>
          <c:orientation val="minMax"/>
          <c:min val="0"/>
        </c:scaling>
        <c:delete val="0"/>
        <c:axPos val="l"/>
        <c:title>
          <c:tx>
            <c:rich>
              <a:bodyPr rot="-5400000" spcFirstLastPara="0" vertOverflow="ellipsis" vert="horz" wrap="square" anchor="ctr" anchorCtr="1"/>
              <a:lstStyle/>
              <a:p>
                <a:pPr defTabSz="914400">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3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TA (g/kg citric acid)</a:t>
                </a:r>
                <a:endParaRPr lang="en-US" sz="13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0140481498248267"/>
              <c:y val="0.201205861366125"/>
            </c:manualLayout>
          </c:layout>
          <c:overlay val="0"/>
          <c:spPr>
            <a:noFill/>
            <a:ln>
              <a:noFill/>
            </a:ln>
            <a:effectLst/>
          </c:spPr>
        </c:title>
        <c:numFmt formatCode="General" sourceLinked="1"/>
        <c:majorTickMark val="none"/>
        <c:minorTickMark val="none"/>
        <c:tickLblPos val="nextTo"/>
        <c:spPr>
          <a:noFill/>
          <a:ln w="25400" cap="flat" cmpd="sng" algn="ctr">
            <a:solidFill>
              <a:schemeClr val="tx1"/>
            </a:solidFill>
            <a:round/>
          </a:ln>
          <a:effectLst/>
        </c:spPr>
        <c:txPr>
          <a:bodyPr rot="-60000000" spcFirstLastPara="0"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99301325"/>
        <c:crosses val="autoZero"/>
        <c:crossBetween val="midCat"/>
      </c:valAx>
      <c:spPr>
        <a:noFill/>
        <a:ln w="25400">
          <a:solidFill>
            <a:schemeClr val="tx1"/>
          </a:solidFill>
        </a:ln>
        <a:effectLst/>
      </c:spPr>
    </c:plotArea>
    <c:legend>
      <c:legendPos val="b"/>
      <c:legendEntry>
        <c:idx val="0"/>
        <c:txPr>
          <a:bodyPr rot="0" spcFirstLastPara="0"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852557006862962"/>
          <c:y val="0.0945579461218591"/>
          <c:w val="0.144122205003321"/>
          <c:h val="0.272464292171398"/>
        </c:manualLayout>
      </c:layout>
      <c:overlay val="0"/>
      <c:spPr>
        <a:noFill/>
        <a:ln>
          <a:noFill/>
        </a:ln>
        <a:effectLst/>
      </c:spPr>
      <c:txPr>
        <a:bodyPr rot="0" spcFirstLastPara="0"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en-US" sz="1400" b="1">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10283</Words>
  <Characters>57366</Characters>
  <Lines>1</Lines>
  <Paragraphs>1</Paragraphs>
  <TotalTime>186</TotalTime>
  <ScaleCrop>false</ScaleCrop>
  <LinksUpToDate>false</LinksUpToDate>
  <CharactersWithSpaces>67293</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2022-12-04T08:42:00Z</dcterms:created>
  <dc:creator>Paschal Ohale</dc:creator>
  <cp:lastModifiedBy>paschal enyinnaya Ohale</cp:lastModifiedBy>
  <dcterms:modified xsi:type="dcterms:W3CDTF">2024-01-14T17:03:28Z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D9EF7F52F86640AF881C0854A68DC54C</vt:lpwstr>
  </property>
</Properties>
</file>