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7E7" w:rsidRPr="00F827E7" w:rsidRDefault="00F827E7" w:rsidP="00F827E7">
      <w:pPr>
        <w:pStyle w:val="AbstractLiteratur"/>
        <w:spacing w:before="0" w:line="240" w:lineRule="auto"/>
        <w:rPr>
          <w:sz w:val="32"/>
          <w:szCs w:val="20"/>
          <w:lang w:val="en-US"/>
        </w:rPr>
      </w:pPr>
      <w:r w:rsidRPr="00F827E7">
        <w:rPr>
          <w:sz w:val="32"/>
          <w:szCs w:val="20"/>
          <w:lang w:val="en-US"/>
        </w:rPr>
        <w:t>Mineralogical-petrographic and tomographic study of a pilot series of “yellow” paving stones</w:t>
      </w:r>
    </w:p>
    <w:p w:rsidR="000D7C31" w:rsidRDefault="000D7C31" w:rsidP="00A730AA">
      <w:pPr>
        <w:pStyle w:val="Default"/>
        <w:jc w:val="both"/>
        <w:rPr>
          <w:b/>
          <w:bCs/>
          <w:sz w:val="20"/>
          <w:szCs w:val="20"/>
        </w:rPr>
      </w:pPr>
    </w:p>
    <w:p w:rsidR="000B62CD" w:rsidRDefault="000B62CD" w:rsidP="000B62CD">
      <w:pPr>
        <w:pStyle w:val="Default"/>
        <w:jc w:val="center"/>
        <w:rPr>
          <w:bCs/>
          <w:sz w:val="28"/>
          <w:szCs w:val="20"/>
        </w:rPr>
      </w:pPr>
      <w:r w:rsidRPr="000B62CD">
        <w:rPr>
          <w:bCs/>
          <w:sz w:val="28"/>
          <w:szCs w:val="20"/>
        </w:rPr>
        <w:t>Luben Lakov</w:t>
      </w:r>
      <w:r>
        <w:rPr>
          <w:bCs/>
          <w:sz w:val="28"/>
          <w:szCs w:val="20"/>
          <w:vertAlign w:val="superscript"/>
        </w:rPr>
        <w:t>1</w:t>
      </w:r>
      <w:r w:rsidRPr="000B62CD">
        <w:rPr>
          <w:bCs/>
          <w:sz w:val="28"/>
          <w:szCs w:val="20"/>
        </w:rPr>
        <w:t>, Kamelia Marinova</w:t>
      </w:r>
      <w:r>
        <w:rPr>
          <w:bCs/>
          <w:sz w:val="28"/>
          <w:szCs w:val="20"/>
          <w:vertAlign w:val="superscript"/>
        </w:rPr>
        <w:t>2</w:t>
      </w:r>
      <w:r w:rsidRPr="000B62CD">
        <w:rPr>
          <w:bCs/>
          <w:sz w:val="28"/>
          <w:szCs w:val="20"/>
        </w:rPr>
        <w:t>, Rositza Dimitrova</w:t>
      </w:r>
      <w:r>
        <w:rPr>
          <w:bCs/>
          <w:sz w:val="28"/>
          <w:szCs w:val="20"/>
          <w:vertAlign w:val="superscript"/>
        </w:rPr>
        <w:t>1</w:t>
      </w:r>
      <w:r w:rsidRPr="000B62CD">
        <w:rPr>
          <w:bCs/>
          <w:sz w:val="28"/>
          <w:szCs w:val="20"/>
        </w:rPr>
        <w:t>, Danail Yovchev</w:t>
      </w:r>
      <w:r>
        <w:rPr>
          <w:bCs/>
          <w:sz w:val="28"/>
          <w:szCs w:val="20"/>
          <w:vertAlign w:val="superscript"/>
        </w:rPr>
        <w:t>2</w:t>
      </w:r>
      <w:r w:rsidRPr="000B62CD">
        <w:rPr>
          <w:bCs/>
          <w:sz w:val="28"/>
          <w:szCs w:val="20"/>
        </w:rPr>
        <w:t>,</w:t>
      </w:r>
      <w:r w:rsidRPr="000B62CD">
        <w:rPr>
          <w:bCs/>
          <w:sz w:val="28"/>
          <w:szCs w:val="20"/>
          <w:vertAlign w:val="superscript"/>
        </w:rPr>
        <w:t xml:space="preserve"> </w:t>
      </w:r>
      <w:r w:rsidRPr="000B62CD">
        <w:rPr>
          <w:bCs/>
          <w:sz w:val="28"/>
          <w:szCs w:val="20"/>
        </w:rPr>
        <w:t>Mariya Georgieva</w:t>
      </w:r>
      <w:r>
        <w:rPr>
          <w:bCs/>
          <w:sz w:val="28"/>
          <w:szCs w:val="20"/>
          <w:vertAlign w:val="superscript"/>
        </w:rPr>
        <w:t>1</w:t>
      </w:r>
      <w:r w:rsidRPr="000B62CD">
        <w:rPr>
          <w:bCs/>
          <w:sz w:val="28"/>
          <w:szCs w:val="20"/>
        </w:rPr>
        <w:t>, Marieta Gacheva</w:t>
      </w:r>
      <w:r>
        <w:rPr>
          <w:bCs/>
          <w:sz w:val="28"/>
          <w:szCs w:val="20"/>
          <w:vertAlign w:val="superscript"/>
        </w:rPr>
        <w:t>1</w:t>
      </w:r>
      <w:r w:rsidRPr="000B62CD">
        <w:rPr>
          <w:bCs/>
          <w:sz w:val="28"/>
          <w:szCs w:val="20"/>
          <w:lang w:val="bg-BG"/>
        </w:rPr>
        <w:t xml:space="preserve">, </w:t>
      </w:r>
      <w:r w:rsidRPr="000B62CD">
        <w:rPr>
          <w:bCs/>
          <w:sz w:val="28"/>
          <w:szCs w:val="20"/>
        </w:rPr>
        <w:t>Krasimira</w:t>
      </w:r>
      <w:r w:rsidRPr="000B62CD">
        <w:rPr>
          <w:bCs/>
          <w:sz w:val="28"/>
          <w:szCs w:val="20"/>
          <w:lang w:val="bg-BG"/>
        </w:rPr>
        <w:t xml:space="preserve"> </w:t>
      </w:r>
      <w:r w:rsidRPr="000B62CD">
        <w:rPr>
          <w:bCs/>
          <w:sz w:val="28"/>
          <w:szCs w:val="20"/>
        </w:rPr>
        <w:t>Toncheva</w:t>
      </w:r>
      <w:r>
        <w:rPr>
          <w:bCs/>
          <w:sz w:val="28"/>
          <w:szCs w:val="20"/>
          <w:vertAlign w:val="superscript"/>
        </w:rPr>
        <w:t>1</w:t>
      </w:r>
    </w:p>
    <w:p w:rsidR="000517A4" w:rsidRPr="000517A4" w:rsidRDefault="000517A4" w:rsidP="000B62CD">
      <w:pPr>
        <w:pStyle w:val="Default"/>
        <w:jc w:val="center"/>
        <w:rPr>
          <w:bCs/>
          <w:sz w:val="28"/>
          <w:szCs w:val="20"/>
        </w:rPr>
      </w:pPr>
    </w:p>
    <w:p w:rsidR="000B62CD" w:rsidRDefault="000B62CD" w:rsidP="000B62CD">
      <w:pPr>
        <w:pStyle w:val="Default"/>
        <w:jc w:val="center"/>
        <w:rPr>
          <w:i/>
          <w:sz w:val="20"/>
          <w:szCs w:val="20"/>
        </w:rPr>
      </w:pPr>
      <w:r>
        <w:rPr>
          <w:i/>
          <w:sz w:val="20"/>
          <w:szCs w:val="20"/>
          <w:vertAlign w:val="superscript"/>
        </w:rPr>
        <w:t>1</w:t>
      </w:r>
      <w:r w:rsidRPr="000B62CD">
        <w:rPr>
          <w:i/>
          <w:sz w:val="20"/>
          <w:szCs w:val="20"/>
        </w:rPr>
        <w:t xml:space="preserve">Bulgarian Academy of Sciences, Institute of Metal Science, Equipment and Technologies with Hydro- and Aerodynamics Centre “Acad. A. Balevski”, 67, “Shipchenski Prohod” Blvd, 1574 Sofia, Bulgaria; </w:t>
      </w:r>
    </w:p>
    <w:p w:rsidR="000B62CD" w:rsidRPr="000B62CD" w:rsidRDefault="000B62CD" w:rsidP="000B62CD">
      <w:pPr>
        <w:pStyle w:val="Default"/>
        <w:jc w:val="center"/>
        <w:rPr>
          <w:bCs/>
          <w:i/>
          <w:sz w:val="20"/>
          <w:szCs w:val="20"/>
        </w:rPr>
      </w:pPr>
      <w:r>
        <w:rPr>
          <w:bCs/>
          <w:i/>
          <w:sz w:val="20"/>
          <w:szCs w:val="20"/>
          <w:vertAlign w:val="superscript"/>
        </w:rPr>
        <w:t>2</w:t>
      </w:r>
      <w:r w:rsidRPr="000B62CD">
        <w:rPr>
          <w:bCs/>
          <w:i/>
          <w:sz w:val="20"/>
          <w:szCs w:val="20"/>
        </w:rPr>
        <w:t>University of Mining and Geology “St. Ivan Rilski,” Prof. Boyan Kamenov St., 1700, Sofia, Bulgaria</w:t>
      </w:r>
    </w:p>
    <w:p w:rsidR="000B62CD" w:rsidRPr="000D7C31" w:rsidRDefault="000B62CD" w:rsidP="000D7C31">
      <w:pPr>
        <w:pStyle w:val="Default"/>
        <w:jc w:val="center"/>
        <w:rPr>
          <w:i/>
          <w:sz w:val="20"/>
          <w:szCs w:val="20"/>
        </w:rPr>
      </w:pP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0B62CD" w:rsidRPr="000B62CD">
        <w:rPr>
          <w:rFonts w:eastAsia="Times New Roman"/>
          <w:b w:val="0"/>
          <w:bCs/>
          <w:i/>
          <w:color w:val="000000"/>
          <w:sz w:val="20"/>
          <w:szCs w:val="20"/>
          <w:lang w:val="en-US"/>
        </w:rPr>
        <w:t>Marieta Gacheva</w:t>
      </w:r>
      <w:r w:rsidR="000B62CD">
        <w:rPr>
          <w:rFonts w:eastAsia="Times New Roman"/>
          <w:b w:val="0"/>
          <w:i/>
          <w:color w:val="000000"/>
          <w:sz w:val="20"/>
          <w:szCs w:val="20"/>
        </w:rPr>
        <w:t xml:space="preserve"> </w:t>
      </w:r>
    </w:p>
    <w:p w:rsidR="00FD4499" w:rsidRPr="00FD4499" w:rsidRDefault="004A1EE8" w:rsidP="00FD4499">
      <w:pPr>
        <w:spacing w:after="0" w:line="240" w:lineRule="auto"/>
        <w:rPr>
          <w:sz w:val="20"/>
        </w:rPr>
      </w:pPr>
      <w:r>
        <w:rPr>
          <w:i/>
          <w:iCs/>
          <w:noProof/>
          <w:sz w:val="20"/>
          <w:szCs w:val="20"/>
          <w:lang w:val="en-US"/>
        </w:rPr>
        <w:pict>
          <v:roundrect id="_x0000_s1039" style="position:absolute;left:0;text-align:left;margin-left:-.9pt;margin-top:11.55pt;width:447.15pt;height:163.85pt;z-index:251658240" arcsize="4245f" strokecolor="#d99594" strokeweight="1pt">
            <v:fill color2="#e5b8b7" focusposition="1" focussize="" focus="100%" type="gradient"/>
            <v:shadow on="t" type="perspective" color="#622423" opacity=".5" offset="1pt" offset2="-3pt"/>
            <v:textbox style="mso-next-textbox:#_x0000_s1039">
              <w:txbxContent>
                <w:p w:rsidR="001068D0" w:rsidRDefault="00F827E7" w:rsidP="000517A4">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001068D0" w:rsidRPr="001068D0">
                    <w:rPr>
                      <w:b w:val="0"/>
                      <w:i/>
                      <w:iCs/>
                      <w:sz w:val="20"/>
                      <w:szCs w:val="20"/>
                      <w:lang w:val="en-US"/>
                    </w:rPr>
                    <w:t>This study presents the mineralogical, petrographic and tomographic characterization of a “yellow” paving stones pilot series. The aim of the study is to establish the colour characteristics, mineral composition and structural features of a new ceramics product and their similarities with those of the original “yellow” paving stones laid in the central part of Sofia. The great importance of this research lies in the need to design, introduce to manufacturers and start the production of a new material and new paving stones as similar as possible to the original ones, so that missing or broken ones can be successfully replaced. The study carried out is complex and has yielded results showing that the yellow pavers from the pilot series are as similar as possible to the original ones produced in Hungary more than 100 years ago.</w:t>
                  </w:r>
                </w:p>
                <w:p w:rsidR="000517A4" w:rsidRPr="000517A4" w:rsidRDefault="000517A4" w:rsidP="000517A4">
                  <w:pPr>
                    <w:spacing w:after="0"/>
                    <w:rPr>
                      <w:lang w:val="en-US"/>
                    </w:rPr>
                  </w:pPr>
                </w:p>
                <w:p w:rsidR="00F827E7" w:rsidRPr="00FD4499" w:rsidRDefault="00F827E7" w:rsidP="000517A4">
                  <w:pPr>
                    <w:spacing w:after="0"/>
                  </w:pPr>
                  <w:r w:rsidRPr="00B26C1C">
                    <w:rPr>
                      <w:b/>
                      <w:bCs/>
                      <w:i/>
                      <w:iCs/>
                      <w:sz w:val="20"/>
                      <w:szCs w:val="20"/>
                      <w:lang w:val="en-US"/>
                    </w:rPr>
                    <w:t>KEY WARDS:</w:t>
                  </w:r>
                  <w:r w:rsidRPr="00FC605A">
                    <w:rPr>
                      <w:b/>
                      <w:i/>
                      <w:color w:val="FF0000"/>
                      <w:sz w:val="20"/>
                      <w:szCs w:val="20"/>
                    </w:rPr>
                    <w:t xml:space="preserve"> </w:t>
                  </w:r>
                  <w:r w:rsidR="001068D0" w:rsidRPr="001068D0">
                    <w:rPr>
                      <w:i/>
                      <w:iCs/>
                      <w:sz w:val="20"/>
                      <w:szCs w:val="20"/>
                      <w:lang w:val="en-US"/>
                    </w:rPr>
                    <w:t>Sedimentary rocks, high-temperature, petrographic material (products – “yellow” paving stones), methods for the study of artificial stones</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4A1EE8" w:rsidRPr="004A1EE8" w:rsidRDefault="009D035E" w:rsidP="004A1EE8">
      <w:pPr>
        <w:pStyle w:val="Heading1"/>
      </w:pPr>
      <w:r w:rsidRPr="00B26C1C">
        <w:t>INTRODUCTION</w:t>
      </w:r>
      <w:r w:rsidR="00CC1B6D">
        <w:t xml:space="preserve"> </w:t>
      </w:r>
    </w:p>
    <w:p w:rsidR="001068D0" w:rsidRPr="001068D0" w:rsidRDefault="001068D0" w:rsidP="001068D0">
      <w:pPr>
        <w:pStyle w:val="Default"/>
        <w:ind w:firstLine="708"/>
        <w:jc w:val="both"/>
        <w:rPr>
          <w:color w:val="auto"/>
          <w:sz w:val="20"/>
          <w:szCs w:val="20"/>
        </w:rPr>
      </w:pPr>
      <w:r w:rsidRPr="001068D0">
        <w:rPr>
          <w:color w:val="auto"/>
          <w:sz w:val="20"/>
          <w:szCs w:val="20"/>
        </w:rPr>
        <w:t>Subject of the study is a pilot series of yellow paving stones manufactured at the Institute of Metal Science, Equipment and Technologies with Hydro- and Aerodyn</w:t>
      </w:r>
      <w:r w:rsidR="000517A4">
        <w:rPr>
          <w:color w:val="auto"/>
          <w:sz w:val="20"/>
          <w:szCs w:val="20"/>
        </w:rPr>
        <w:t>amics Centre “Acad. A. Balevski</w:t>
      </w:r>
      <w:r w:rsidRPr="001068D0">
        <w:rPr>
          <w:color w:val="auto"/>
          <w:sz w:val="20"/>
          <w:szCs w:val="20"/>
        </w:rPr>
        <w:t>”</w:t>
      </w:r>
      <w:r w:rsidR="000517A4">
        <w:rPr>
          <w:color w:val="auto"/>
          <w:sz w:val="20"/>
          <w:szCs w:val="20"/>
        </w:rPr>
        <w:t>,</w:t>
      </w:r>
      <w:r w:rsidRPr="001068D0">
        <w:rPr>
          <w:color w:val="auto"/>
          <w:sz w:val="20"/>
          <w:szCs w:val="20"/>
        </w:rPr>
        <w:t xml:space="preserve"> Bulgarian Academy of Sciences, Sofia, Bulgaria [1]. </w:t>
      </w:r>
    </w:p>
    <w:p w:rsidR="001068D0" w:rsidRPr="001068D0" w:rsidRDefault="001068D0" w:rsidP="001068D0">
      <w:pPr>
        <w:pStyle w:val="Default"/>
        <w:jc w:val="both"/>
        <w:rPr>
          <w:color w:val="auto"/>
          <w:sz w:val="20"/>
          <w:szCs w:val="20"/>
        </w:rPr>
      </w:pPr>
      <w:r w:rsidRPr="001068D0">
        <w:rPr>
          <w:color w:val="auto"/>
          <w:sz w:val="20"/>
          <w:szCs w:val="20"/>
        </w:rPr>
        <w:t>The original yellow paving stones are an established symbol of the newly built European capital of Bulgaria at the end of the 19th and the beginning of the 20th century. They were laid in the administrative, historical and cultural centre of the capital and are an indispensable part of the capital’s appearance to this day. They have been officially listed as Sofia’s cultural and historical heritage [2], which requires that any new ceramics produced for their replacement must be equivalent in colour and should possess analogous physical-mechanical and tribological indicators. A number of scientists focus their research on the raw materials [3], the method of production [4], firing methods and characteristics of the final products [5,6,7,8,9].</w:t>
      </w:r>
    </w:p>
    <w:p w:rsidR="00293E19" w:rsidRDefault="001068D0" w:rsidP="001068D0">
      <w:pPr>
        <w:pStyle w:val="Default"/>
        <w:jc w:val="both"/>
        <w:rPr>
          <w:b/>
          <w:bCs/>
          <w:i/>
          <w:iCs/>
          <w:sz w:val="20"/>
          <w:szCs w:val="20"/>
        </w:rPr>
      </w:pPr>
      <w:r w:rsidRPr="001068D0">
        <w:rPr>
          <w:color w:val="auto"/>
          <w:sz w:val="20"/>
          <w:szCs w:val="20"/>
        </w:rPr>
        <w:t>Firstly, the pilot series of yellow paving stones were characterized according to their macroscopic characteristics; representative samples were then selected for optical studies in transmitted light; next, powder samples were prepared for the detection of mineral phases by X-ray diffraction (XRD), metallographic specimens were made for microprobe analyses (SEM-EDX), and X-ray tomographic studies were carried out to identify the specifics of their internal structure.</w:t>
      </w:r>
    </w:p>
    <w:p w:rsidR="00293E19" w:rsidRDefault="00293E19" w:rsidP="001068D0">
      <w:pPr>
        <w:pStyle w:val="Default"/>
        <w:jc w:val="both"/>
        <w:rPr>
          <w:b/>
          <w:bCs/>
          <w:i/>
          <w:iCs/>
          <w:sz w:val="20"/>
          <w:szCs w:val="20"/>
        </w:rPr>
      </w:pPr>
    </w:p>
    <w:p w:rsidR="00B00BF3" w:rsidRDefault="00B00BF3" w:rsidP="001068D0">
      <w:pPr>
        <w:pStyle w:val="Default"/>
        <w:jc w:val="both"/>
        <w:rPr>
          <w:b/>
          <w:bCs/>
          <w:i/>
          <w:iCs/>
          <w:sz w:val="20"/>
          <w:szCs w:val="20"/>
        </w:rPr>
      </w:pPr>
    </w:p>
    <w:p w:rsidR="004A1EE8" w:rsidRDefault="004A1EE8" w:rsidP="001068D0">
      <w:pPr>
        <w:pStyle w:val="Default"/>
        <w:jc w:val="both"/>
        <w:rPr>
          <w:b/>
          <w:bCs/>
          <w:i/>
          <w:iCs/>
          <w:sz w:val="20"/>
          <w:szCs w:val="20"/>
        </w:rPr>
      </w:pPr>
    </w:p>
    <w:p w:rsidR="00293E19" w:rsidRPr="004A1EE8" w:rsidRDefault="001068D0" w:rsidP="004A1EE8">
      <w:pPr>
        <w:pStyle w:val="Heading1"/>
        <w:rPr>
          <w:caps/>
        </w:rPr>
      </w:pPr>
      <w:r w:rsidRPr="001068D0">
        <w:lastRenderedPageBreak/>
        <w:t xml:space="preserve">RESEARCH METHODS </w:t>
      </w:r>
    </w:p>
    <w:p w:rsidR="001068D0" w:rsidRPr="001068D0" w:rsidRDefault="001068D0" w:rsidP="001068D0">
      <w:pPr>
        <w:spacing w:after="0" w:line="240" w:lineRule="auto"/>
        <w:rPr>
          <w:b/>
          <w:bCs/>
          <w:i/>
          <w:iCs/>
          <w:color w:val="000000"/>
          <w:sz w:val="20"/>
          <w:szCs w:val="20"/>
          <w:lang w:val="en-US"/>
        </w:rPr>
      </w:pPr>
      <w:r w:rsidRPr="001068D0">
        <w:rPr>
          <w:b/>
          <w:bCs/>
          <w:i/>
          <w:iCs/>
          <w:color w:val="000000"/>
          <w:sz w:val="20"/>
          <w:szCs w:val="20"/>
          <w:lang w:val="en-US"/>
        </w:rPr>
        <w:t>2.1. Macroscopic color characterization</w:t>
      </w:r>
    </w:p>
    <w:p w:rsidR="001068D0" w:rsidRDefault="001068D0" w:rsidP="001068D0">
      <w:pPr>
        <w:spacing w:after="0" w:line="240" w:lineRule="auto"/>
        <w:ind w:firstLine="720"/>
        <w:rPr>
          <w:sz w:val="20"/>
          <w:szCs w:val="20"/>
          <w:lang w:val="en-US"/>
        </w:rPr>
      </w:pPr>
      <w:r w:rsidRPr="001068D0">
        <w:rPr>
          <w:sz w:val="20"/>
          <w:szCs w:val="20"/>
          <w:lang w:val="en-US"/>
        </w:rPr>
        <w:t>The determination of the color of the samples was carried out using the Munsells 2000 system [10]. The nomenclature used is a three-component system combining hue, value and chroma. Determination of color was made using the Munsells Soil color catalogue.</w:t>
      </w:r>
    </w:p>
    <w:p w:rsidR="001068D0" w:rsidRDefault="001068D0" w:rsidP="001068D0">
      <w:pPr>
        <w:spacing w:after="0" w:line="240" w:lineRule="auto"/>
        <w:ind w:firstLine="720"/>
        <w:rPr>
          <w:sz w:val="20"/>
          <w:szCs w:val="20"/>
          <w:lang w:val="en-US"/>
        </w:rPr>
      </w:pPr>
    </w:p>
    <w:p w:rsidR="001068D0" w:rsidRPr="001068D0" w:rsidRDefault="001068D0" w:rsidP="001068D0">
      <w:pPr>
        <w:spacing w:after="0" w:line="240" w:lineRule="auto"/>
        <w:jc w:val="left"/>
        <w:rPr>
          <w:i/>
          <w:sz w:val="20"/>
          <w:szCs w:val="20"/>
          <w:lang w:val="en-US"/>
        </w:rPr>
      </w:pPr>
      <w:r w:rsidRPr="001068D0">
        <w:rPr>
          <w:b/>
          <w:bCs/>
          <w:i/>
          <w:sz w:val="20"/>
          <w:szCs w:val="20"/>
          <w:lang w:val="en-US"/>
        </w:rPr>
        <w:t>2.2. Optical examinations in transmitted light</w:t>
      </w:r>
    </w:p>
    <w:p w:rsidR="001068D0" w:rsidRDefault="001068D0" w:rsidP="001068D0">
      <w:pPr>
        <w:spacing w:after="0" w:line="240" w:lineRule="auto"/>
        <w:ind w:firstLine="720"/>
        <w:rPr>
          <w:sz w:val="20"/>
          <w:szCs w:val="20"/>
          <w:lang w:val="en-US" w:bidi="ar-EG"/>
        </w:rPr>
      </w:pPr>
      <w:r w:rsidRPr="001068D0">
        <w:rPr>
          <w:sz w:val="20"/>
          <w:szCs w:val="20"/>
          <w:lang w:val="en-US" w:bidi="ar-EG"/>
        </w:rPr>
        <w:t>The ceramic samples were studied by means of petrographic analysis, for which purpose thin sections were made from representative samples to determine their composition and structure. A NIKON microscope and an OLIMPUS 5060 digital camera were used to examine the microphotographs of the samples.</w:t>
      </w:r>
    </w:p>
    <w:p w:rsidR="001068D0" w:rsidRDefault="001068D0" w:rsidP="001068D0">
      <w:pPr>
        <w:spacing w:after="0" w:line="240" w:lineRule="auto"/>
        <w:ind w:firstLine="720"/>
        <w:rPr>
          <w:sz w:val="20"/>
          <w:szCs w:val="20"/>
          <w:lang w:val="en-US" w:bidi="ar-EG"/>
        </w:rPr>
      </w:pPr>
    </w:p>
    <w:p w:rsidR="001068D0" w:rsidRPr="001068D0" w:rsidRDefault="001068D0" w:rsidP="001068D0">
      <w:pPr>
        <w:spacing w:after="0" w:line="240" w:lineRule="auto"/>
        <w:rPr>
          <w:sz w:val="20"/>
          <w:szCs w:val="20"/>
          <w:lang w:val="en-US" w:bidi="ar-EG"/>
        </w:rPr>
      </w:pPr>
      <w:r w:rsidRPr="001068D0">
        <w:rPr>
          <w:b/>
          <w:bCs/>
          <w:i/>
          <w:sz w:val="20"/>
          <w:szCs w:val="20"/>
          <w:lang w:val="en-US" w:bidi="ar-EG"/>
        </w:rPr>
        <w:t>2.3. X-ray diffraction method</w:t>
      </w:r>
      <w:r w:rsidRPr="001068D0">
        <w:rPr>
          <w:i/>
          <w:sz w:val="20"/>
          <w:szCs w:val="20"/>
          <w:lang w:val="en-US" w:bidi="ar-EG"/>
        </w:rPr>
        <w:t xml:space="preserve"> </w:t>
      </w:r>
      <w:r w:rsidRPr="001068D0">
        <w:rPr>
          <w:b/>
          <w:bCs/>
          <w:i/>
          <w:sz w:val="20"/>
          <w:szCs w:val="20"/>
          <w:lang w:val="en-US" w:bidi="ar-EG"/>
        </w:rPr>
        <w:t>(XRD)</w:t>
      </w:r>
    </w:p>
    <w:p w:rsidR="001068D0" w:rsidRDefault="001068D0" w:rsidP="001068D0">
      <w:pPr>
        <w:spacing w:after="0" w:line="240" w:lineRule="auto"/>
        <w:ind w:firstLine="720"/>
        <w:rPr>
          <w:sz w:val="20"/>
          <w:szCs w:val="20"/>
          <w:lang w:val="en-US" w:bidi="ar-EG"/>
        </w:rPr>
      </w:pPr>
      <w:r w:rsidRPr="001068D0">
        <w:rPr>
          <w:sz w:val="20"/>
          <w:szCs w:val="20"/>
          <w:lang w:val="en-US" w:bidi="ar-EG"/>
        </w:rPr>
        <w:t>X-ray diffraction of powder samples was used to identify the different mineral phases in the composition of the samples. The diffractograms were taken with a TUR M62 powder X-ray diffractometer with step scanning using So radiation, 0.04 2Q step and 1.5s step exposure time.</w:t>
      </w:r>
    </w:p>
    <w:p w:rsidR="001068D0" w:rsidRPr="001068D0" w:rsidRDefault="001068D0" w:rsidP="001068D0">
      <w:pPr>
        <w:spacing w:after="0" w:line="240" w:lineRule="auto"/>
        <w:ind w:firstLine="720"/>
        <w:rPr>
          <w:sz w:val="20"/>
          <w:szCs w:val="20"/>
          <w:lang w:val="en-US" w:bidi="ar-EG"/>
        </w:rPr>
      </w:pPr>
    </w:p>
    <w:p w:rsidR="001068D0" w:rsidRPr="001068D0" w:rsidRDefault="001068D0" w:rsidP="001068D0">
      <w:pPr>
        <w:spacing w:after="0" w:line="240" w:lineRule="auto"/>
        <w:rPr>
          <w:i/>
          <w:sz w:val="20"/>
          <w:szCs w:val="20"/>
          <w:lang w:val="en-US" w:bidi="ar-EG"/>
        </w:rPr>
      </w:pPr>
      <w:r w:rsidRPr="001068D0">
        <w:rPr>
          <w:b/>
          <w:bCs/>
          <w:i/>
          <w:iCs/>
          <w:sz w:val="20"/>
          <w:szCs w:val="20"/>
          <w:lang w:val="en-US" w:bidi="ar-EG"/>
        </w:rPr>
        <w:t>2.4. Scanning electron microscopy (</w:t>
      </w:r>
      <w:smartTag w:uri="urn:schemas-microsoft-com:office:smarttags" w:element="stockticker">
        <w:r w:rsidRPr="001068D0">
          <w:rPr>
            <w:b/>
            <w:bCs/>
            <w:i/>
            <w:iCs/>
            <w:sz w:val="20"/>
            <w:szCs w:val="20"/>
            <w:lang w:val="en-US" w:bidi="ar-EG"/>
          </w:rPr>
          <w:t>SEM</w:t>
        </w:r>
      </w:smartTag>
      <w:r w:rsidRPr="001068D0">
        <w:rPr>
          <w:b/>
          <w:bCs/>
          <w:i/>
          <w:iCs/>
          <w:sz w:val="20"/>
          <w:szCs w:val="20"/>
          <w:lang w:val="en-US" w:bidi="ar-EG"/>
        </w:rPr>
        <w:t>-</w:t>
      </w:r>
      <w:smartTag w:uri="urn:schemas-microsoft-com:office:smarttags" w:element="stockticker">
        <w:r w:rsidRPr="001068D0">
          <w:rPr>
            <w:b/>
            <w:bCs/>
            <w:i/>
            <w:iCs/>
            <w:sz w:val="20"/>
            <w:szCs w:val="20"/>
            <w:lang w:val="en-US" w:bidi="ar-EG"/>
          </w:rPr>
          <w:t>EDS</w:t>
        </w:r>
      </w:smartTag>
      <w:r w:rsidRPr="001068D0">
        <w:rPr>
          <w:b/>
          <w:bCs/>
          <w:i/>
          <w:iCs/>
          <w:sz w:val="20"/>
          <w:szCs w:val="20"/>
          <w:lang w:val="en-US" w:bidi="ar-EG"/>
        </w:rPr>
        <w:t>)</w:t>
      </w:r>
    </w:p>
    <w:p w:rsidR="001068D0" w:rsidRDefault="001068D0" w:rsidP="001068D0">
      <w:pPr>
        <w:spacing w:after="0" w:line="240" w:lineRule="auto"/>
        <w:ind w:firstLine="720"/>
        <w:rPr>
          <w:sz w:val="20"/>
          <w:szCs w:val="20"/>
          <w:lang w:val="en-US" w:bidi="ar-EG"/>
        </w:rPr>
      </w:pPr>
      <w:r w:rsidRPr="001068D0">
        <w:rPr>
          <w:sz w:val="20"/>
          <w:szCs w:val="20"/>
          <w:lang w:val="en-US" w:bidi="ar-EG"/>
        </w:rPr>
        <w:t>The method is used to characterize the structure and types of mineral phases. To analyze the ceramics with a scanning electron microscope, metallographic specimens were made. The apparatus used to perform the analyses is a (</w:t>
      </w:r>
      <w:smartTag w:uri="urn:schemas-microsoft-com:office:smarttags" w:element="stockticker">
        <w:r w:rsidRPr="001068D0">
          <w:rPr>
            <w:sz w:val="20"/>
            <w:szCs w:val="20"/>
            <w:lang w:val="en-US" w:bidi="ar-EG"/>
          </w:rPr>
          <w:t>CEM</w:t>
        </w:r>
      </w:smartTag>
      <w:r w:rsidRPr="001068D0">
        <w:rPr>
          <w:sz w:val="20"/>
          <w:szCs w:val="20"/>
          <w:lang w:val="en-US" w:bidi="ar-EG"/>
        </w:rPr>
        <w:t xml:space="preserve">) JEOL JSM-6010 </w:t>
      </w:r>
      <w:smartTag w:uri="urn:schemas-microsoft-com:office:smarttags" w:element="stockticker">
        <w:r w:rsidRPr="001068D0">
          <w:rPr>
            <w:sz w:val="20"/>
            <w:szCs w:val="20"/>
            <w:lang w:val="en-US" w:bidi="ar-EG"/>
          </w:rPr>
          <w:t>PLUS</w:t>
        </w:r>
      </w:smartTag>
      <w:r w:rsidRPr="001068D0">
        <w:rPr>
          <w:sz w:val="20"/>
          <w:szCs w:val="20"/>
          <w:lang w:val="en-US" w:bidi="ar-EG"/>
        </w:rPr>
        <w:t xml:space="preserve">/LA with an </w:t>
      </w:r>
      <w:smartTag w:uri="urn:schemas-microsoft-com:office:smarttags" w:element="stockticker">
        <w:r w:rsidRPr="001068D0">
          <w:rPr>
            <w:sz w:val="20"/>
            <w:szCs w:val="20"/>
            <w:lang w:val="en-US" w:bidi="ar-EG"/>
          </w:rPr>
          <w:t>EDS</w:t>
        </w:r>
      </w:smartTag>
      <w:r w:rsidRPr="001068D0">
        <w:rPr>
          <w:sz w:val="20"/>
          <w:szCs w:val="20"/>
          <w:lang w:val="en-US" w:bidi="ar-EG"/>
        </w:rPr>
        <w:t xml:space="preserve"> (energy-dispersive-spectrometer) type analyzer. The analyses are semi-quantitative (non-standard), with factory-set standards.</w:t>
      </w:r>
    </w:p>
    <w:p w:rsidR="001068D0" w:rsidRPr="001068D0" w:rsidRDefault="001068D0" w:rsidP="001068D0">
      <w:pPr>
        <w:spacing w:after="0" w:line="240" w:lineRule="auto"/>
        <w:ind w:firstLine="720"/>
        <w:rPr>
          <w:sz w:val="20"/>
          <w:szCs w:val="20"/>
          <w:lang w:val="en-US" w:bidi="ar-EG"/>
        </w:rPr>
      </w:pPr>
    </w:p>
    <w:p w:rsidR="001068D0" w:rsidRPr="001068D0" w:rsidRDefault="001068D0" w:rsidP="001068D0">
      <w:pPr>
        <w:spacing w:after="0" w:line="240" w:lineRule="auto"/>
        <w:rPr>
          <w:b/>
          <w:i/>
          <w:sz w:val="20"/>
          <w:szCs w:val="20"/>
          <w:lang w:val="en-US" w:bidi="ar-EG"/>
        </w:rPr>
      </w:pPr>
      <w:r w:rsidRPr="001068D0">
        <w:rPr>
          <w:b/>
          <w:i/>
          <w:sz w:val="20"/>
          <w:szCs w:val="20"/>
          <w:lang w:val="en-US" w:bidi="ar-EG"/>
        </w:rPr>
        <w:t>2.5. Computed tomography scan</w:t>
      </w:r>
    </w:p>
    <w:p w:rsidR="001068D0" w:rsidRDefault="001068D0" w:rsidP="001068D0">
      <w:pPr>
        <w:spacing w:after="0" w:line="240" w:lineRule="auto"/>
        <w:ind w:firstLine="720"/>
        <w:rPr>
          <w:sz w:val="20"/>
          <w:szCs w:val="20"/>
          <w:lang w:val="en-US" w:bidi="ar-EG"/>
        </w:rPr>
      </w:pPr>
      <w:r w:rsidRPr="001068D0">
        <w:rPr>
          <w:sz w:val="20"/>
          <w:szCs w:val="20"/>
          <w:lang w:val="en-US" w:bidi="ar-EG"/>
        </w:rPr>
        <w:t>To obtain information on the presence or absence of pores and defects in the volume of the material, as well as to calculate the porosity, the computed tomography method was used. The selected scan settings were as follows: source voltage 100 kV, source current 100 µA, pixel size 16.1999 µm, Cu filter 0.11mm, resolution 1632</w:t>
      </w:r>
      <w:r w:rsidR="00AC177C">
        <w:rPr>
          <w:sz w:val="20"/>
          <w:szCs w:val="20"/>
          <w:lang w:val="en-US" w:bidi="ar-EG"/>
        </w:rPr>
        <w:t xml:space="preserve"> </w:t>
      </w:r>
      <w:r w:rsidRPr="001068D0">
        <w:rPr>
          <w:sz w:val="20"/>
          <w:szCs w:val="20"/>
          <w:lang w:val="en-US" w:bidi="ar-EG"/>
        </w:rPr>
        <w:t>x1092 pxl, full rotation of the specimen with 0.4º rotation step. After scanning with a 3D X-ray micro-tomograph SkyScan 1272, a reconstruction of the specimen was made (using NRecon software). A visualization of the specimen was performed using CTVox software.</w:t>
      </w:r>
    </w:p>
    <w:p w:rsidR="001068D0" w:rsidRDefault="001068D0" w:rsidP="001068D0">
      <w:pPr>
        <w:spacing w:after="0" w:line="240" w:lineRule="auto"/>
        <w:ind w:firstLine="720"/>
        <w:rPr>
          <w:sz w:val="20"/>
          <w:szCs w:val="20"/>
          <w:lang w:val="en-US" w:bidi="ar-EG"/>
        </w:rPr>
      </w:pPr>
    </w:p>
    <w:p w:rsidR="00AC177C" w:rsidRPr="00AC177C" w:rsidRDefault="001068D0" w:rsidP="004A1EE8">
      <w:pPr>
        <w:pStyle w:val="Heading1"/>
        <w:rPr>
          <w:lang w:bidi="ar-EG"/>
        </w:rPr>
      </w:pPr>
      <w:r w:rsidRPr="001068D0">
        <w:rPr>
          <w:lang w:bidi="ar-EG"/>
        </w:rPr>
        <w:t>RESULTS</w:t>
      </w:r>
    </w:p>
    <w:p w:rsidR="00AC177C" w:rsidRPr="00AC177C" w:rsidRDefault="00AC177C" w:rsidP="00AC177C">
      <w:pPr>
        <w:spacing w:after="0"/>
        <w:rPr>
          <w:b/>
          <w:bCs/>
          <w:i/>
          <w:iCs/>
          <w:sz w:val="20"/>
          <w:szCs w:val="20"/>
          <w:lang w:bidi="ar-EG"/>
        </w:rPr>
      </w:pPr>
      <w:r>
        <w:rPr>
          <w:b/>
          <w:bCs/>
          <w:i/>
          <w:iCs/>
          <w:sz w:val="20"/>
          <w:szCs w:val="20"/>
          <w:lang w:bidi="ar-EG"/>
        </w:rPr>
        <w:t xml:space="preserve">3.1. </w:t>
      </w:r>
      <w:r w:rsidRPr="00AC177C">
        <w:rPr>
          <w:b/>
          <w:bCs/>
          <w:i/>
          <w:iCs/>
          <w:sz w:val="20"/>
          <w:szCs w:val="20"/>
          <w:lang w:bidi="ar-EG"/>
        </w:rPr>
        <w:t>Munsell nomenclature colour characteristics</w:t>
      </w:r>
    </w:p>
    <w:p w:rsidR="00AC177C" w:rsidRPr="00AC177C" w:rsidRDefault="00AC177C" w:rsidP="00AC177C">
      <w:pPr>
        <w:ind w:firstLine="708"/>
        <w:rPr>
          <w:b/>
          <w:bCs/>
          <w:i/>
          <w:iCs/>
          <w:sz w:val="20"/>
          <w:szCs w:val="20"/>
          <w:lang w:val="en-US" w:bidi="ar-EG"/>
        </w:rPr>
      </w:pPr>
      <w:r w:rsidRPr="00AC177C">
        <w:rPr>
          <w:sz w:val="20"/>
          <w:szCs w:val="20"/>
          <w:lang w:val="en-US" w:bidi="ar-EG"/>
        </w:rPr>
        <w:t>The colour of the original yellow paving stones laid in the central area of Sofia</w:t>
      </w:r>
      <w:r>
        <w:rPr>
          <w:sz w:val="20"/>
          <w:szCs w:val="20"/>
          <w:lang w:val="en-US" w:bidi="ar-EG"/>
        </w:rPr>
        <w:t xml:space="preserve"> </w:t>
      </w:r>
      <w:r w:rsidRPr="00AC177C">
        <w:rPr>
          <w:sz w:val="20"/>
          <w:szCs w:val="20"/>
          <w:lang w:val="en-US" w:bidi="ar-EG"/>
        </w:rPr>
        <w:t>(Figure 1A) and that of pilot series (Figure 1B) was determined macroscopically according to the Munsell nomenclature (Munsell, 2000) using the Munsell Soil colour charts catalogue. The original yellow paving stones have colour characteristics ranging from 2.5Y 8/6 (yellow) to 2.5Y 4/4 (olive brown) determined on site (30 pcs). Analysis shows that the majority of them have a colour characteristic of 2.5Y 6/6 (olive yellow) and 2.5Y 5/6 (light olive brown). Their surfaces are polished, often cracked and with broken edges, which is due to the intensive use over the years. The new ceramics have colour characteristics ranging from 2,5Y 7/6 (yellow) to 2,5Y 5/6 (light olive brown). Thanks to the refinement of the firing process and the uniformity of the raw material, no large variations in colour were observed, the range is narrowed and fully corresponds to the most common colour characteristics of the original yellow paving stones.</w:t>
      </w:r>
    </w:p>
    <w:p w:rsidR="00AC177C" w:rsidRPr="00AC177C" w:rsidRDefault="00AC177C" w:rsidP="00AC177C">
      <w:pPr>
        <w:rPr>
          <w:lang w:val="en-US" w:bidi="ar-EG"/>
        </w:rPr>
      </w:pPr>
    </w:p>
    <w:p w:rsidR="001068D0" w:rsidRPr="001068D0" w:rsidRDefault="00AC177C" w:rsidP="00AC177C">
      <w:pPr>
        <w:spacing w:after="0" w:line="240" w:lineRule="auto"/>
        <w:jc w:val="center"/>
        <w:rPr>
          <w:sz w:val="20"/>
          <w:szCs w:val="20"/>
          <w:lang w:val="en-US" w:bidi="ar-EG"/>
        </w:rPr>
      </w:pPr>
      <w:r w:rsidRPr="00AC177C">
        <w:rPr>
          <w:rFonts w:ascii="Calibri" w:hAnsi="Calibri"/>
          <w:noProof/>
          <w:sz w:val="22"/>
          <w:szCs w:val="22"/>
          <w:lang w:val="bg-BG" w:eastAsia="bg-BG"/>
        </w:rPr>
        <w:lastRenderedPageBreak/>
        <w:drawing>
          <wp:inline distT="0" distB="0" distL="0" distR="0" wp14:anchorId="04CEAB7C" wp14:editId="079558EA">
            <wp:extent cx="5396865" cy="2031297"/>
            <wp:effectExtent l="19050" t="19050" r="13335" b="26670"/>
            <wp:docPr id="1" name="Picture 1" descr="C:\Users\Marieta\Pictures\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ta\Pictures\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865" cy="2031297"/>
                    </a:xfrm>
                    <a:prstGeom prst="rect">
                      <a:avLst/>
                    </a:prstGeom>
                    <a:noFill/>
                    <a:ln>
                      <a:solidFill>
                        <a:sysClr val="windowText" lastClr="000000"/>
                      </a:solidFill>
                    </a:ln>
                  </pic:spPr>
                </pic:pic>
              </a:graphicData>
            </a:graphic>
          </wp:inline>
        </w:drawing>
      </w:r>
    </w:p>
    <w:p w:rsidR="001068D0" w:rsidRPr="001068D0" w:rsidRDefault="001068D0" w:rsidP="00AC177C">
      <w:pPr>
        <w:spacing w:after="0" w:line="240" w:lineRule="auto"/>
        <w:ind w:firstLine="720"/>
        <w:jc w:val="center"/>
        <w:rPr>
          <w:sz w:val="20"/>
          <w:szCs w:val="20"/>
          <w:lang w:val="en-US" w:bidi="ar-EG"/>
        </w:rPr>
      </w:pPr>
    </w:p>
    <w:p w:rsidR="00AC177C" w:rsidRPr="00AC177C" w:rsidRDefault="00AC177C" w:rsidP="00AC177C">
      <w:pPr>
        <w:spacing w:after="0" w:line="240" w:lineRule="auto"/>
        <w:jc w:val="center"/>
        <w:rPr>
          <w:b/>
          <w:bCs/>
          <w:iCs/>
          <w:sz w:val="20"/>
          <w:szCs w:val="20"/>
          <w:lang w:val="en-US" w:bidi="ar-EG"/>
        </w:rPr>
      </w:pPr>
      <w:r w:rsidRPr="00AC177C">
        <w:rPr>
          <w:b/>
          <w:bCs/>
          <w:iCs/>
          <w:sz w:val="20"/>
          <w:szCs w:val="20"/>
          <w:lang w:val="en-US" w:bidi="ar-EG"/>
        </w:rPr>
        <w:t>Figure 1</w:t>
      </w:r>
      <w:r w:rsidR="00A726A9">
        <w:rPr>
          <w:b/>
          <w:bCs/>
          <w:iCs/>
          <w:sz w:val="20"/>
          <w:szCs w:val="20"/>
          <w:lang w:val="en-US" w:bidi="ar-EG"/>
        </w:rPr>
        <w:t>:</w:t>
      </w:r>
      <w:r w:rsidRPr="00AC177C">
        <w:rPr>
          <w:b/>
          <w:bCs/>
          <w:iCs/>
          <w:sz w:val="20"/>
          <w:szCs w:val="20"/>
          <w:lang w:val="en-US" w:bidi="ar-EG"/>
        </w:rPr>
        <w:t xml:space="preserve">  Yellow pavers from Sofia city center (A) and yellow pavers from the pilot series (B).</w:t>
      </w:r>
    </w:p>
    <w:p w:rsidR="00015DC7" w:rsidRPr="00B26C1C" w:rsidRDefault="00015DC7" w:rsidP="00AC177C">
      <w:pPr>
        <w:spacing w:after="0" w:line="240" w:lineRule="auto"/>
        <w:ind w:firstLine="720"/>
        <w:jc w:val="center"/>
        <w:rPr>
          <w:sz w:val="20"/>
          <w:szCs w:val="20"/>
          <w:lang w:val="en-US" w:bidi="ar-EG"/>
        </w:rPr>
      </w:pPr>
    </w:p>
    <w:p w:rsidR="003D5B33" w:rsidRDefault="003D5B33" w:rsidP="00A730AA">
      <w:pPr>
        <w:pStyle w:val="Default"/>
        <w:jc w:val="both"/>
        <w:rPr>
          <w:b/>
          <w:bCs/>
          <w:i/>
          <w:iCs/>
          <w:sz w:val="20"/>
          <w:szCs w:val="20"/>
        </w:rPr>
      </w:pPr>
    </w:p>
    <w:p w:rsidR="00AC177C" w:rsidRPr="00AC177C" w:rsidRDefault="00AC177C" w:rsidP="00AC177C">
      <w:pPr>
        <w:pStyle w:val="Default"/>
        <w:jc w:val="both"/>
        <w:rPr>
          <w:b/>
          <w:bCs/>
          <w:i/>
          <w:iCs/>
          <w:sz w:val="20"/>
          <w:szCs w:val="20"/>
        </w:rPr>
      </w:pPr>
      <w:r w:rsidRPr="00AC177C">
        <w:rPr>
          <w:b/>
          <w:bCs/>
          <w:i/>
          <w:iCs/>
          <w:sz w:val="20"/>
          <w:szCs w:val="20"/>
        </w:rPr>
        <w:t>3.2</w:t>
      </w:r>
      <w:r>
        <w:rPr>
          <w:b/>
          <w:bCs/>
          <w:i/>
          <w:iCs/>
          <w:sz w:val="20"/>
          <w:szCs w:val="20"/>
        </w:rPr>
        <w:t xml:space="preserve">. </w:t>
      </w:r>
      <w:r w:rsidRPr="00AC177C">
        <w:rPr>
          <w:b/>
          <w:bCs/>
          <w:i/>
          <w:iCs/>
          <w:sz w:val="20"/>
          <w:szCs w:val="20"/>
        </w:rPr>
        <w:t>Microscopic examination</w:t>
      </w:r>
    </w:p>
    <w:p w:rsidR="00AC177C" w:rsidRDefault="00AC177C" w:rsidP="00AC177C">
      <w:pPr>
        <w:pStyle w:val="Default"/>
        <w:ind w:firstLine="708"/>
        <w:jc w:val="both"/>
        <w:rPr>
          <w:sz w:val="20"/>
          <w:szCs w:val="20"/>
        </w:rPr>
      </w:pPr>
      <w:r w:rsidRPr="00AC177C">
        <w:rPr>
          <w:sz w:val="20"/>
          <w:szCs w:val="20"/>
        </w:rPr>
        <w:t>The microscopically analyzed ceramic samples have a cryptocrystalline structure, the mineral composition is optically indeterminate (Figure 2 a, b) except for the quartz grains present in the composition (Figure 2 c, d). The amount of quartz is about 5% and is up to 250 μm in size. The quartz grains are clear with an angular shape and the larger ones are fractured. The colour of the cryptocrystalline matrix is a uniform yellowish-brown mottled in places with rusty-brown iron hydroxides. Closed micropores up to 300 μm long without orientation are observed, probably due to phase transitions during the synthesis of the material.</w:t>
      </w:r>
    </w:p>
    <w:p w:rsidR="00AC177C" w:rsidRDefault="00AC177C" w:rsidP="00AC177C">
      <w:pPr>
        <w:pStyle w:val="Default"/>
        <w:ind w:firstLine="708"/>
        <w:rPr>
          <w:sz w:val="20"/>
          <w:szCs w:val="20"/>
        </w:rPr>
      </w:pPr>
    </w:p>
    <w:p w:rsidR="00AC177C" w:rsidRPr="00AC177C" w:rsidRDefault="00AC177C" w:rsidP="00AC177C">
      <w:pPr>
        <w:pStyle w:val="Default"/>
        <w:ind w:firstLine="708"/>
        <w:jc w:val="center"/>
        <w:rPr>
          <w:sz w:val="20"/>
          <w:szCs w:val="20"/>
        </w:rPr>
      </w:pPr>
      <w:r w:rsidRPr="00AC177C">
        <w:rPr>
          <w:rFonts w:ascii="Calibri" w:hAnsi="Calibri"/>
          <w:noProof/>
          <w:color w:val="auto"/>
          <w:sz w:val="22"/>
          <w:szCs w:val="22"/>
          <w:lang w:val="bg-BG" w:eastAsia="bg-BG"/>
        </w:rPr>
        <w:drawing>
          <wp:inline distT="0" distB="0" distL="0" distR="0" wp14:anchorId="4ED45F6A" wp14:editId="445D348F">
            <wp:extent cx="4659465" cy="3993674"/>
            <wp:effectExtent l="0" t="0" r="0" b="0"/>
            <wp:docPr id="12" name="Picture 12" descr="C:\Users\Marieta\Pictures\8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ta\Pictures\856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884" cy="4005176"/>
                    </a:xfrm>
                    <a:prstGeom prst="rect">
                      <a:avLst/>
                    </a:prstGeom>
                    <a:noFill/>
                    <a:ln>
                      <a:noFill/>
                    </a:ln>
                  </pic:spPr>
                </pic:pic>
              </a:graphicData>
            </a:graphic>
          </wp:inline>
        </w:drawing>
      </w:r>
    </w:p>
    <w:p w:rsidR="00AC177C" w:rsidRPr="00AC177C" w:rsidRDefault="00AC177C" w:rsidP="00AC177C">
      <w:pPr>
        <w:pStyle w:val="Default"/>
        <w:jc w:val="center"/>
        <w:rPr>
          <w:b/>
          <w:iCs/>
          <w:sz w:val="20"/>
          <w:szCs w:val="20"/>
        </w:rPr>
      </w:pPr>
      <w:r w:rsidRPr="00AC177C">
        <w:rPr>
          <w:b/>
          <w:sz w:val="20"/>
          <w:szCs w:val="20"/>
        </w:rPr>
        <w:t>Figure 2</w:t>
      </w:r>
      <w:r w:rsidR="00A726A9">
        <w:rPr>
          <w:b/>
          <w:sz w:val="20"/>
          <w:szCs w:val="20"/>
        </w:rPr>
        <w:t>:</w:t>
      </w:r>
      <w:r w:rsidRPr="00AC177C">
        <w:rPr>
          <w:b/>
          <w:sz w:val="20"/>
          <w:szCs w:val="20"/>
        </w:rPr>
        <w:t xml:space="preserve"> Petrographic analysis. (</w:t>
      </w:r>
      <w:r w:rsidRPr="00AC177C">
        <w:rPr>
          <w:b/>
          <w:iCs/>
          <w:sz w:val="20"/>
          <w:szCs w:val="20"/>
        </w:rPr>
        <w:t xml:space="preserve">a) General view of a </w:t>
      </w:r>
      <w:smartTag w:uri="urn:schemas-microsoft-com:office:smarttags" w:element="stockticker">
        <w:r w:rsidRPr="00AC177C">
          <w:rPr>
            <w:b/>
            <w:iCs/>
            <w:sz w:val="20"/>
            <w:szCs w:val="20"/>
          </w:rPr>
          <w:t>PPL</w:t>
        </w:r>
      </w:smartTag>
      <w:r w:rsidRPr="00AC177C">
        <w:rPr>
          <w:b/>
          <w:iCs/>
          <w:sz w:val="20"/>
          <w:szCs w:val="20"/>
        </w:rPr>
        <w:t xml:space="preserve"> (Parallel Polarized Light) ceramic prototype image with width of field of view (FOV) = 3980 μm, (b) General view of a </w:t>
      </w:r>
      <w:smartTag w:uri="urn:schemas-microsoft-com:office:smarttags" w:element="stockticker">
        <w:r w:rsidRPr="00AC177C">
          <w:rPr>
            <w:b/>
            <w:iCs/>
            <w:sz w:val="20"/>
            <w:szCs w:val="20"/>
          </w:rPr>
          <w:t>CPL</w:t>
        </w:r>
      </w:smartTag>
      <w:r w:rsidRPr="00AC177C">
        <w:rPr>
          <w:b/>
          <w:iCs/>
          <w:sz w:val="20"/>
          <w:szCs w:val="20"/>
        </w:rPr>
        <w:t xml:space="preserve"> (Crossed Polarized Light) ceramic prototype image FOV=3980 μm, (c) Quartz (centre) </w:t>
      </w:r>
      <w:smartTag w:uri="urn:schemas-microsoft-com:office:smarttags" w:element="stockticker">
        <w:r w:rsidRPr="00AC177C">
          <w:rPr>
            <w:b/>
            <w:iCs/>
            <w:sz w:val="20"/>
            <w:szCs w:val="20"/>
          </w:rPr>
          <w:t>PPL</w:t>
        </w:r>
      </w:smartTag>
      <w:r w:rsidRPr="00AC177C">
        <w:rPr>
          <w:b/>
          <w:iCs/>
          <w:sz w:val="20"/>
          <w:szCs w:val="20"/>
        </w:rPr>
        <w:t xml:space="preserve">, FOV=1980 μm, (d) Quartz (centre) </w:t>
      </w:r>
      <w:smartTag w:uri="urn:schemas-microsoft-com:office:smarttags" w:element="stockticker">
        <w:r w:rsidRPr="00AC177C">
          <w:rPr>
            <w:b/>
            <w:iCs/>
            <w:sz w:val="20"/>
            <w:szCs w:val="20"/>
          </w:rPr>
          <w:t>CPL</w:t>
        </w:r>
      </w:smartTag>
      <w:r w:rsidRPr="00AC177C">
        <w:rPr>
          <w:b/>
          <w:iCs/>
          <w:sz w:val="20"/>
          <w:szCs w:val="20"/>
        </w:rPr>
        <w:t>, FOV=1980 μm.</w:t>
      </w:r>
    </w:p>
    <w:p w:rsidR="004A1EE8" w:rsidRDefault="004A1EE8" w:rsidP="00AC177C">
      <w:pPr>
        <w:pStyle w:val="Default"/>
        <w:jc w:val="both"/>
        <w:rPr>
          <w:b/>
          <w:bCs/>
          <w:i/>
          <w:iCs/>
          <w:sz w:val="20"/>
          <w:szCs w:val="20"/>
          <w:lang w:val="de-DE"/>
        </w:rPr>
      </w:pPr>
    </w:p>
    <w:p w:rsidR="00AC177C" w:rsidRDefault="00A726A9" w:rsidP="00AC177C">
      <w:pPr>
        <w:pStyle w:val="Default"/>
        <w:jc w:val="both"/>
        <w:rPr>
          <w:b/>
          <w:bCs/>
          <w:i/>
          <w:iCs/>
          <w:sz w:val="20"/>
          <w:szCs w:val="20"/>
          <w:lang w:val="de-DE"/>
        </w:rPr>
      </w:pPr>
      <w:r>
        <w:rPr>
          <w:b/>
          <w:bCs/>
          <w:i/>
          <w:iCs/>
          <w:sz w:val="20"/>
          <w:szCs w:val="20"/>
          <w:lang w:val="de-DE"/>
        </w:rPr>
        <w:lastRenderedPageBreak/>
        <w:t xml:space="preserve">3.3. </w:t>
      </w:r>
      <w:r w:rsidR="00AC177C" w:rsidRPr="00AC177C">
        <w:rPr>
          <w:b/>
          <w:bCs/>
          <w:i/>
          <w:iCs/>
          <w:sz w:val="20"/>
          <w:szCs w:val="20"/>
          <w:lang w:val="de-DE"/>
        </w:rPr>
        <w:t xml:space="preserve">X-ray diffraction of powder samples </w:t>
      </w:r>
    </w:p>
    <w:p w:rsidR="00A726A9" w:rsidRPr="00A726A9" w:rsidRDefault="00A726A9" w:rsidP="00A726A9">
      <w:pPr>
        <w:pStyle w:val="Default"/>
        <w:ind w:firstLine="708"/>
        <w:jc w:val="both"/>
        <w:rPr>
          <w:bCs/>
          <w:iCs/>
          <w:sz w:val="20"/>
          <w:szCs w:val="20"/>
        </w:rPr>
      </w:pPr>
      <w:bookmarkStart w:id="0" w:name="_Toc362244865"/>
      <w:bookmarkStart w:id="1" w:name="_Toc362245029"/>
      <w:bookmarkStart w:id="2" w:name="_Toc362245040"/>
      <w:r w:rsidRPr="00A726A9">
        <w:rPr>
          <w:bCs/>
          <w:iCs/>
          <w:sz w:val="20"/>
          <w:szCs w:val="20"/>
        </w:rPr>
        <w:t xml:space="preserve">Using powder X-ray diffraction, the mineral phases involved in the composition of the new ceramic product (P1) were determined (Figure 3). The following mineral composition was recorded: wollastonite, diopside (two phases), plagioclase, and quartz. Quantitatively, wollastonite </w:t>
      </w:r>
      <w:r w:rsidRPr="00A726A9">
        <w:rPr>
          <w:bCs/>
          <w:iCs/>
          <w:sz w:val="20"/>
          <w:szCs w:val="20"/>
          <w:lang w:val="en-GB"/>
        </w:rPr>
        <w:t>Ca</w:t>
      </w:r>
      <w:r w:rsidRPr="00A726A9">
        <w:rPr>
          <w:bCs/>
          <w:iCs/>
          <w:sz w:val="20"/>
          <w:szCs w:val="20"/>
          <w:vertAlign w:val="subscript"/>
          <w:lang w:val="en-GB"/>
        </w:rPr>
        <w:t>3</w:t>
      </w:r>
      <w:r w:rsidRPr="00A726A9">
        <w:rPr>
          <w:bCs/>
          <w:iCs/>
          <w:sz w:val="20"/>
          <w:szCs w:val="20"/>
          <w:lang w:val="en-GB"/>
        </w:rPr>
        <w:t>Si</w:t>
      </w:r>
      <w:r w:rsidRPr="00A726A9">
        <w:rPr>
          <w:bCs/>
          <w:iCs/>
          <w:sz w:val="20"/>
          <w:szCs w:val="20"/>
          <w:vertAlign w:val="subscript"/>
          <w:lang w:val="en-GB"/>
        </w:rPr>
        <w:t>3</w:t>
      </w:r>
      <w:r w:rsidRPr="00A726A9">
        <w:rPr>
          <w:bCs/>
          <w:iCs/>
          <w:sz w:val="20"/>
          <w:szCs w:val="20"/>
          <w:lang w:val="en-GB"/>
        </w:rPr>
        <w:t>O</w:t>
      </w:r>
      <w:r w:rsidRPr="00A726A9">
        <w:rPr>
          <w:bCs/>
          <w:iCs/>
          <w:sz w:val="20"/>
          <w:szCs w:val="20"/>
          <w:vertAlign w:val="subscript"/>
          <w:lang w:val="en-GB"/>
        </w:rPr>
        <w:t>9</w:t>
      </w:r>
      <w:r w:rsidRPr="00A726A9">
        <w:rPr>
          <w:bCs/>
          <w:iCs/>
          <w:sz w:val="20"/>
          <w:szCs w:val="20"/>
        </w:rPr>
        <w:t xml:space="preserve"> (42.3%) and the two recorded phases of diopside </w:t>
      </w:r>
      <w:r w:rsidRPr="00A726A9">
        <w:rPr>
          <w:sz w:val="20"/>
          <w:szCs w:val="20"/>
          <w:lang w:val="en-GB"/>
        </w:rPr>
        <w:t>CaMgSi</w:t>
      </w:r>
      <w:r w:rsidRPr="00A726A9">
        <w:rPr>
          <w:sz w:val="20"/>
          <w:szCs w:val="20"/>
          <w:vertAlign w:val="subscript"/>
          <w:lang w:val="en-GB"/>
        </w:rPr>
        <w:t>2</w:t>
      </w:r>
      <w:r w:rsidRPr="00A726A9">
        <w:rPr>
          <w:sz w:val="20"/>
          <w:szCs w:val="20"/>
          <w:lang w:val="en-GB"/>
        </w:rPr>
        <w:t>O</w:t>
      </w:r>
      <w:r w:rsidRPr="00A726A9">
        <w:rPr>
          <w:sz w:val="20"/>
          <w:szCs w:val="20"/>
          <w:vertAlign w:val="subscript"/>
          <w:lang w:val="en-GB"/>
        </w:rPr>
        <w:t>6</w:t>
      </w:r>
      <w:r w:rsidRPr="00A726A9">
        <w:rPr>
          <w:bCs/>
          <w:iCs/>
          <w:sz w:val="20"/>
          <w:szCs w:val="20"/>
        </w:rPr>
        <w:t xml:space="preserve"> (19.4%) and Fe-containing diopside (12.2%) dominate the total composition. Plagioclase </w:t>
      </w:r>
      <w:r w:rsidRPr="00A726A9">
        <w:rPr>
          <w:sz w:val="20"/>
          <w:szCs w:val="20"/>
          <w:lang w:val="en-GB"/>
        </w:rPr>
        <w:t>CaAl</w:t>
      </w:r>
      <w:r w:rsidRPr="00A726A9">
        <w:rPr>
          <w:sz w:val="20"/>
          <w:szCs w:val="20"/>
          <w:vertAlign w:val="subscript"/>
          <w:lang w:val="en-GB"/>
        </w:rPr>
        <w:t>2</w:t>
      </w:r>
      <w:r w:rsidRPr="00A726A9">
        <w:rPr>
          <w:sz w:val="20"/>
          <w:szCs w:val="20"/>
          <w:lang w:val="en-GB"/>
        </w:rPr>
        <w:t>Si</w:t>
      </w:r>
      <w:r w:rsidRPr="00A726A9">
        <w:rPr>
          <w:sz w:val="20"/>
          <w:szCs w:val="20"/>
          <w:vertAlign w:val="subscript"/>
          <w:lang w:val="en-GB"/>
        </w:rPr>
        <w:t>2</w:t>
      </w:r>
      <w:r w:rsidRPr="00A726A9">
        <w:rPr>
          <w:sz w:val="20"/>
          <w:szCs w:val="20"/>
          <w:lang w:val="en-GB"/>
        </w:rPr>
        <w:t>O</w:t>
      </w:r>
      <w:r w:rsidRPr="00A726A9">
        <w:rPr>
          <w:sz w:val="20"/>
          <w:szCs w:val="20"/>
          <w:vertAlign w:val="subscript"/>
          <w:lang w:val="en-GB"/>
        </w:rPr>
        <w:t>8</w:t>
      </w:r>
      <w:r w:rsidRPr="00A726A9">
        <w:rPr>
          <w:bCs/>
          <w:iCs/>
          <w:sz w:val="20"/>
          <w:szCs w:val="20"/>
        </w:rPr>
        <w:t xml:space="preserve"> (21.5%) and quartz SiO</w:t>
      </w:r>
      <w:r w:rsidRPr="00A726A9">
        <w:rPr>
          <w:bCs/>
          <w:iCs/>
          <w:sz w:val="20"/>
          <w:szCs w:val="20"/>
          <w:vertAlign w:val="subscript"/>
        </w:rPr>
        <w:t>2</w:t>
      </w:r>
      <w:r w:rsidRPr="00A726A9">
        <w:rPr>
          <w:bCs/>
          <w:iCs/>
          <w:sz w:val="20"/>
          <w:szCs w:val="20"/>
        </w:rPr>
        <w:t xml:space="preserve"> (4.6%) are in subordinate amounts. The same mineral composition was found in the original articles [3], but in different proportions: diopside (62.0%), palgioclase anorthite (37.0%), quartz (1%) and traces of wollastonite.</w:t>
      </w:r>
    </w:p>
    <w:p w:rsidR="00AF6FF8" w:rsidRDefault="00AF6FF8" w:rsidP="00A730AA">
      <w:pPr>
        <w:pStyle w:val="Default"/>
        <w:jc w:val="both"/>
        <w:rPr>
          <w:b/>
          <w:bCs/>
          <w:sz w:val="20"/>
          <w:szCs w:val="20"/>
        </w:rPr>
      </w:pPr>
    </w:p>
    <w:p w:rsidR="004A1EE8" w:rsidRDefault="004A1EE8" w:rsidP="00A730AA">
      <w:pPr>
        <w:pStyle w:val="Default"/>
        <w:jc w:val="both"/>
        <w:rPr>
          <w:b/>
          <w:bCs/>
          <w:sz w:val="20"/>
          <w:szCs w:val="20"/>
        </w:rPr>
      </w:pPr>
    </w:p>
    <w:p w:rsidR="00A726A9" w:rsidRDefault="00A726A9" w:rsidP="00A726A9">
      <w:pPr>
        <w:pStyle w:val="Default"/>
        <w:jc w:val="center"/>
        <w:rPr>
          <w:b/>
          <w:bCs/>
          <w:sz w:val="20"/>
          <w:szCs w:val="20"/>
        </w:rPr>
      </w:pPr>
      <w:r w:rsidRPr="00A726A9">
        <w:rPr>
          <w:rFonts w:ascii="Calibri" w:hAnsi="Calibri"/>
          <w:noProof/>
          <w:color w:val="auto"/>
          <w:sz w:val="22"/>
          <w:szCs w:val="22"/>
          <w:lang w:val="bg-BG" w:eastAsia="bg-BG"/>
        </w:rPr>
        <w:drawing>
          <wp:inline distT="0" distB="0" distL="0" distR="0" wp14:anchorId="0BBDB3DD" wp14:editId="07A9E760">
            <wp:extent cx="4825909" cy="3112477"/>
            <wp:effectExtent l="0" t="0" r="0" b="0"/>
            <wp:docPr id="13" name="Picture 13" descr="C:\Users\Marieta\Pictures\515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ta\Pictures\5151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867" cy="3122769"/>
                    </a:xfrm>
                    <a:prstGeom prst="rect">
                      <a:avLst/>
                    </a:prstGeom>
                    <a:noFill/>
                    <a:ln>
                      <a:noFill/>
                    </a:ln>
                  </pic:spPr>
                </pic:pic>
              </a:graphicData>
            </a:graphic>
          </wp:inline>
        </w:drawing>
      </w:r>
    </w:p>
    <w:p w:rsidR="00A726A9" w:rsidRDefault="00A726A9" w:rsidP="00A726A9">
      <w:pPr>
        <w:pStyle w:val="Default"/>
        <w:jc w:val="center"/>
        <w:rPr>
          <w:b/>
          <w:bCs/>
          <w:iCs/>
          <w:sz w:val="20"/>
          <w:szCs w:val="20"/>
        </w:rPr>
      </w:pPr>
      <w:r w:rsidRPr="00A726A9">
        <w:rPr>
          <w:b/>
          <w:bCs/>
          <w:iCs/>
          <w:sz w:val="20"/>
          <w:szCs w:val="20"/>
        </w:rPr>
        <w:t>Figure 3</w:t>
      </w:r>
      <w:r>
        <w:rPr>
          <w:b/>
          <w:bCs/>
          <w:iCs/>
          <w:sz w:val="20"/>
          <w:szCs w:val="20"/>
        </w:rPr>
        <w:t>:</w:t>
      </w:r>
      <w:r w:rsidRPr="00A726A9">
        <w:rPr>
          <w:b/>
          <w:bCs/>
          <w:iCs/>
          <w:sz w:val="20"/>
          <w:szCs w:val="20"/>
        </w:rPr>
        <w:t xml:space="preserve"> Powder X-ray diffraction of sample P1 (finished ceramic article).</w:t>
      </w:r>
    </w:p>
    <w:p w:rsidR="004A1EE8" w:rsidRDefault="004A1EE8" w:rsidP="00A726A9">
      <w:pPr>
        <w:pStyle w:val="Default"/>
        <w:jc w:val="center"/>
        <w:rPr>
          <w:b/>
          <w:bCs/>
          <w:iCs/>
          <w:sz w:val="20"/>
          <w:szCs w:val="20"/>
        </w:rPr>
      </w:pPr>
    </w:p>
    <w:p w:rsidR="00A726A9" w:rsidRPr="00A726A9" w:rsidRDefault="00A726A9" w:rsidP="00A726A9">
      <w:pPr>
        <w:pStyle w:val="Default"/>
        <w:jc w:val="center"/>
        <w:rPr>
          <w:b/>
          <w:bCs/>
          <w:iCs/>
          <w:sz w:val="20"/>
          <w:szCs w:val="20"/>
        </w:rPr>
      </w:pPr>
    </w:p>
    <w:p w:rsidR="00A726A9" w:rsidRDefault="00A726A9" w:rsidP="00A726A9">
      <w:pPr>
        <w:autoSpaceDE w:val="0"/>
        <w:autoSpaceDN w:val="0"/>
        <w:adjustRightInd w:val="0"/>
        <w:spacing w:after="0" w:line="240" w:lineRule="auto"/>
        <w:rPr>
          <w:b/>
          <w:bCs/>
          <w:i/>
          <w:iCs/>
          <w:color w:val="000000"/>
          <w:sz w:val="20"/>
          <w:szCs w:val="20"/>
          <w:lang w:val="en-US"/>
        </w:rPr>
      </w:pPr>
      <w:r w:rsidRPr="00A726A9">
        <w:rPr>
          <w:b/>
          <w:bCs/>
          <w:i/>
          <w:color w:val="000000"/>
          <w:sz w:val="20"/>
          <w:szCs w:val="20"/>
          <w:lang w:val="en-US"/>
        </w:rPr>
        <w:t>3.4.</w:t>
      </w:r>
      <w:r>
        <w:rPr>
          <w:b/>
          <w:bCs/>
          <w:color w:val="000000"/>
          <w:sz w:val="20"/>
          <w:szCs w:val="20"/>
          <w:lang w:val="en-US"/>
        </w:rPr>
        <w:t xml:space="preserve"> </w:t>
      </w:r>
      <w:r w:rsidRPr="00A726A9">
        <w:rPr>
          <w:b/>
          <w:bCs/>
          <w:i/>
          <w:iCs/>
          <w:color w:val="000000"/>
          <w:sz w:val="20"/>
          <w:szCs w:val="20"/>
          <w:lang w:val="en-US"/>
        </w:rPr>
        <w:t xml:space="preserve">Scanning electron microscope (SEM-EDS) study of metallographic specimens </w:t>
      </w:r>
    </w:p>
    <w:p w:rsidR="00A726A9" w:rsidRPr="00A726A9" w:rsidRDefault="00A726A9" w:rsidP="00A726A9">
      <w:pPr>
        <w:spacing w:after="0" w:line="240" w:lineRule="auto"/>
        <w:ind w:firstLine="708"/>
        <w:rPr>
          <w:sz w:val="20"/>
          <w:szCs w:val="20"/>
          <w:lang w:val="en-US"/>
        </w:rPr>
      </w:pPr>
      <w:r w:rsidRPr="00A726A9">
        <w:rPr>
          <w:sz w:val="20"/>
          <w:szCs w:val="20"/>
          <w:lang w:val="en-US"/>
        </w:rPr>
        <w:t>Scanning electron microscope examination of polished metallographic specimens of the new ceramics (Figure 4)  shows that its predominant mass is composed of wollastonite and diopside (Table 1).</w:t>
      </w:r>
    </w:p>
    <w:p w:rsidR="00A726A9" w:rsidRPr="00A726A9" w:rsidRDefault="00A726A9" w:rsidP="00A726A9">
      <w:pPr>
        <w:spacing w:after="0" w:line="240" w:lineRule="auto"/>
        <w:rPr>
          <w:sz w:val="20"/>
          <w:szCs w:val="20"/>
          <w:lang w:val="en-US"/>
        </w:rPr>
      </w:pPr>
      <w:r w:rsidRPr="00A726A9">
        <w:rPr>
          <w:sz w:val="20"/>
          <w:szCs w:val="20"/>
          <w:lang w:val="en-US"/>
        </w:rPr>
        <w:t>Wollastonite is characterized by crystals that possess idiomorphic to xenomorphic outlines. In addition to larger xenomorphic masses, it is also commonly found as clusters of microcrystals forming larger wollastonite aggregates. Unlike wollastonite, diopside exhibits mostly idiomorphic outlines of its short prismatic, plate-like crystals that have grown in different directions.</w:t>
      </w:r>
    </w:p>
    <w:p w:rsidR="00A726A9" w:rsidRPr="00A726A9" w:rsidRDefault="00A726A9" w:rsidP="00A726A9">
      <w:pPr>
        <w:spacing w:after="0" w:line="240" w:lineRule="auto"/>
        <w:rPr>
          <w:sz w:val="20"/>
          <w:szCs w:val="20"/>
          <w:lang w:val="en-US"/>
        </w:rPr>
      </w:pPr>
      <w:r w:rsidRPr="00A726A9">
        <w:rPr>
          <w:sz w:val="20"/>
          <w:szCs w:val="20"/>
          <w:lang w:val="en-US"/>
        </w:rPr>
        <w:t>Anorthite builds up a cryptocrystalline bulk that includes wollastonite, diopside and quartz.</w:t>
      </w:r>
    </w:p>
    <w:p w:rsidR="00A726A9" w:rsidRPr="00A726A9" w:rsidRDefault="00A726A9" w:rsidP="00A726A9">
      <w:pPr>
        <w:spacing w:after="0" w:line="240" w:lineRule="auto"/>
        <w:rPr>
          <w:sz w:val="20"/>
          <w:szCs w:val="20"/>
          <w:lang w:val="en-US"/>
        </w:rPr>
      </w:pPr>
      <w:r w:rsidRPr="00A726A9">
        <w:rPr>
          <w:sz w:val="20"/>
          <w:szCs w:val="20"/>
          <w:lang w:val="en-US"/>
        </w:rPr>
        <w:t>The quartz in the analyzed section is represented by rounded quartz grains up to about 50 µm in size. Its grains are ‘rimmed’ by a cluster of short prismatic wollastonite microcrystals, which penetrate it in places.</w:t>
      </w:r>
    </w:p>
    <w:p w:rsidR="00A726A9" w:rsidRPr="00A726A9" w:rsidRDefault="00A726A9" w:rsidP="00A726A9">
      <w:pPr>
        <w:spacing w:after="0" w:line="240" w:lineRule="auto"/>
        <w:rPr>
          <w:sz w:val="20"/>
          <w:szCs w:val="20"/>
          <w:lang w:val="en-US"/>
        </w:rPr>
      </w:pPr>
      <w:r w:rsidRPr="00A726A9">
        <w:rPr>
          <w:sz w:val="20"/>
          <w:szCs w:val="20"/>
          <w:lang w:val="en-US"/>
        </w:rPr>
        <w:t>Iron oxides are observed in clusters (up to about 50 µm in size) of multiple globules up to 1 µm in size. Due to their small size, they were only qualitatively analysed.</w:t>
      </w:r>
    </w:p>
    <w:p w:rsidR="00A726A9" w:rsidRPr="00A726A9" w:rsidRDefault="00A726A9" w:rsidP="00A726A9">
      <w:pPr>
        <w:spacing w:after="0" w:line="240" w:lineRule="auto"/>
        <w:rPr>
          <w:sz w:val="20"/>
          <w:szCs w:val="20"/>
          <w:lang w:val="en-US"/>
        </w:rPr>
      </w:pPr>
      <w:r w:rsidRPr="00A726A9">
        <w:rPr>
          <w:sz w:val="20"/>
          <w:szCs w:val="20"/>
          <w:lang w:val="en-US"/>
        </w:rPr>
        <w:t>Also observed in the examined metallographic specimens of the new ceramics are numerous closed micropores with sizes up to 100 µm.</w:t>
      </w:r>
    </w:p>
    <w:p w:rsidR="00D75B82" w:rsidRDefault="00A726A9" w:rsidP="00A726A9">
      <w:pPr>
        <w:spacing w:after="0" w:line="240" w:lineRule="auto"/>
        <w:jc w:val="center"/>
        <w:rPr>
          <w:color w:val="000000"/>
          <w:sz w:val="20"/>
          <w:szCs w:val="20"/>
          <w:lang w:val="en-US"/>
        </w:rPr>
      </w:pPr>
      <w:r w:rsidRPr="00A726A9">
        <w:rPr>
          <w:rFonts w:ascii="Calibri" w:hAnsi="Calibri"/>
          <w:noProof/>
          <w:sz w:val="22"/>
          <w:szCs w:val="22"/>
          <w:lang w:val="bg-BG" w:eastAsia="bg-BG"/>
        </w:rPr>
        <w:lastRenderedPageBreak/>
        <w:drawing>
          <wp:inline distT="0" distB="0" distL="0" distR="0" wp14:anchorId="602961CF" wp14:editId="2E9A2242">
            <wp:extent cx="4012523" cy="3200400"/>
            <wp:effectExtent l="19050" t="19050" r="26670" b="19050"/>
            <wp:docPr id="14" name="Picture 14" descr="C:\Users\Marieta\Pictures\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ta\Pictures\222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8777" cy="3213365"/>
                    </a:xfrm>
                    <a:prstGeom prst="rect">
                      <a:avLst/>
                    </a:prstGeom>
                    <a:noFill/>
                    <a:ln>
                      <a:solidFill>
                        <a:sysClr val="windowText" lastClr="000000"/>
                      </a:solidFill>
                    </a:ln>
                  </pic:spPr>
                </pic:pic>
              </a:graphicData>
            </a:graphic>
          </wp:inline>
        </w:drawing>
      </w:r>
    </w:p>
    <w:p w:rsidR="00A726A9" w:rsidRPr="00A726A9" w:rsidRDefault="00A726A9" w:rsidP="00A726A9">
      <w:pPr>
        <w:spacing w:after="0" w:line="240" w:lineRule="auto"/>
        <w:jc w:val="center"/>
        <w:rPr>
          <w:b/>
          <w:iCs/>
          <w:color w:val="000000"/>
          <w:sz w:val="20"/>
          <w:szCs w:val="20"/>
          <w:lang w:val="en-US"/>
        </w:rPr>
      </w:pPr>
      <w:r w:rsidRPr="00A726A9">
        <w:rPr>
          <w:b/>
          <w:iCs/>
          <w:color w:val="000000"/>
          <w:sz w:val="20"/>
          <w:szCs w:val="20"/>
          <w:lang w:val="en-US"/>
        </w:rPr>
        <w:t>Figure 4</w:t>
      </w:r>
      <w:r>
        <w:rPr>
          <w:b/>
          <w:iCs/>
          <w:color w:val="000000"/>
          <w:sz w:val="20"/>
          <w:szCs w:val="20"/>
          <w:lang w:val="en-US"/>
        </w:rPr>
        <w:t>:</w:t>
      </w:r>
      <w:r w:rsidRPr="00A726A9">
        <w:rPr>
          <w:b/>
          <w:iCs/>
          <w:color w:val="000000"/>
          <w:sz w:val="20"/>
          <w:szCs w:val="20"/>
          <w:lang w:val="en-US"/>
        </w:rPr>
        <w:t xml:space="preserve"> Backscattered electrons image of a new ceramic product.</w:t>
      </w:r>
    </w:p>
    <w:p w:rsidR="00A726A9" w:rsidRDefault="00A726A9" w:rsidP="00A726A9">
      <w:pPr>
        <w:spacing w:after="0" w:line="240" w:lineRule="auto"/>
        <w:jc w:val="center"/>
        <w:rPr>
          <w:color w:val="000000"/>
          <w:sz w:val="20"/>
          <w:szCs w:val="20"/>
          <w:lang w:val="en-US"/>
        </w:rPr>
      </w:pPr>
    </w:p>
    <w:p w:rsidR="00A726A9" w:rsidRDefault="00A726A9" w:rsidP="00A726A9">
      <w:pPr>
        <w:spacing w:after="0" w:line="240" w:lineRule="auto"/>
        <w:jc w:val="center"/>
        <w:rPr>
          <w:color w:val="000000"/>
          <w:sz w:val="20"/>
          <w:szCs w:val="20"/>
          <w:lang w:val="en-US"/>
        </w:rPr>
      </w:pPr>
    </w:p>
    <w:p w:rsidR="00A726A9" w:rsidRPr="00A726A9" w:rsidRDefault="00A726A9" w:rsidP="00A726A9">
      <w:pPr>
        <w:spacing w:after="0" w:line="240" w:lineRule="auto"/>
        <w:jc w:val="center"/>
        <w:rPr>
          <w:b/>
          <w:iCs/>
          <w:color w:val="000000"/>
          <w:sz w:val="20"/>
          <w:szCs w:val="20"/>
          <w:lang w:val="en-US"/>
        </w:rPr>
      </w:pPr>
      <w:r w:rsidRPr="00144FCB">
        <w:rPr>
          <w:b/>
          <w:iCs/>
          <w:color w:val="000000"/>
          <w:sz w:val="20"/>
          <w:szCs w:val="20"/>
          <w:lang w:val="en-US"/>
        </w:rPr>
        <w:t>Table I</w:t>
      </w:r>
      <w:r w:rsidR="004A1EE8">
        <w:rPr>
          <w:b/>
          <w:iCs/>
          <w:color w:val="000000"/>
          <w:sz w:val="20"/>
          <w:szCs w:val="20"/>
          <w:lang w:val="en-US"/>
        </w:rPr>
        <w:t>:</w:t>
      </w:r>
      <w:r w:rsidRPr="00A726A9">
        <w:rPr>
          <w:iCs/>
          <w:color w:val="000000"/>
          <w:sz w:val="20"/>
          <w:szCs w:val="20"/>
          <w:lang w:val="en-US"/>
        </w:rPr>
        <w:t xml:space="preserve"> </w:t>
      </w:r>
      <w:r w:rsidRPr="00A726A9">
        <w:rPr>
          <w:b/>
          <w:iCs/>
          <w:color w:val="000000"/>
          <w:sz w:val="20"/>
          <w:szCs w:val="20"/>
          <w:lang w:val="en-US"/>
        </w:rPr>
        <w:t xml:space="preserve">Chemical composition of quartz, anorthite, wollastonite and diopside obtained by using </w:t>
      </w:r>
      <w:smartTag w:uri="urn:schemas-microsoft-com:office:smarttags" w:element="stockticker">
        <w:r w:rsidRPr="00A726A9">
          <w:rPr>
            <w:b/>
            <w:iCs/>
            <w:color w:val="000000"/>
            <w:sz w:val="20"/>
            <w:szCs w:val="20"/>
            <w:lang w:val="en-US"/>
          </w:rPr>
          <w:t>SEM</w:t>
        </w:r>
      </w:smartTag>
      <w:r w:rsidRPr="00A726A9">
        <w:rPr>
          <w:b/>
          <w:iCs/>
          <w:color w:val="000000"/>
          <w:sz w:val="20"/>
          <w:szCs w:val="20"/>
          <w:lang w:val="en-US"/>
        </w:rPr>
        <w:t>-</w:t>
      </w:r>
      <w:smartTag w:uri="urn:schemas-microsoft-com:office:smarttags" w:element="stockticker">
        <w:r w:rsidRPr="00A726A9">
          <w:rPr>
            <w:b/>
            <w:iCs/>
            <w:color w:val="000000"/>
            <w:sz w:val="20"/>
            <w:szCs w:val="20"/>
            <w:lang w:val="en-US"/>
          </w:rPr>
          <w:t>EDS</w:t>
        </w:r>
      </w:smartTag>
      <w:r w:rsidRPr="00A726A9">
        <w:rPr>
          <w:b/>
          <w:iCs/>
          <w:color w:val="000000"/>
          <w:sz w:val="20"/>
          <w:szCs w:val="20"/>
          <w:lang w:val="en-US"/>
        </w:rPr>
        <w:t xml:space="preserv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093"/>
        <w:gridCol w:w="1123"/>
        <w:gridCol w:w="1361"/>
        <w:gridCol w:w="1361"/>
        <w:gridCol w:w="1073"/>
        <w:gridCol w:w="1073"/>
      </w:tblGrid>
      <w:tr w:rsidR="00A726A9" w:rsidRPr="00A726A9" w:rsidTr="003F269E">
        <w:trPr>
          <w:trHeight w:val="335"/>
          <w:jc w:val="center"/>
        </w:trPr>
        <w:tc>
          <w:tcPr>
            <w:tcW w:w="1072" w:type="dxa"/>
            <w:shd w:val="clear" w:color="auto" w:fill="D9D9D9"/>
            <w:vAlign w:val="center"/>
          </w:tcPr>
          <w:p w:rsidR="00A726A9" w:rsidRPr="00A726A9" w:rsidRDefault="00A726A9" w:rsidP="00A726A9">
            <w:pPr>
              <w:spacing w:after="0" w:line="240" w:lineRule="auto"/>
              <w:jc w:val="center"/>
              <w:rPr>
                <w:color w:val="000000"/>
                <w:sz w:val="20"/>
                <w:szCs w:val="20"/>
                <w:lang w:val="en-US"/>
              </w:rPr>
            </w:pPr>
            <w:bookmarkStart w:id="3" w:name="_Hlk170470400"/>
          </w:p>
        </w:tc>
        <w:tc>
          <w:tcPr>
            <w:tcW w:w="1093"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1</w:t>
            </w:r>
          </w:p>
        </w:tc>
        <w:tc>
          <w:tcPr>
            <w:tcW w:w="1123"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2</w:t>
            </w:r>
          </w:p>
        </w:tc>
        <w:tc>
          <w:tcPr>
            <w:tcW w:w="1361"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3</w:t>
            </w:r>
          </w:p>
        </w:tc>
        <w:tc>
          <w:tcPr>
            <w:tcW w:w="1361"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6</w:t>
            </w:r>
          </w:p>
        </w:tc>
        <w:tc>
          <w:tcPr>
            <w:tcW w:w="1073"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4</w:t>
            </w:r>
          </w:p>
        </w:tc>
        <w:tc>
          <w:tcPr>
            <w:tcW w:w="1073" w:type="dxa"/>
            <w:shd w:val="clear" w:color="auto" w:fill="D9D9D9"/>
            <w:vAlign w:val="center"/>
          </w:tcPr>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5</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SiO</w:t>
            </w:r>
            <w:r w:rsidRPr="00A726A9">
              <w:rPr>
                <w:color w:val="000000"/>
                <w:sz w:val="20"/>
                <w:szCs w:val="20"/>
                <w:vertAlign w:val="subscript"/>
                <w:lang w:val="en-US"/>
              </w:rPr>
              <w:t>2</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48.08</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53.82</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53.58</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44.15</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40.97</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TiO</w:t>
            </w:r>
            <w:r w:rsidRPr="00A726A9">
              <w:rPr>
                <w:color w:val="000000"/>
                <w:sz w:val="20"/>
                <w:szCs w:val="20"/>
                <w:vertAlign w:val="subscript"/>
                <w:lang w:val="en-US"/>
              </w:rPr>
              <w:t>2</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1.79</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Al</w:t>
            </w:r>
            <w:r w:rsidRPr="00A726A9">
              <w:rPr>
                <w:color w:val="000000"/>
                <w:sz w:val="20"/>
                <w:szCs w:val="20"/>
                <w:vertAlign w:val="subscript"/>
                <w:lang w:val="en-US"/>
              </w:rPr>
              <w:t>2</w:t>
            </w:r>
            <w:r w:rsidRPr="00A726A9">
              <w:rPr>
                <w:color w:val="000000"/>
                <w:sz w:val="20"/>
                <w:szCs w:val="20"/>
                <w:lang w:val="en-US"/>
              </w:rPr>
              <w:t>O</w:t>
            </w:r>
            <w:r w:rsidRPr="00A726A9">
              <w:rPr>
                <w:color w:val="000000"/>
                <w:sz w:val="20"/>
                <w:szCs w:val="20"/>
                <w:vertAlign w:val="subscript"/>
                <w:lang w:val="en-US"/>
              </w:rPr>
              <w:t>3</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30.91</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3.00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4.13</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13.33</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13.23</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FeO</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2.16</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10.21</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12.44</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MgO</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1.31</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0.91</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6.70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7.17</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CaO</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17.17</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40.28</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40.91</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20.46</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23.71</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Na</w:t>
            </w:r>
            <w:r w:rsidRPr="00A726A9">
              <w:rPr>
                <w:color w:val="000000"/>
                <w:sz w:val="20"/>
                <w:szCs w:val="20"/>
                <w:vertAlign w:val="subscript"/>
                <w:lang w:val="en-US"/>
              </w:rPr>
              <w:t>2</w:t>
            </w:r>
            <w:r w:rsidRPr="00A726A9">
              <w:rPr>
                <w:color w:val="000000"/>
                <w:sz w:val="20"/>
                <w:szCs w:val="20"/>
                <w:lang w:val="en-US"/>
              </w:rPr>
              <w:t>O</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0.70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0.20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0.32</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K</w:t>
            </w:r>
            <w:r w:rsidRPr="00A726A9">
              <w:rPr>
                <w:color w:val="000000"/>
                <w:sz w:val="20"/>
                <w:szCs w:val="20"/>
                <w:vertAlign w:val="subscript"/>
                <w:lang w:val="en-US"/>
              </w:rPr>
              <w:t>2</w:t>
            </w:r>
            <w:r w:rsidRPr="00A726A9">
              <w:rPr>
                <w:color w:val="000000"/>
                <w:sz w:val="20"/>
                <w:szCs w:val="20"/>
                <w:lang w:val="en-US"/>
              </w:rPr>
              <w:t>O</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0.98</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1.60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0.47</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3.95</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0.38</w:t>
            </w:r>
          </w:p>
        </w:tc>
      </w:tr>
      <w:tr w:rsidR="00A726A9" w:rsidRPr="00A726A9" w:rsidTr="003F269E">
        <w:trPr>
          <w:trHeight w:val="477"/>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Ʃ</w:t>
            </w: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100.00</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100.00</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100.01</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100.00</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color w:val="000000"/>
                <w:sz w:val="20"/>
                <w:szCs w:val="20"/>
                <w:lang w:val="en-US"/>
              </w:rPr>
              <w:t>100.01</w:t>
            </w:r>
          </w:p>
        </w:tc>
      </w:tr>
      <w:tr w:rsidR="00A726A9" w:rsidRPr="00A726A9" w:rsidTr="003F269E">
        <w:trPr>
          <w:trHeight w:val="581"/>
          <w:jc w:val="center"/>
        </w:trPr>
        <w:tc>
          <w:tcPr>
            <w:tcW w:w="1072" w:type="dxa"/>
            <w:shd w:val="clear" w:color="auto" w:fill="DAE9F7"/>
            <w:vAlign w:val="center"/>
          </w:tcPr>
          <w:p w:rsidR="00A726A9" w:rsidRPr="00A726A9" w:rsidRDefault="00A726A9" w:rsidP="00A726A9">
            <w:pPr>
              <w:spacing w:after="0" w:line="240" w:lineRule="auto"/>
              <w:jc w:val="center"/>
              <w:rPr>
                <w:color w:val="000000"/>
                <w:sz w:val="20"/>
                <w:szCs w:val="20"/>
                <w:lang w:val="en-US"/>
              </w:rPr>
            </w:pPr>
          </w:p>
        </w:tc>
        <w:tc>
          <w:tcPr>
            <w:tcW w:w="109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quartz</w:t>
            </w:r>
          </w:p>
        </w:tc>
        <w:tc>
          <w:tcPr>
            <w:tcW w:w="112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anorthite</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wollastonite</w:t>
            </w:r>
          </w:p>
        </w:tc>
        <w:tc>
          <w:tcPr>
            <w:tcW w:w="1361"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 xml:space="preserve">wollastonite </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diopside</w:t>
            </w:r>
          </w:p>
        </w:tc>
        <w:tc>
          <w:tcPr>
            <w:tcW w:w="1073" w:type="dxa"/>
            <w:shd w:val="clear" w:color="auto" w:fill="auto"/>
            <w:vAlign w:val="center"/>
          </w:tcPr>
          <w:p w:rsidR="00A726A9" w:rsidRPr="00A726A9" w:rsidRDefault="00A726A9" w:rsidP="00A726A9">
            <w:pPr>
              <w:spacing w:after="0" w:line="240" w:lineRule="auto"/>
              <w:jc w:val="center"/>
              <w:rPr>
                <w:color w:val="000000"/>
                <w:sz w:val="20"/>
                <w:szCs w:val="20"/>
                <w:lang w:val="en-US"/>
              </w:rPr>
            </w:pPr>
            <w:r w:rsidRPr="00A726A9">
              <w:rPr>
                <w:i/>
                <w:iCs/>
                <w:color w:val="000000"/>
                <w:sz w:val="20"/>
                <w:szCs w:val="20"/>
                <w:lang w:val="en-US"/>
              </w:rPr>
              <w:t>diopside</w:t>
            </w:r>
          </w:p>
        </w:tc>
      </w:tr>
      <w:bookmarkEnd w:id="3"/>
    </w:tbl>
    <w:p w:rsidR="00A726A9" w:rsidRDefault="00A726A9" w:rsidP="00A726A9">
      <w:pPr>
        <w:spacing w:after="0" w:line="240" w:lineRule="auto"/>
        <w:jc w:val="center"/>
        <w:rPr>
          <w:color w:val="000000"/>
          <w:sz w:val="20"/>
          <w:szCs w:val="20"/>
          <w:lang w:val="en-US"/>
        </w:rPr>
      </w:pPr>
    </w:p>
    <w:p w:rsidR="00A726A9" w:rsidRPr="00A726A9" w:rsidRDefault="00A726A9" w:rsidP="00A726A9">
      <w:pPr>
        <w:spacing w:after="0" w:line="240" w:lineRule="auto"/>
        <w:ind w:firstLine="708"/>
        <w:rPr>
          <w:color w:val="000000"/>
          <w:sz w:val="20"/>
          <w:szCs w:val="20"/>
          <w:lang w:val="en-US"/>
        </w:rPr>
      </w:pPr>
      <w:r w:rsidRPr="00A726A9">
        <w:rPr>
          <w:color w:val="000000"/>
          <w:sz w:val="20"/>
          <w:szCs w:val="20"/>
          <w:lang w:val="en-US"/>
        </w:rPr>
        <w:t>Figure 5 shows a triple diagram of pyroxenes composition.</w:t>
      </w:r>
    </w:p>
    <w:p w:rsidR="00A726A9" w:rsidRDefault="00A726A9" w:rsidP="00A726A9">
      <w:pPr>
        <w:spacing w:after="0" w:line="240" w:lineRule="auto"/>
        <w:jc w:val="center"/>
        <w:rPr>
          <w:color w:val="000000"/>
          <w:sz w:val="20"/>
          <w:szCs w:val="20"/>
          <w:lang w:val="en-US"/>
        </w:rPr>
      </w:pPr>
    </w:p>
    <w:p w:rsidR="00A726A9" w:rsidRDefault="00A726A9" w:rsidP="00A726A9">
      <w:pPr>
        <w:spacing w:after="0" w:line="240" w:lineRule="auto"/>
        <w:jc w:val="center"/>
        <w:rPr>
          <w:color w:val="000000"/>
          <w:sz w:val="20"/>
          <w:szCs w:val="20"/>
          <w:lang w:val="en-US"/>
        </w:rPr>
      </w:pPr>
      <w:r w:rsidRPr="00A726A9">
        <w:rPr>
          <w:rFonts w:ascii="Calibri" w:hAnsi="Calibri"/>
          <w:noProof/>
          <w:sz w:val="22"/>
          <w:szCs w:val="22"/>
          <w:lang w:val="bg-BG" w:eastAsia="bg-BG"/>
        </w:rPr>
        <w:lastRenderedPageBreak/>
        <w:drawing>
          <wp:inline distT="0" distB="0" distL="0" distR="0" wp14:anchorId="171BC74E" wp14:editId="1FB9BF73">
            <wp:extent cx="5396865" cy="2393626"/>
            <wp:effectExtent l="19050" t="19050" r="13335" b="26035"/>
            <wp:docPr id="15" name="Picture 15" descr="C:\Users\Marieta\Pictures\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ta\Pictures\0101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6" t="-1191" r="-726" b="-1191"/>
                    <a:stretch/>
                  </pic:blipFill>
                  <pic:spPr bwMode="auto">
                    <a:xfrm>
                      <a:off x="0" y="0"/>
                      <a:ext cx="5396865" cy="2393626"/>
                    </a:xfrm>
                    <a:prstGeom prst="rect">
                      <a:avLst/>
                    </a:prstGeom>
                    <a:noFill/>
                    <a:ln>
                      <a:solidFill>
                        <a:sysClr val="windowText" lastClr="000000"/>
                      </a:solidFill>
                    </a:ln>
                  </pic:spPr>
                </pic:pic>
              </a:graphicData>
            </a:graphic>
          </wp:inline>
        </w:drawing>
      </w:r>
    </w:p>
    <w:p w:rsidR="00A726A9" w:rsidRPr="00A726A9" w:rsidRDefault="00A726A9" w:rsidP="00A726A9">
      <w:pPr>
        <w:spacing w:after="0" w:line="240" w:lineRule="auto"/>
        <w:jc w:val="center"/>
        <w:rPr>
          <w:b/>
          <w:color w:val="000000"/>
          <w:sz w:val="20"/>
          <w:szCs w:val="20"/>
          <w:lang w:val="en-US"/>
        </w:rPr>
      </w:pPr>
      <w:r w:rsidRPr="00A726A9">
        <w:rPr>
          <w:b/>
          <w:color w:val="000000"/>
          <w:sz w:val="20"/>
          <w:szCs w:val="20"/>
          <w:lang w:val="en-US"/>
        </w:rPr>
        <w:t>Figure 5</w:t>
      </w:r>
      <w:r>
        <w:rPr>
          <w:b/>
          <w:color w:val="000000"/>
          <w:sz w:val="20"/>
          <w:szCs w:val="20"/>
          <w:lang w:val="en-US"/>
        </w:rPr>
        <w:t>:</w:t>
      </w:r>
      <w:r w:rsidRPr="00A726A9">
        <w:rPr>
          <w:b/>
          <w:color w:val="000000"/>
          <w:sz w:val="20"/>
          <w:szCs w:val="20"/>
          <w:lang w:val="en-US"/>
        </w:rPr>
        <w:t xml:space="preserve"> Triple diagram (Wo-En-Fs) of pyroxenes composition [12], [13].</w:t>
      </w:r>
    </w:p>
    <w:p w:rsidR="00A726A9" w:rsidRPr="00B26C1C" w:rsidRDefault="00A726A9" w:rsidP="00A726A9">
      <w:pPr>
        <w:spacing w:after="0" w:line="240" w:lineRule="auto"/>
        <w:jc w:val="center"/>
        <w:rPr>
          <w:color w:val="000000"/>
          <w:sz w:val="20"/>
          <w:szCs w:val="20"/>
          <w:lang w:val="en-US"/>
        </w:rPr>
      </w:pPr>
    </w:p>
    <w:p w:rsidR="00DA7C4F" w:rsidRPr="00B26C1C" w:rsidRDefault="00DA7C4F" w:rsidP="003D5B33">
      <w:pPr>
        <w:spacing w:after="0" w:line="240" w:lineRule="auto"/>
        <w:jc w:val="center"/>
        <w:rPr>
          <w:color w:val="FF0000"/>
          <w:sz w:val="20"/>
          <w:szCs w:val="20"/>
          <w:lang w:val="en-US"/>
        </w:rPr>
      </w:pPr>
    </w:p>
    <w:p w:rsidR="00A726A9" w:rsidRPr="00A726A9" w:rsidRDefault="00A726A9" w:rsidP="00A726A9">
      <w:pPr>
        <w:spacing w:after="0" w:line="240" w:lineRule="auto"/>
        <w:ind w:firstLine="708"/>
        <w:rPr>
          <w:sz w:val="20"/>
          <w:szCs w:val="20"/>
          <w:lang w:val="en-US"/>
        </w:rPr>
      </w:pPr>
      <w:r w:rsidRPr="00A726A9">
        <w:rPr>
          <w:sz w:val="20"/>
          <w:szCs w:val="20"/>
          <w:lang w:val="en-US"/>
        </w:rPr>
        <w:t xml:space="preserve">The percentage contents of the major oxides for the different mineral phases – quartz, anorthite, wollastonite and diopside – are presented in Table 1. The composition of diopside corresponds to the fassaite type according to the nomenclature of pyroxenes [13], placed on a triangular diagram with end members wollastonite, enstatite, and ferrosilite (Figure 5). This mineral composition corresponds to that of the original yellow pavers [11]. </w:t>
      </w:r>
    </w:p>
    <w:p w:rsidR="003D5B33" w:rsidRDefault="003D5B33" w:rsidP="00A730AA">
      <w:pPr>
        <w:spacing w:after="0" w:line="240" w:lineRule="auto"/>
        <w:rPr>
          <w:b/>
          <w:bCs/>
          <w:i/>
          <w:iCs/>
          <w:sz w:val="20"/>
          <w:szCs w:val="20"/>
          <w:lang w:val="en-US"/>
        </w:rPr>
      </w:pPr>
    </w:p>
    <w:p w:rsidR="00A726A9" w:rsidRDefault="00A726A9" w:rsidP="00A726A9">
      <w:pPr>
        <w:spacing w:after="0" w:line="240" w:lineRule="auto"/>
        <w:rPr>
          <w:b/>
          <w:bCs/>
          <w:i/>
          <w:iCs/>
          <w:sz w:val="20"/>
          <w:szCs w:val="20"/>
          <w:lang w:val="en-US"/>
        </w:rPr>
      </w:pPr>
      <w:r w:rsidRPr="00A726A9">
        <w:rPr>
          <w:b/>
          <w:bCs/>
          <w:i/>
          <w:iCs/>
          <w:sz w:val="20"/>
          <w:szCs w:val="20"/>
          <w:lang w:val="en-US"/>
        </w:rPr>
        <w:t>3.5. Tomographic analysis</w:t>
      </w:r>
    </w:p>
    <w:p w:rsidR="008E7AAD" w:rsidRDefault="00A726A9" w:rsidP="008E7AAD">
      <w:pPr>
        <w:spacing w:after="0" w:line="240" w:lineRule="auto"/>
        <w:ind w:firstLine="708"/>
        <w:rPr>
          <w:bCs/>
          <w:iCs/>
          <w:sz w:val="20"/>
          <w:szCs w:val="20"/>
          <w:lang w:val="en-US"/>
        </w:rPr>
      </w:pPr>
      <w:r w:rsidRPr="00A726A9">
        <w:rPr>
          <w:bCs/>
          <w:iCs/>
          <w:sz w:val="20"/>
          <w:szCs w:val="20"/>
          <w:lang w:val="en-US"/>
        </w:rPr>
        <w:t>The computed tomography method was used to obtain information about the volume of the material as well as to calculate the porosity. A 3D X-ray micro-tomograph SkyScan 1272 was used to perform a tomographic examination of an irregularly shaped specimen with approximate dimensions of 12 x 13 x (11 mm wide at its widest part and 3.5 mm wide at its narrowest part). The selected scan settings were as follows: source voltage 100 kV, source current 100 µA, pixel size 16,1999 µm, Cu filter 0,11mm, resolution: 1632 x 1092 pxl, full rotation of the specimen with 0,4º rotation step. After scanning, a reconstruction of the specimen was performed (using NRecon software), in which the resulting X-ray projections were “assembled” to produce a digital model of the specimen. Using CTVox software, a visualisation of the specimen has been obtained, so that it can be viewed from all sides and sections in different cross-sections can be made. CTAn software was used to calculate various geometric parameters, in this case yielding data on closed, open and total porosity, pore diameters and their percentage distribution in the specimen volume. Figure 6a shows visualizations of the specimen r</w:t>
      </w:r>
      <w:r w:rsidR="008E7AAD">
        <w:rPr>
          <w:bCs/>
          <w:iCs/>
          <w:sz w:val="20"/>
          <w:szCs w:val="20"/>
          <w:lang w:val="en-US"/>
        </w:rPr>
        <w:t>otating along its vertical axis</w:t>
      </w:r>
    </w:p>
    <w:p w:rsidR="00A726A9" w:rsidRPr="008E7AAD" w:rsidRDefault="008E7AAD" w:rsidP="008E7AAD">
      <w:pPr>
        <w:spacing w:after="0" w:line="240" w:lineRule="auto"/>
        <w:jc w:val="center"/>
        <w:rPr>
          <w:bCs/>
          <w:iCs/>
          <w:sz w:val="20"/>
          <w:szCs w:val="20"/>
          <w:lang w:val="en-US"/>
        </w:rPr>
      </w:pPr>
      <w:r w:rsidRPr="008E7AAD">
        <w:rPr>
          <w:rFonts w:ascii="Calibri" w:hAnsi="Calibri"/>
          <w:noProof/>
          <w:sz w:val="22"/>
          <w:szCs w:val="22"/>
          <w:lang w:val="bg-BG" w:eastAsia="bg-BG"/>
        </w:rPr>
        <w:lastRenderedPageBreak/>
        <w:drawing>
          <wp:inline distT="0" distB="0" distL="0" distR="0" wp14:anchorId="26590B33" wp14:editId="410F68D6">
            <wp:extent cx="5469978" cy="3579725"/>
            <wp:effectExtent l="0" t="0" r="0" b="0"/>
            <wp:docPr id="16" name="Picture 16" descr="C:\Users\Marieta\Pictures\32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ta\Pictures\3212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344" cy="3587163"/>
                    </a:xfrm>
                    <a:prstGeom prst="rect">
                      <a:avLst/>
                    </a:prstGeom>
                    <a:noFill/>
                    <a:ln>
                      <a:noFill/>
                    </a:ln>
                  </pic:spPr>
                </pic:pic>
              </a:graphicData>
            </a:graphic>
          </wp:inline>
        </w:drawing>
      </w:r>
    </w:p>
    <w:p w:rsidR="008E7AAD" w:rsidRPr="008E7AAD" w:rsidRDefault="008E7AAD" w:rsidP="008E7AAD">
      <w:pPr>
        <w:spacing w:after="0" w:line="240" w:lineRule="auto"/>
        <w:jc w:val="center"/>
        <w:rPr>
          <w:b/>
          <w:bCs/>
          <w:iCs/>
          <w:sz w:val="20"/>
          <w:szCs w:val="20"/>
          <w:lang w:val="en-US"/>
        </w:rPr>
      </w:pPr>
      <w:r>
        <w:rPr>
          <w:b/>
          <w:bCs/>
          <w:iCs/>
          <w:sz w:val="20"/>
          <w:szCs w:val="20"/>
          <w:lang w:val="en-US"/>
        </w:rPr>
        <w:t>Figure 6:</w:t>
      </w:r>
      <w:r w:rsidRPr="008E7AAD">
        <w:rPr>
          <w:b/>
          <w:bCs/>
          <w:iCs/>
          <w:sz w:val="20"/>
          <w:szCs w:val="20"/>
          <w:lang w:val="en-US"/>
        </w:rPr>
        <w:t xml:space="preserve"> Visualizations of the specimen rotating along its vertical axis.</w:t>
      </w:r>
    </w:p>
    <w:p w:rsidR="008E7AAD" w:rsidRPr="008E7AAD" w:rsidRDefault="008E7AAD" w:rsidP="008E7AAD">
      <w:pPr>
        <w:spacing w:after="0" w:line="240" w:lineRule="auto"/>
        <w:jc w:val="center"/>
        <w:rPr>
          <w:b/>
          <w:bCs/>
          <w:iCs/>
          <w:sz w:val="20"/>
          <w:szCs w:val="20"/>
          <w:lang w:val="en-US"/>
        </w:rPr>
      </w:pPr>
    </w:p>
    <w:p w:rsidR="008E7AAD" w:rsidRPr="008E7AAD" w:rsidRDefault="008E7AAD" w:rsidP="008E7AAD">
      <w:pPr>
        <w:spacing w:after="0" w:line="240" w:lineRule="auto"/>
        <w:ind w:firstLine="708"/>
        <w:rPr>
          <w:bCs/>
          <w:iCs/>
          <w:sz w:val="20"/>
          <w:szCs w:val="20"/>
          <w:lang w:val="en-US"/>
        </w:rPr>
      </w:pPr>
      <w:r w:rsidRPr="008E7AAD">
        <w:rPr>
          <w:bCs/>
          <w:iCs/>
          <w:sz w:val="20"/>
          <w:szCs w:val="20"/>
          <w:lang w:val="en-US"/>
        </w:rPr>
        <w:t>Figure 7 shows longitudinal cross-sections of the scanned specimen. Pores limited in size and frequency (the darker patches) as well as particles denser than the parent material (lighter in color) are observed.</w:t>
      </w:r>
    </w:p>
    <w:p w:rsidR="008E7AAD" w:rsidRDefault="008E7AAD" w:rsidP="008E7AAD">
      <w:pPr>
        <w:spacing w:after="0" w:line="240" w:lineRule="auto"/>
        <w:rPr>
          <w:bCs/>
          <w:iCs/>
          <w:sz w:val="20"/>
          <w:szCs w:val="20"/>
          <w:lang w:val="en-US"/>
        </w:rPr>
      </w:pPr>
    </w:p>
    <w:p w:rsidR="008E7AAD" w:rsidRDefault="008E7AAD" w:rsidP="008E7AAD">
      <w:pPr>
        <w:spacing w:after="0" w:line="240" w:lineRule="auto"/>
        <w:jc w:val="center"/>
        <w:rPr>
          <w:bCs/>
          <w:iCs/>
          <w:sz w:val="20"/>
          <w:szCs w:val="20"/>
          <w:lang w:val="en-US"/>
        </w:rPr>
      </w:pPr>
      <w:r w:rsidRPr="008E7AAD">
        <w:rPr>
          <w:rFonts w:ascii="Calibri" w:hAnsi="Calibri"/>
          <w:noProof/>
          <w:sz w:val="22"/>
          <w:szCs w:val="22"/>
          <w:lang w:val="bg-BG" w:eastAsia="bg-BG"/>
        </w:rPr>
        <w:drawing>
          <wp:inline distT="0" distB="0" distL="0" distR="0" wp14:anchorId="3DADE820" wp14:editId="53AED75C">
            <wp:extent cx="5396865" cy="3479526"/>
            <wp:effectExtent l="0" t="0" r="0" b="6985"/>
            <wp:docPr id="17" name="Picture 17" descr="C:\Users\Marieta\Pictures\0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ta\Pictures\030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865" cy="3479526"/>
                    </a:xfrm>
                    <a:prstGeom prst="rect">
                      <a:avLst/>
                    </a:prstGeom>
                    <a:noFill/>
                    <a:ln>
                      <a:noFill/>
                    </a:ln>
                  </pic:spPr>
                </pic:pic>
              </a:graphicData>
            </a:graphic>
          </wp:inline>
        </w:drawing>
      </w:r>
    </w:p>
    <w:p w:rsidR="008E7AAD" w:rsidRPr="008E7AAD" w:rsidRDefault="008E7AAD" w:rsidP="008E7AAD">
      <w:pPr>
        <w:spacing w:after="0" w:line="240" w:lineRule="auto"/>
        <w:jc w:val="center"/>
        <w:rPr>
          <w:b/>
          <w:bCs/>
          <w:iCs/>
          <w:sz w:val="20"/>
          <w:szCs w:val="20"/>
          <w:lang w:val="en-US"/>
        </w:rPr>
      </w:pPr>
      <w:r w:rsidRPr="008E7AAD">
        <w:rPr>
          <w:b/>
          <w:bCs/>
          <w:iCs/>
          <w:sz w:val="20"/>
          <w:szCs w:val="20"/>
          <w:lang w:val="en-US"/>
        </w:rPr>
        <w:t>Figure</w:t>
      </w:r>
      <w:r>
        <w:rPr>
          <w:b/>
          <w:bCs/>
          <w:iCs/>
          <w:sz w:val="20"/>
          <w:szCs w:val="20"/>
          <w:lang w:val="en-US"/>
        </w:rPr>
        <w:t xml:space="preserve"> 7:</w:t>
      </w:r>
      <w:r w:rsidRPr="008E7AAD">
        <w:rPr>
          <w:b/>
          <w:bCs/>
          <w:iCs/>
          <w:sz w:val="20"/>
          <w:szCs w:val="20"/>
          <w:lang w:val="en-US"/>
        </w:rPr>
        <w:t xml:space="preserve"> Longitudinal cross-sections of the specimen.</w:t>
      </w:r>
    </w:p>
    <w:p w:rsidR="008E7AAD" w:rsidRDefault="008E7AAD" w:rsidP="00A730AA">
      <w:pPr>
        <w:spacing w:after="0" w:line="240" w:lineRule="auto"/>
        <w:rPr>
          <w:bCs/>
          <w:iCs/>
          <w:sz w:val="20"/>
          <w:szCs w:val="20"/>
          <w:lang w:val="en-US"/>
        </w:rPr>
      </w:pPr>
    </w:p>
    <w:p w:rsidR="008E7AAD" w:rsidRPr="008E7AAD" w:rsidRDefault="008E7AAD" w:rsidP="008E7AAD">
      <w:pPr>
        <w:spacing w:after="0" w:line="240" w:lineRule="auto"/>
        <w:ind w:firstLine="708"/>
        <w:rPr>
          <w:bCs/>
          <w:iCs/>
          <w:sz w:val="20"/>
          <w:szCs w:val="20"/>
          <w:lang w:val="en-US"/>
        </w:rPr>
      </w:pPr>
      <w:r w:rsidRPr="008E7AAD">
        <w:rPr>
          <w:bCs/>
          <w:iCs/>
          <w:sz w:val="20"/>
          <w:szCs w:val="20"/>
          <w:lang w:val="en-US"/>
        </w:rPr>
        <w:t>In Figure 8 are shown cross-sectional sections of the specimen.  Single pores as well as denser particles are visualized here as well.</w:t>
      </w:r>
    </w:p>
    <w:p w:rsidR="008E7AAD" w:rsidRDefault="008E7AAD" w:rsidP="00A730AA">
      <w:pPr>
        <w:spacing w:after="0" w:line="240" w:lineRule="auto"/>
        <w:rPr>
          <w:bCs/>
          <w:iCs/>
          <w:sz w:val="20"/>
          <w:szCs w:val="20"/>
          <w:lang w:val="en-US"/>
        </w:rPr>
      </w:pPr>
    </w:p>
    <w:p w:rsidR="008E7AAD" w:rsidRDefault="008E7AAD" w:rsidP="00A730AA">
      <w:pPr>
        <w:spacing w:after="0" w:line="240" w:lineRule="auto"/>
        <w:rPr>
          <w:bCs/>
          <w:iCs/>
          <w:sz w:val="20"/>
          <w:szCs w:val="20"/>
          <w:lang w:val="en-US"/>
        </w:rPr>
      </w:pPr>
    </w:p>
    <w:p w:rsidR="008E7AAD" w:rsidRDefault="008E7AAD" w:rsidP="008E7AAD">
      <w:pPr>
        <w:spacing w:after="0" w:line="240" w:lineRule="auto"/>
        <w:jc w:val="center"/>
        <w:rPr>
          <w:bCs/>
          <w:iCs/>
          <w:sz w:val="20"/>
          <w:szCs w:val="20"/>
          <w:lang w:val="en-US"/>
        </w:rPr>
      </w:pPr>
      <w:r w:rsidRPr="008E7AAD">
        <w:rPr>
          <w:rFonts w:ascii="Calibri" w:hAnsi="Calibri"/>
          <w:noProof/>
          <w:sz w:val="22"/>
          <w:szCs w:val="22"/>
          <w:lang w:val="bg-BG" w:eastAsia="bg-BG"/>
        </w:rPr>
        <w:lastRenderedPageBreak/>
        <w:drawing>
          <wp:inline distT="0" distB="0" distL="0" distR="0" wp14:anchorId="7A62063B" wp14:editId="1D960E7B">
            <wp:extent cx="5396865" cy="3485864"/>
            <wp:effectExtent l="0" t="0" r="0" b="635"/>
            <wp:docPr id="18" name="Picture 18" descr="C:\Users\Marieta\Pictures\222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ta\Pictures\22222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865" cy="3485864"/>
                    </a:xfrm>
                    <a:prstGeom prst="rect">
                      <a:avLst/>
                    </a:prstGeom>
                    <a:noFill/>
                    <a:ln>
                      <a:noFill/>
                    </a:ln>
                  </pic:spPr>
                </pic:pic>
              </a:graphicData>
            </a:graphic>
          </wp:inline>
        </w:drawing>
      </w:r>
    </w:p>
    <w:p w:rsidR="008E7AAD" w:rsidRPr="008E7AAD" w:rsidRDefault="008E7AAD" w:rsidP="008E7AAD">
      <w:pPr>
        <w:spacing w:after="0" w:line="240" w:lineRule="auto"/>
        <w:jc w:val="center"/>
        <w:rPr>
          <w:b/>
          <w:bCs/>
          <w:iCs/>
          <w:sz w:val="20"/>
          <w:szCs w:val="20"/>
          <w:lang w:val="en-US"/>
        </w:rPr>
      </w:pPr>
      <w:r w:rsidRPr="008E7AAD">
        <w:rPr>
          <w:b/>
          <w:bCs/>
          <w:iCs/>
          <w:sz w:val="20"/>
          <w:szCs w:val="20"/>
          <w:lang w:val="en-US"/>
        </w:rPr>
        <w:t>Figure 8</w:t>
      </w:r>
      <w:r>
        <w:rPr>
          <w:b/>
          <w:bCs/>
          <w:iCs/>
          <w:sz w:val="20"/>
          <w:szCs w:val="20"/>
          <w:lang w:val="en-US"/>
        </w:rPr>
        <w:t>:</w:t>
      </w:r>
      <w:r w:rsidRPr="008E7AAD">
        <w:rPr>
          <w:b/>
          <w:bCs/>
          <w:iCs/>
          <w:sz w:val="20"/>
          <w:szCs w:val="20"/>
          <w:lang w:val="en-US"/>
        </w:rPr>
        <w:t xml:space="preserve"> Cross-sectional sections of the specimen.</w:t>
      </w:r>
    </w:p>
    <w:p w:rsidR="008E7AAD" w:rsidRDefault="008E7AAD" w:rsidP="00A730AA">
      <w:pPr>
        <w:spacing w:after="0" w:line="240" w:lineRule="auto"/>
        <w:rPr>
          <w:bCs/>
          <w:iCs/>
          <w:sz w:val="20"/>
          <w:szCs w:val="20"/>
          <w:lang w:val="en-US"/>
        </w:rPr>
      </w:pPr>
    </w:p>
    <w:p w:rsidR="008E7AAD" w:rsidRDefault="008E7AAD" w:rsidP="008E7AAD">
      <w:pPr>
        <w:spacing w:after="0" w:line="240" w:lineRule="auto"/>
        <w:ind w:firstLine="708"/>
        <w:rPr>
          <w:bCs/>
          <w:i/>
          <w:iCs/>
          <w:sz w:val="20"/>
          <w:szCs w:val="20"/>
          <w:lang w:val="en-US"/>
        </w:rPr>
      </w:pPr>
      <w:r w:rsidRPr="008E7AAD">
        <w:rPr>
          <w:bCs/>
          <w:iCs/>
          <w:sz w:val="20"/>
          <w:szCs w:val="20"/>
          <w:lang w:val="en-US"/>
        </w:rPr>
        <w:t>Percentage of closed and open pores, general porosity and pore diameters are shown in Tables 2 and 3</w:t>
      </w:r>
      <w:r w:rsidRPr="008E7AAD">
        <w:rPr>
          <w:bCs/>
          <w:i/>
          <w:iCs/>
          <w:sz w:val="20"/>
          <w:szCs w:val="20"/>
          <w:lang w:val="en-US"/>
        </w:rPr>
        <w:t>.</w:t>
      </w:r>
    </w:p>
    <w:p w:rsidR="00144FCB" w:rsidRDefault="00144FCB" w:rsidP="00144FCB">
      <w:pPr>
        <w:spacing w:after="0" w:line="240" w:lineRule="auto"/>
        <w:ind w:firstLine="708"/>
        <w:rPr>
          <w:bCs/>
          <w:i/>
          <w:iCs/>
          <w:sz w:val="20"/>
          <w:szCs w:val="20"/>
          <w:lang w:val="en-US"/>
        </w:rPr>
      </w:pPr>
    </w:p>
    <w:p w:rsidR="008E7AAD" w:rsidRPr="008E7AAD" w:rsidRDefault="008E7AAD" w:rsidP="00144FCB">
      <w:pPr>
        <w:spacing w:after="0" w:line="240" w:lineRule="auto"/>
        <w:ind w:firstLine="708"/>
        <w:jc w:val="center"/>
        <w:rPr>
          <w:bCs/>
          <w:i/>
          <w:iCs/>
          <w:sz w:val="20"/>
          <w:szCs w:val="20"/>
          <w:lang w:val="en-US"/>
        </w:rPr>
      </w:pPr>
      <w:r w:rsidRPr="00144FCB">
        <w:rPr>
          <w:b/>
          <w:bCs/>
          <w:iCs/>
          <w:sz w:val="20"/>
          <w:szCs w:val="20"/>
          <w:lang w:val="en-US"/>
        </w:rPr>
        <w:t>Table II</w:t>
      </w:r>
      <w:r w:rsidR="004A1EE8">
        <w:rPr>
          <w:b/>
          <w:bCs/>
          <w:iCs/>
          <w:sz w:val="20"/>
          <w:szCs w:val="20"/>
          <w:lang w:val="en-US"/>
        </w:rPr>
        <w:t>:</w:t>
      </w:r>
      <w:r w:rsidRPr="00144FCB">
        <w:rPr>
          <w:b/>
          <w:bCs/>
          <w:iCs/>
          <w:sz w:val="20"/>
          <w:szCs w:val="20"/>
          <w:lang w:val="en-US"/>
        </w:rPr>
        <w:t xml:space="preserve"> </w:t>
      </w:r>
      <w:r w:rsidRPr="008E7AAD">
        <w:rPr>
          <w:b/>
          <w:bCs/>
          <w:iCs/>
          <w:sz w:val="20"/>
          <w:szCs w:val="20"/>
          <w:lang w:val="en-US"/>
        </w:rPr>
        <w:t>Percentage of closed pores.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09"/>
        <w:gridCol w:w="3338"/>
      </w:tblGrid>
      <w:tr w:rsidR="008E7AAD" w:rsidRPr="008E7AAD" w:rsidTr="00144FCB">
        <w:trPr>
          <w:trHeight w:val="549"/>
          <w:jc w:val="center"/>
        </w:trPr>
        <w:tc>
          <w:tcPr>
            <w:tcW w:w="1276" w:type="dxa"/>
            <w:shd w:val="clear" w:color="auto" w:fill="C5E0B3"/>
            <w:vAlign w:val="center"/>
          </w:tcPr>
          <w:p w:rsidR="008E7AAD" w:rsidRPr="008E7AAD" w:rsidRDefault="008E7AAD" w:rsidP="008E7AAD">
            <w:pPr>
              <w:spacing w:after="0" w:line="240" w:lineRule="auto"/>
              <w:jc w:val="center"/>
              <w:rPr>
                <w:b/>
                <w:bCs/>
                <w:iCs/>
                <w:sz w:val="20"/>
                <w:szCs w:val="20"/>
                <w:lang w:val="en-US"/>
              </w:rPr>
            </w:pPr>
            <w:bookmarkStart w:id="4" w:name="_Hlk104452086"/>
            <w:r w:rsidRPr="008E7AAD">
              <w:rPr>
                <w:b/>
                <w:bCs/>
                <w:iCs/>
                <w:sz w:val="20"/>
                <w:szCs w:val="20"/>
                <w:lang w:val="en-US"/>
              </w:rPr>
              <w:t>Pore type</w:t>
            </w:r>
          </w:p>
        </w:tc>
        <w:tc>
          <w:tcPr>
            <w:tcW w:w="909" w:type="dxa"/>
            <w:shd w:val="clear" w:color="auto" w:fill="C5E0B3"/>
            <w:vAlign w:val="center"/>
          </w:tcPr>
          <w:p w:rsidR="008E7AAD" w:rsidRPr="008E7AAD" w:rsidRDefault="008E7AAD" w:rsidP="008E7AAD">
            <w:pPr>
              <w:spacing w:after="0" w:line="240" w:lineRule="auto"/>
              <w:jc w:val="center"/>
              <w:rPr>
                <w:b/>
                <w:bCs/>
                <w:iCs/>
                <w:sz w:val="20"/>
                <w:szCs w:val="20"/>
                <w:lang w:val="en-US"/>
              </w:rPr>
            </w:pPr>
            <w:r w:rsidRPr="008E7AAD">
              <w:rPr>
                <w:b/>
                <w:bCs/>
                <w:iCs/>
                <w:sz w:val="20"/>
                <w:szCs w:val="20"/>
                <w:lang w:val="en-US"/>
              </w:rPr>
              <w:t>%</w:t>
            </w:r>
          </w:p>
        </w:tc>
        <w:tc>
          <w:tcPr>
            <w:tcW w:w="3338" w:type="dxa"/>
            <w:shd w:val="clear" w:color="auto" w:fill="C5E0B3"/>
            <w:vAlign w:val="center"/>
          </w:tcPr>
          <w:p w:rsidR="008E7AAD" w:rsidRPr="008E7AAD" w:rsidRDefault="008E7AAD" w:rsidP="008E7AAD">
            <w:pPr>
              <w:spacing w:after="0" w:line="240" w:lineRule="auto"/>
              <w:jc w:val="center"/>
              <w:rPr>
                <w:b/>
                <w:bCs/>
                <w:iCs/>
                <w:sz w:val="20"/>
                <w:szCs w:val="20"/>
                <w:lang w:val="en-US"/>
              </w:rPr>
            </w:pPr>
            <w:r w:rsidRPr="008E7AAD">
              <w:rPr>
                <w:b/>
                <w:bCs/>
                <w:iCs/>
                <w:sz w:val="20"/>
                <w:szCs w:val="20"/>
                <w:lang w:val="en-US"/>
              </w:rPr>
              <w:t>Pore size, mm</w:t>
            </w:r>
          </w:p>
        </w:tc>
      </w:tr>
      <w:tr w:rsidR="008E7AAD" w:rsidRPr="008E7AAD" w:rsidTr="00144FCB">
        <w:trPr>
          <w:trHeight w:val="549"/>
          <w:jc w:val="center"/>
        </w:trPr>
        <w:tc>
          <w:tcPr>
            <w:tcW w:w="1276" w:type="dxa"/>
            <w:vMerge w:val="restart"/>
            <w:shd w:val="clear" w:color="auto" w:fill="FFFFFF"/>
            <w:vAlign w:val="center"/>
          </w:tcPr>
          <w:p w:rsidR="008E7AAD" w:rsidRPr="008E7AAD" w:rsidRDefault="008E7AAD" w:rsidP="008E7AAD">
            <w:pPr>
              <w:spacing w:after="0" w:line="240" w:lineRule="auto"/>
              <w:jc w:val="center"/>
              <w:rPr>
                <w:bCs/>
                <w:iCs/>
                <w:sz w:val="20"/>
                <w:szCs w:val="20"/>
                <w:lang w:val="en-US"/>
              </w:rPr>
            </w:pPr>
            <w:r w:rsidRPr="008E7AAD">
              <w:rPr>
                <w:bCs/>
                <w:iCs/>
                <w:sz w:val="20"/>
                <w:szCs w:val="20"/>
                <w:lang w:val="en-US"/>
              </w:rPr>
              <w:t>Closed</w:t>
            </w:r>
          </w:p>
        </w:tc>
        <w:tc>
          <w:tcPr>
            <w:tcW w:w="909" w:type="dxa"/>
            <w:vMerge w:val="restart"/>
            <w:shd w:val="clear" w:color="auto" w:fill="auto"/>
            <w:vAlign w:val="center"/>
          </w:tcPr>
          <w:p w:rsidR="008E7AAD" w:rsidRPr="008E7AAD" w:rsidRDefault="008E7AAD" w:rsidP="008E7AAD">
            <w:pPr>
              <w:spacing w:after="0" w:line="240" w:lineRule="auto"/>
              <w:jc w:val="center"/>
              <w:rPr>
                <w:bCs/>
                <w:iCs/>
                <w:sz w:val="20"/>
                <w:szCs w:val="20"/>
                <w:lang w:val="en-US"/>
              </w:rPr>
            </w:pPr>
            <w:r w:rsidRPr="008E7AAD">
              <w:rPr>
                <w:bCs/>
                <w:iCs/>
                <w:sz w:val="20"/>
                <w:szCs w:val="20"/>
                <w:lang w:val="en-US"/>
              </w:rPr>
              <w:t>0.249</w:t>
            </w:r>
          </w:p>
        </w:tc>
        <w:tc>
          <w:tcPr>
            <w:tcW w:w="3338" w:type="dxa"/>
            <w:shd w:val="clear" w:color="auto" w:fill="auto"/>
            <w:vAlign w:val="center"/>
          </w:tcPr>
          <w:p w:rsidR="008E7AAD" w:rsidRPr="008E7AAD" w:rsidRDefault="008E7AAD" w:rsidP="008E7AAD">
            <w:pPr>
              <w:spacing w:after="0" w:line="240" w:lineRule="auto"/>
              <w:jc w:val="center"/>
              <w:rPr>
                <w:bCs/>
                <w:iCs/>
                <w:sz w:val="20"/>
                <w:szCs w:val="20"/>
                <w:lang w:val="en-US"/>
              </w:rPr>
            </w:pPr>
            <w:r w:rsidRPr="008E7AAD">
              <w:rPr>
                <w:bCs/>
                <w:iCs/>
                <w:sz w:val="20"/>
                <w:szCs w:val="20"/>
                <w:lang w:val="en-US"/>
              </w:rPr>
              <w:t>Mininum average diameter 0.0324</w:t>
            </w:r>
          </w:p>
        </w:tc>
      </w:tr>
      <w:tr w:rsidR="008E7AAD" w:rsidRPr="008E7AAD" w:rsidTr="00144FCB">
        <w:trPr>
          <w:trHeight w:val="531"/>
          <w:jc w:val="center"/>
        </w:trPr>
        <w:tc>
          <w:tcPr>
            <w:tcW w:w="1276" w:type="dxa"/>
            <w:vMerge/>
            <w:shd w:val="clear" w:color="auto" w:fill="FFFFFF"/>
            <w:vAlign w:val="center"/>
          </w:tcPr>
          <w:p w:rsidR="008E7AAD" w:rsidRPr="008E7AAD" w:rsidRDefault="008E7AAD" w:rsidP="008E7AAD">
            <w:pPr>
              <w:spacing w:after="0" w:line="240" w:lineRule="auto"/>
              <w:jc w:val="center"/>
              <w:rPr>
                <w:bCs/>
                <w:iCs/>
                <w:sz w:val="20"/>
                <w:szCs w:val="20"/>
                <w:lang w:val="en-US"/>
              </w:rPr>
            </w:pPr>
          </w:p>
        </w:tc>
        <w:tc>
          <w:tcPr>
            <w:tcW w:w="909" w:type="dxa"/>
            <w:vMerge/>
            <w:shd w:val="clear" w:color="auto" w:fill="auto"/>
            <w:vAlign w:val="center"/>
          </w:tcPr>
          <w:p w:rsidR="008E7AAD" w:rsidRPr="008E7AAD" w:rsidRDefault="008E7AAD" w:rsidP="008E7AAD">
            <w:pPr>
              <w:spacing w:after="0" w:line="240" w:lineRule="auto"/>
              <w:jc w:val="center"/>
              <w:rPr>
                <w:bCs/>
                <w:iCs/>
                <w:sz w:val="20"/>
                <w:szCs w:val="20"/>
                <w:lang w:val="en-US"/>
              </w:rPr>
            </w:pPr>
          </w:p>
        </w:tc>
        <w:tc>
          <w:tcPr>
            <w:tcW w:w="3338" w:type="dxa"/>
            <w:shd w:val="clear" w:color="auto" w:fill="auto"/>
            <w:vAlign w:val="center"/>
          </w:tcPr>
          <w:p w:rsidR="008E7AAD" w:rsidRPr="008E7AAD" w:rsidRDefault="008E7AAD" w:rsidP="008E7AAD">
            <w:pPr>
              <w:spacing w:after="0" w:line="240" w:lineRule="auto"/>
              <w:jc w:val="center"/>
              <w:rPr>
                <w:bCs/>
                <w:iCs/>
                <w:sz w:val="20"/>
                <w:szCs w:val="20"/>
                <w:lang w:val="en-US"/>
              </w:rPr>
            </w:pPr>
            <w:r w:rsidRPr="008E7AAD">
              <w:rPr>
                <w:bCs/>
                <w:iCs/>
                <w:sz w:val="20"/>
                <w:szCs w:val="20"/>
                <w:lang w:val="en-US"/>
              </w:rPr>
              <w:t>Maximum average diameter 0.259</w:t>
            </w:r>
          </w:p>
        </w:tc>
      </w:tr>
      <w:tr w:rsidR="008E7AAD" w:rsidRPr="008E7AAD" w:rsidTr="00144FCB">
        <w:trPr>
          <w:trHeight w:val="549"/>
          <w:jc w:val="center"/>
        </w:trPr>
        <w:tc>
          <w:tcPr>
            <w:tcW w:w="1276" w:type="dxa"/>
            <w:vMerge/>
            <w:shd w:val="clear" w:color="auto" w:fill="FFFFFF"/>
            <w:vAlign w:val="center"/>
          </w:tcPr>
          <w:p w:rsidR="008E7AAD" w:rsidRPr="008E7AAD" w:rsidRDefault="008E7AAD" w:rsidP="008E7AAD">
            <w:pPr>
              <w:spacing w:after="0" w:line="240" w:lineRule="auto"/>
              <w:jc w:val="center"/>
              <w:rPr>
                <w:bCs/>
                <w:iCs/>
                <w:sz w:val="20"/>
                <w:szCs w:val="20"/>
                <w:lang w:val="en-US"/>
              </w:rPr>
            </w:pPr>
          </w:p>
        </w:tc>
        <w:tc>
          <w:tcPr>
            <w:tcW w:w="909" w:type="dxa"/>
            <w:vMerge/>
            <w:shd w:val="clear" w:color="auto" w:fill="auto"/>
            <w:vAlign w:val="center"/>
          </w:tcPr>
          <w:p w:rsidR="008E7AAD" w:rsidRPr="008E7AAD" w:rsidRDefault="008E7AAD" w:rsidP="008E7AAD">
            <w:pPr>
              <w:spacing w:after="0" w:line="240" w:lineRule="auto"/>
              <w:jc w:val="center"/>
              <w:rPr>
                <w:bCs/>
                <w:iCs/>
                <w:sz w:val="20"/>
                <w:szCs w:val="20"/>
                <w:lang w:val="en-US"/>
              </w:rPr>
            </w:pPr>
          </w:p>
        </w:tc>
        <w:tc>
          <w:tcPr>
            <w:tcW w:w="3338" w:type="dxa"/>
            <w:shd w:val="clear" w:color="auto" w:fill="auto"/>
            <w:vAlign w:val="center"/>
          </w:tcPr>
          <w:p w:rsidR="008E7AAD" w:rsidRPr="008E7AAD" w:rsidRDefault="008E7AAD" w:rsidP="00144FCB">
            <w:pPr>
              <w:spacing w:after="0" w:line="240" w:lineRule="auto"/>
              <w:jc w:val="center"/>
              <w:rPr>
                <w:bCs/>
                <w:iCs/>
                <w:sz w:val="20"/>
                <w:szCs w:val="20"/>
                <w:lang w:val="en-US"/>
              </w:rPr>
            </w:pPr>
            <w:r w:rsidRPr="008E7AAD">
              <w:rPr>
                <w:bCs/>
                <w:iCs/>
                <w:sz w:val="20"/>
                <w:szCs w:val="20"/>
                <w:lang w:val="en-US"/>
              </w:rPr>
              <w:t>Average diameter 0.146</w:t>
            </w:r>
          </w:p>
        </w:tc>
      </w:tr>
      <w:bookmarkEnd w:id="4"/>
    </w:tbl>
    <w:p w:rsidR="008E7AAD" w:rsidRDefault="008E7AAD" w:rsidP="00A730AA">
      <w:pPr>
        <w:spacing w:after="0" w:line="240" w:lineRule="auto"/>
        <w:rPr>
          <w:bCs/>
          <w:iCs/>
          <w:sz w:val="20"/>
          <w:szCs w:val="20"/>
          <w:lang w:val="en-US"/>
        </w:rPr>
      </w:pPr>
    </w:p>
    <w:p w:rsidR="00144FCB" w:rsidRPr="00144FCB" w:rsidRDefault="00144FCB" w:rsidP="00144FCB">
      <w:pPr>
        <w:spacing w:after="0" w:line="240" w:lineRule="auto"/>
        <w:jc w:val="center"/>
        <w:rPr>
          <w:bCs/>
          <w:iCs/>
          <w:sz w:val="20"/>
          <w:szCs w:val="20"/>
          <w:lang w:val="en-US"/>
        </w:rPr>
      </w:pPr>
      <w:r>
        <w:rPr>
          <w:b/>
          <w:bCs/>
          <w:iCs/>
          <w:sz w:val="20"/>
          <w:szCs w:val="20"/>
          <w:lang w:val="en-US"/>
        </w:rPr>
        <w:t>Table III</w:t>
      </w:r>
      <w:r w:rsidR="00B00BF3">
        <w:rPr>
          <w:b/>
          <w:bCs/>
          <w:iCs/>
          <w:sz w:val="20"/>
          <w:szCs w:val="20"/>
          <w:lang w:val="en-US"/>
        </w:rPr>
        <w:t>:</w:t>
      </w:r>
      <w:bookmarkStart w:id="5" w:name="_GoBack"/>
      <w:bookmarkEnd w:id="5"/>
      <w:r w:rsidR="004A1EE8">
        <w:rPr>
          <w:bCs/>
          <w:iCs/>
          <w:sz w:val="20"/>
          <w:szCs w:val="20"/>
          <w:lang w:val="en-US"/>
        </w:rPr>
        <w:t xml:space="preserve"> </w:t>
      </w:r>
      <w:r w:rsidRPr="00144FCB">
        <w:rPr>
          <w:b/>
          <w:bCs/>
          <w:iCs/>
          <w:sz w:val="20"/>
          <w:szCs w:val="20"/>
          <w:lang w:val="en-US"/>
        </w:rPr>
        <w:t>Amount of pores.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700"/>
      </w:tblGrid>
      <w:tr w:rsidR="00144FCB" w:rsidRPr="00144FCB" w:rsidTr="003F269E">
        <w:trPr>
          <w:jc w:val="center"/>
        </w:trPr>
        <w:tc>
          <w:tcPr>
            <w:tcW w:w="2335" w:type="dxa"/>
            <w:shd w:val="clear" w:color="auto" w:fill="C5E0B3"/>
          </w:tcPr>
          <w:p w:rsidR="00144FCB" w:rsidRPr="00144FCB" w:rsidRDefault="00144FCB" w:rsidP="00144FCB">
            <w:pPr>
              <w:spacing w:after="0" w:line="276" w:lineRule="auto"/>
              <w:jc w:val="center"/>
              <w:rPr>
                <w:b/>
                <w:noProof/>
                <w:sz w:val="20"/>
                <w:szCs w:val="20"/>
                <w:lang w:val="en-US"/>
              </w:rPr>
            </w:pPr>
            <w:r w:rsidRPr="00144FCB">
              <w:rPr>
                <w:b/>
                <w:noProof/>
                <w:sz w:val="20"/>
                <w:szCs w:val="20"/>
                <w:lang w:val="en-US"/>
              </w:rPr>
              <w:t>Average pore diameter, mm</w:t>
            </w:r>
          </w:p>
        </w:tc>
        <w:tc>
          <w:tcPr>
            <w:tcW w:w="2700" w:type="dxa"/>
            <w:shd w:val="clear" w:color="auto" w:fill="C5E0B3"/>
          </w:tcPr>
          <w:p w:rsidR="00144FCB" w:rsidRPr="00144FCB" w:rsidRDefault="00144FCB" w:rsidP="00144FCB">
            <w:pPr>
              <w:spacing w:after="0" w:line="276" w:lineRule="auto"/>
              <w:jc w:val="center"/>
              <w:rPr>
                <w:b/>
                <w:noProof/>
                <w:sz w:val="20"/>
                <w:szCs w:val="20"/>
                <w:lang w:val="en-US"/>
              </w:rPr>
            </w:pPr>
            <w:r w:rsidRPr="00144FCB">
              <w:rPr>
                <w:b/>
                <w:noProof/>
                <w:sz w:val="20"/>
                <w:szCs w:val="20"/>
                <w:lang w:val="en-US"/>
              </w:rPr>
              <w:t>Percentage of sample volume, %</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0.0324</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29.53</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0.0648</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44.33</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0.0972</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14.02</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0.013</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7.18</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0.162</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2.72</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0.194</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0.47</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0.227</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1.05</w:t>
            </w:r>
          </w:p>
        </w:tc>
      </w:tr>
      <w:tr w:rsidR="00144FCB" w:rsidRPr="00144FCB" w:rsidTr="003F269E">
        <w:trPr>
          <w:jc w:val="center"/>
        </w:trPr>
        <w:tc>
          <w:tcPr>
            <w:tcW w:w="2335"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0.259</w:t>
            </w:r>
          </w:p>
        </w:tc>
        <w:tc>
          <w:tcPr>
            <w:tcW w:w="2700" w:type="dxa"/>
            <w:shd w:val="clear" w:color="auto" w:fill="auto"/>
          </w:tcPr>
          <w:p w:rsidR="00144FCB" w:rsidRPr="00144FCB" w:rsidRDefault="00144FCB" w:rsidP="00144FCB">
            <w:pPr>
              <w:spacing w:after="0" w:line="276" w:lineRule="auto"/>
              <w:jc w:val="center"/>
              <w:rPr>
                <w:noProof/>
                <w:sz w:val="20"/>
                <w:szCs w:val="20"/>
                <w:lang w:val="en-US"/>
              </w:rPr>
            </w:pPr>
            <w:r w:rsidRPr="00144FCB">
              <w:rPr>
                <w:noProof/>
                <w:sz w:val="20"/>
                <w:szCs w:val="20"/>
                <w:lang w:val="en-US"/>
              </w:rPr>
              <w:t>0.7</w:t>
            </w:r>
          </w:p>
        </w:tc>
      </w:tr>
    </w:tbl>
    <w:p w:rsidR="008E7AAD" w:rsidRDefault="008E7AAD" w:rsidP="00A730AA">
      <w:pPr>
        <w:spacing w:after="0" w:line="240" w:lineRule="auto"/>
        <w:rPr>
          <w:bCs/>
          <w:iCs/>
          <w:sz w:val="20"/>
          <w:szCs w:val="20"/>
          <w:lang w:val="en-US"/>
        </w:rPr>
      </w:pPr>
    </w:p>
    <w:p w:rsidR="00144FCB" w:rsidRPr="00144FCB" w:rsidRDefault="00144FCB" w:rsidP="00144FCB">
      <w:pPr>
        <w:spacing w:after="0" w:line="240" w:lineRule="auto"/>
        <w:ind w:firstLine="708"/>
        <w:rPr>
          <w:bCs/>
          <w:iCs/>
          <w:sz w:val="20"/>
          <w:szCs w:val="20"/>
          <w:lang w:val="en-US"/>
        </w:rPr>
      </w:pPr>
      <w:r w:rsidRPr="00144FCB">
        <w:rPr>
          <w:bCs/>
          <w:iCs/>
          <w:sz w:val="20"/>
          <w:szCs w:val="20"/>
          <w:lang w:val="en-US"/>
        </w:rPr>
        <w:t>Figure 9 visualizes the dense particles in the specimen in the minimum intensity mode of the projections – a mode in which information about the less dense part of the specimen, in this case the base material, is lost, while the particles with the highest densities are highlighted and visualized.</w:t>
      </w:r>
    </w:p>
    <w:p w:rsidR="00144FCB" w:rsidRDefault="00144FCB" w:rsidP="00A730AA">
      <w:pPr>
        <w:spacing w:after="0" w:line="240" w:lineRule="auto"/>
        <w:rPr>
          <w:bCs/>
          <w:iCs/>
          <w:sz w:val="20"/>
          <w:szCs w:val="20"/>
          <w:lang w:val="en-US"/>
        </w:rPr>
      </w:pPr>
    </w:p>
    <w:p w:rsidR="00144FCB" w:rsidRDefault="00144FCB" w:rsidP="00A730AA">
      <w:pPr>
        <w:spacing w:after="0" w:line="240" w:lineRule="auto"/>
        <w:rPr>
          <w:bCs/>
          <w:iCs/>
          <w:sz w:val="20"/>
          <w:szCs w:val="20"/>
          <w:lang w:val="en-US"/>
        </w:rPr>
      </w:pPr>
    </w:p>
    <w:p w:rsidR="00144FCB" w:rsidRPr="008E7AAD" w:rsidRDefault="00144FCB" w:rsidP="00144FCB">
      <w:pPr>
        <w:spacing w:after="0" w:line="240" w:lineRule="auto"/>
        <w:jc w:val="center"/>
        <w:rPr>
          <w:bCs/>
          <w:iCs/>
          <w:sz w:val="20"/>
          <w:szCs w:val="20"/>
          <w:lang w:val="en-US"/>
        </w:rPr>
      </w:pPr>
      <w:r w:rsidRPr="00144FCB">
        <w:rPr>
          <w:rFonts w:ascii="Calibri" w:hAnsi="Calibri"/>
          <w:noProof/>
          <w:sz w:val="22"/>
          <w:szCs w:val="22"/>
          <w:lang w:val="bg-BG" w:eastAsia="bg-BG"/>
        </w:rPr>
        <w:lastRenderedPageBreak/>
        <w:drawing>
          <wp:inline distT="0" distB="0" distL="0" distR="0" wp14:anchorId="4E5868DC" wp14:editId="30BBAD65">
            <wp:extent cx="5396865" cy="1359924"/>
            <wp:effectExtent l="0" t="0" r="0" b="0"/>
            <wp:docPr id="19" name="Picture 19" descr="C:\Users\Marieta\Pictures\111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ta\Pictures\11111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865" cy="1359924"/>
                    </a:xfrm>
                    <a:prstGeom prst="rect">
                      <a:avLst/>
                    </a:prstGeom>
                    <a:noFill/>
                    <a:ln>
                      <a:noFill/>
                    </a:ln>
                  </pic:spPr>
                </pic:pic>
              </a:graphicData>
            </a:graphic>
          </wp:inline>
        </w:drawing>
      </w:r>
    </w:p>
    <w:p w:rsidR="00144FCB" w:rsidRPr="00144FCB" w:rsidRDefault="00144FCB" w:rsidP="00144FCB">
      <w:pPr>
        <w:spacing w:after="0" w:line="240" w:lineRule="auto"/>
        <w:jc w:val="center"/>
        <w:rPr>
          <w:b/>
          <w:bCs/>
          <w:iCs/>
          <w:sz w:val="20"/>
          <w:szCs w:val="20"/>
          <w:lang w:val="en-US"/>
        </w:rPr>
      </w:pPr>
      <w:r w:rsidRPr="00144FCB">
        <w:rPr>
          <w:b/>
          <w:bCs/>
          <w:iCs/>
          <w:sz w:val="20"/>
          <w:szCs w:val="20"/>
          <w:lang w:val="en-US"/>
        </w:rPr>
        <w:t>Figure 9</w:t>
      </w:r>
      <w:r w:rsidR="00E27964">
        <w:rPr>
          <w:b/>
          <w:bCs/>
          <w:iCs/>
          <w:sz w:val="20"/>
          <w:szCs w:val="20"/>
          <w:lang w:val="en-US"/>
        </w:rPr>
        <w:t>:</w:t>
      </w:r>
      <w:r w:rsidRPr="00144FCB">
        <w:rPr>
          <w:b/>
          <w:bCs/>
          <w:iCs/>
          <w:sz w:val="20"/>
          <w:szCs w:val="20"/>
          <w:lang w:val="en-US"/>
        </w:rPr>
        <w:t xml:space="preserve"> Visualization of dense particles in minimum intensity mode at different spatial orientation of the specimen.</w:t>
      </w:r>
    </w:p>
    <w:p w:rsidR="00144FCB" w:rsidRDefault="00144FCB" w:rsidP="003D5B33">
      <w:pPr>
        <w:spacing w:after="0" w:line="240" w:lineRule="auto"/>
        <w:jc w:val="center"/>
        <w:rPr>
          <w:b/>
          <w:sz w:val="20"/>
          <w:szCs w:val="20"/>
          <w:lang w:val="en-US"/>
        </w:rPr>
      </w:pPr>
    </w:p>
    <w:p w:rsidR="00E27964" w:rsidRPr="00E27964" w:rsidRDefault="00E27964" w:rsidP="00E27964">
      <w:pPr>
        <w:spacing w:after="0" w:line="240" w:lineRule="auto"/>
        <w:ind w:firstLine="708"/>
        <w:rPr>
          <w:sz w:val="20"/>
          <w:szCs w:val="20"/>
          <w:lang w:val="en-US"/>
        </w:rPr>
      </w:pPr>
      <w:r w:rsidRPr="00E27964">
        <w:rPr>
          <w:sz w:val="20"/>
          <w:szCs w:val="20"/>
          <w:lang w:val="en-US"/>
        </w:rPr>
        <w:t>Thirty cross-sectional measurements of particle diameters were made, with the following results: mean diameter 0.0816 mm; maximum diameter 0.177 mm; minimum diameter 0.0248 mm.</w:t>
      </w:r>
    </w:p>
    <w:p w:rsidR="00F16C5D" w:rsidRPr="00B26C1C" w:rsidRDefault="00F16C5D" w:rsidP="00A730AA">
      <w:pPr>
        <w:pStyle w:val="Default"/>
        <w:jc w:val="both"/>
        <w:rPr>
          <w:b/>
          <w:bCs/>
          <w:sz w:val="20"/>
          <w:szCs w:val="20"/>
        </w:rPr>
      </w:pPr>
    </w:p>
    <w:p w:rsidR="00E27964" w:rsidRPr="00E27964" w:rsidRDefault="00E27964" w:rsidP="004A1EE8">
      <w:pPr>
        <w:pStyle w:val="Heading1"/>
      </w:pPr>
      <w:r w:rsidRPr="00E27964">
        <w:t>CONCLUSIONS</w:t>
      </w:r>
    </w:p>
    <w:p w:rsidR="00E27964" w:rsidRPr="00E27964" w:rsidRDefault="00E27964" w:rsidP="004A1EE8">
      <w:pPr>
        <w:spacing w:after="0"/>
        <w:ind w:firstLine="708"/>
        <w:rPr>
          <w:bCs/>
          <w:sz w:val="20"/>
          <w:szCs w:val="20"/>
          <w:lang w:val="en-US"/>
        </w:rPr>
      </w:pPr>
      <w:r w:rsidRPr="00E27964">
        <w:rPr>
          <w:bCs/>
          <w:sz w:val="20"/>
          <w:szCs w:val="20"/>
          <w:lang w:val="en-US"/>
        </w:rPr>
        <w:t>The results can be summarized in the following conclusions:</w:t>
      </w:r>
    </w:p>
    <w:p w:rsidR="00E27964" w:rsidRPr="00E27964" w:rsidRDefault="00E27964" w:rsidP="00E27964">
      <w:pPr>
        <w:numPr>
          <w:ilvl w:val="0"/>
          <w:numId w:val="23"/>
        </w:numPr>
        <w:spacing w:after="0"/>
        <w:rPr>
          <w:bCs/>
          <w:sz w:val="20"/>
          <w:szCs w:val="20"/>
          <w:lang w:val="en-US"/>
        </w:rPr>
      </w:pPr>
      <w:r w:rsidRPr="00E27964">
        <w:rPr>
          <w:bCs/>
          <w:sz w:val="20"/>
          <w:szCs w:val="20"/>
          <w:lang w:val="en-US"/>
        </w:rPr>
        <w:t>Macroscopically, the pilot series of yellow paving stones fully matches the colour characteristics of the most common yellow pavers layed in the streets in Sofia’s central urban area;</w:t>
      </w:r>
    </w:p>
    <w:p w:rsidR="00E27964" w:rsidRPr="00E27964" w:rsidRDefault="00E27964" w:rsidP="00E27964">
      <w:pPr>
        <w:numPr>
          <w:ilvl w:val="0"/>
          <w:numId w:val="23"/>
        </w:numPr>
        <w:spacing w:after="0"/>
        <w:rPr>
          <w:bCs/>
          <w:sz w:val="20"/>
          <w:szCs w:val="20"/>
          <w:lang w:val="en-US"/>
        </w:rPr>
      </w:pPr>
      <w:r w:rsidRPr="00E27964">
        <w:rPr>
          <w:bCs/>
          <w:sz w:val="20"/>
          <w:szCs w:val="20"/>
          <w:lang w:val="en-US"/>
        </w:rPr>
        <w:t>Microscopically, the ceramics is cryptocrystalline with a presence of individual quartz grains injected into the main mass;</w:t>
      </w:r>
    </w:p>
    <w:p w:rsidR="00E27964" w:rsidRPr="00E27964" w:rsidRDefault="00E27964" w:rsidP="00E27964">
      <w:pPr>
        <w:numPr>
          <w:ilvl w:val="0"/>
          <w:numId w:val="23"/>
        </w:numPr>
        <w:spacing w:after="0"/>
        <w:rPr>
          <w:bCs/>
          <w:sz w:val="20"/>
          <w:szCs w:val="20"/>
          <w:lang w:val="en-US"/>
        </w:rPr>
      </w:pPr>
      <w:r w:rsidRPr="00E27964">
        <w:rPr>
          <w:bCs/>
          <w:sz w:val="20"/>
          <w:szCs w:val="20"/>
          <w:lang w:val="en-US"/>
        </w:rPr>
        <w:t>During the firing of the primary material, the formation of different mineral phases occurs: of pyroxene (diopside of the fassaite type), wollastonite and anorthite, which are the product of solid state reactions between carbonates and clay minerals;</w:t>
      </w:r>
    </w:p>
    <w:p w:rsidR="00E27964" w:rsidRPr="00E27964" w:rsidRDefault="00E27964" w:rsidP="00E27964">
      <w:pPr>
        <w:numPr>
          <w:ilvl w:val="0"/>
          <w:numId w:val="23"/>
        </w:numPr>
        <w:spacing w:after="0"/>
        <w:rPr>
          <w:bCs/>
          <w:sz w:val="20"/>
          <w:szCs w:val="20"/>
          <w:lang w:val="en-US"/>
        </w:rPr>
      </w:pPr>
      <w:r w:rsidRPr="00E27964">
        <w:rPr>
          <w:bCs/>
          <w:sz w:val="20"/>
          <w:szCs w:val="20"/>
          <w:lang w:val="en-US"/>
        </w:rPr>
        <w:t>The mineral phase diopside of the fassaite type, which has been registered, determines the yellow colouring of the ceramics without further staining;</w:t>
      </w:r>
    </w:p>
    <w:p w:rsidR="00E27964" w:rsidRPr="00E27964" w:rsidRDefault="00E27964" w:rsidP="00E27964">
      <w:pPr>
        <w:numPr>
          <w:ilvl w:val="0"/>
          <w:numId w:val="23"/>
        </w:numPr>
        <w:spacing w:after="0"/>
        <w:rPr>
          <w:bCs/>
          <w:sz w:val="20"/>
          <w:szCs w:val="20"/>
          <w:lang w:val="en-US"/>
        </w:rPr>
      </w:pPr>
      <w:r w:rsidRPr="00E27964">
        <w:rPr>
          <w:bCs/>
          <w:sz w:val="20"/>
          <w:szCs w:val="20"/>
          <w:lang w:val="en-US"/>
        </w:rPr>
        <w:t>The presence of a higher percentage of wollastonite is a favourable factor contributing to better physico-mechanical properties of the new ceramics;</w:t>
      </w:r>
    </w:p>
    <w:p w:rsidR="00E27964" w:rsidRPr="00E27964" w:rsidRDefault="00E27964" w:rsidP="00E27964">
      <w:pPr>
        <w:numPr>
          <w:ilvl w:val="0"/>
          <w:numId w:val="23"/>
        </w:numPr>
        <w:spacing w:after="0"/>
        <w:rPr>
          <w:bCs/>
          <w:sz w:val="20"/>
          <w:szCs w:val="20"/>
          <w:lang w:val="en-US"/>
        </w:rPr>
      </w:pPr>
      <w:r w:rsidRPr="00E27964">
        <w:rPr>
          <w:bCs/>
          <w:sz w:val="20"/>
          <w:szCs w:val="20"/>
          <w:lang w:val="en-US"/>
        </w:rPr>
        <w:t>The quantitative content of closed pores in the overall volume of the ceramic article is minimal. Their presence improves tribological performance;</w:t>
      </w:r>
    </w:p>
    <w:p w:rsidR="00E27964" w:rsidRPr="00E27964" w:rsidRDefault="00E27964" w:rsidP="00E27964">
      <w:pPr>
        <w:numPr>
          <w:ilvl w:val="0"/>
          <w:numId w:val="23"/>
        </w:numPr>
        <w:spacing w:after="0"/>
        <w:rPr>
          <w:bCs/>
          <w:sz w:val="20"/>
          <w:szCs w:val="20"/>
          <w:lang w:val="en-US"/>
        </w:rPr>
      </w:pPr>
      <w:r w:rsidRPr="00E27964">
        <w:rPr>
          <w:bCs/>
          <w:sz w:val="20"/>
          <w:szCs w:val="20"/>
          <w:lang w:val="en-US"/>
        </w:rPr>
        <w:t>Based on the mineralogical and structural characteristics, we can conclude that the pilot series of yellow pavers has similar characteristics to those of the original ones. Further studies of the physical and mechanical properties will complement the analyses carried out here, enabling the absolute characterization of the new ceramics products.</w:t>
      </w:r>
    </w:p>
    <w:p w:rsidR="00CA3E48" w:rsidRDefault="00CA3E48" w:rsidP="00A730AA">
      <w:pPr>
        <w:pStyle w:val="Default"/>
        <w:jc w:val="both"/>
        <w:rPr>
          <w:b/>
          <w:bCs/>
          <w:sz w:val="20"/>
          <w:szCs w:val="20"/>
        </w:rPr>
      </w:pPr>
    </w:p>
    <w:p w:rsidR="00886844" w:rsidRPr="00B26C1C" w:rsidRDefault="00CA3E48" w:rsidP="004A1EE8">
      <w:pPr>
        <w:pStyle w:val="Default"/>
        <w:spacing w:after="240"/>
        <w:jc w:val="center"/>
        <w:rPr>
          <w:b/>
          <w:bCs/>
          <w:sz w:val="20"/>
          <w:szCs w:val="20"/>
        </w:rPr>
      </w:pPr>
      <w:r w:rsidRPr="00B26C1C">
        <w:rPr>
          <w:b/>
          <w:bCs/>
          <w:sz w:val="20"/>
          <w:szCs w:val="20"/>
        </w:rPr>
        <w:t>REFERENCES</w:t>
      </w:r>
      <w:r w:rsidR="00CC1B6D">
        <w:rPr>
          <w:b/>
          <w:bCs/>
          <w:sz w:val="20"/>
          <w:szCs w:val="20"/>
        </w:rPr>
        <w:t xml:space="preserve"> </w:t>
      </w:r>
    </w:p>
    <w:bookmarkEnd w:id="0"/>
    <w:bookmarkEnd w:id="1"/>
    <w:bookmarkEnd w:id="2"/>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Pristavova S, Marinova K. 2024. Rocks and buildings in the Sofia City center – a geological and historical city tour. Geologica Balcanica 53 (3), 13–21. doi.org/10.52321/GeolBalc.53.3.13.</w:t>
      </w:r>
    </w:p>
    <w:p w:rsid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Boyadjieva E. 2012. Yellow Paving Stones - Ceramics, Aesthetics, Symbolism (in Bulgarian).</w:t>
      </w:r>
    </w:p>
    <w:p w:rsidR="00E27964" w:rsidRPr="00E27964" w:rsidRDefault="00E27964" w:rsidP="00E27964">
      <w:pPr>
        <w:spacing w:after="0" w:line="240" w:lineRule="auto"/>
        <w:ind w:left="360"/>
        <w:rPr>
          <w:bCs/>
          <w:color w:val="000000" w:themeColor="text1"/>
          <w:sz w:val="16"/>
          <w:szCs w:val="20"/>
          <w:lang w:val="en-US"/>
        </w:rPr>
      </w:pPr>
      <w:hyperlink r:id="rId17" w:history="1">
        <w:r w:rsidRPr="00E27964">
          <w:rPr>
            <w:rStyle w:val="Hyperlink"/>
            <w:bCs/>
            <w:color w:val="auto"/>
            <w:sz w:val="16"/>
            <w:szCs w:val="20"/>
            <w:u w:val="none"/>
            <w:lang w:val="en-US"/>
          </w:rPr>
          <w:t>https://web.archive.org/web/20120211010330/http://www.sofia.bg/j_paveta.asp</w:t>
        </w:r>
      </w:hyperlink>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Kostov-Kytin V, Nikolov A, Velyanova G, Tsvetanova L, Karamanov A. 2024. Preliminary studies of Bulgarian natural raw materials as possible sources for the synthesis of high-quality ceramics of the “yellow” pavers type - REVIEW OF THE BULGARIAN GEOLOGICAL SOCIETY, vol. 85, part 2, 2024, p. 3–18. doi.org/10.52215/rev.bgs.2024.85.2.3</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Gacheva M, Lakov L, Toncheva K. 2019. Technology for production and experimental furnace for hitting of article”Yellow Bricks”. – NDT DAYS: Vol. II, Issue 2, 169–172.</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Mutafchieva G, Lakov L, Aleksandrova M, Peev G. 2022. Technology for production of reduced yellow paving stones on the basis of modified marl clay from the Alexandra quarry, the village of Lovets, Bulgaria (Part 1). – Machines. Technologies. Materials., 16, 3, 96–99.</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Mutafchieva G, Lakov L, Aleksandrova M, Gacheva M, Peev G, Mihaylov D. 2022b. Development and production of molding equipment and plastic masses using new compounding formulations, plastic pressing, drying, hightemperature liquid-phase synthesis and properties of a prototype batch of “yellow” paving stones. – Industry 4.0, 7, 6, 228–231.</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Mutafchieva G, , Lakov L, Peev G, Mihaylov D. 2023. Results from the plastic pressing of experimental ceramic pavers of “yellow” paving stone type. – Innovations, 11, 1, 34–36.</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Lakov L, Toncheva K, Jivov B, Gacheva M. 2022. Technical project for creating a business plan for the construction of a technological line and a plant for the production of yellow pavers. – International Journal NDT Days, 5, 1.</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 xml:space="preserve">Lakov L, Encheva S, Tsonev P, Jivov B, Aleksandrova M, Toncheva K. 2018. PRODUCTION OF PROTOTYPES of “yellow paving stones” in Bulgaria PART I: Physic AL and chemical properties. </w:t>
      </w:r>
      <w:r w:rsidRPr="00E27964">
        <w:rPr>
          <w:bCs/>
          <w:iCs/>
          <w:color w:val="000000" w:themeColor="text1"/>
          <w:sz w:val="16"/>
          <w:szCs w:val="20"/>
          <w:lang w:val="en-US"/>
        </w:rPr>
        <w:t>Journal of Chemical Technology and Metallurgy</w:t>
      </w:r>
      <w:r w:rsidRPr="00E27964">
        <w:rPr>
          <w:bCs/>
          <w:color w:val="000000" w:themeColor="text1"/>
          <w:sz w:val="16"/>
          <w:szCs w:val="20"/>
          <w:lang w:val="en-US"/>
        </w:rPr>
        <w:t>, 53, 6, 1144-1149.</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lastRenderedPageBreak/>
        <w:t>Munsell soil color charts. 2000. Munsell Color, gretagmacbeth.</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Enchev S, Petrov P, Yanakieva D, Lakov L, Yankova K. 2016. Why are the yellow bricks yellow? GEOSCIENCES, 23-24.</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Minguzzi V, Morandi N, Nannetti MC, Pirani R, Poppi L. (1976-77) Mineralogy and geochemistry of the contact minerals in the Predazzo-Monzoni area. Part II: the Predazzo fassaite and revision of the fassaite crystal-chemistry. Miner Petrogr Acta 21: 189–219.</w:t>
      </w:r>
    </w:p>
    <w:p w:rsidR="00E27964" w:rsidRPr="00E27964" w:rsidRDefault="00E27964" w:rsidP="00E27964">
      <w:pPr>
        <w:numPr>
          <w:ilvl w:val="0"/>
          <w:numId w:val="24"/>
        </w:numPr>
        <w:spacing w:after="0" w:line="240" w:lineRule="auto"/>
        <w:rPr>
          <w:bCs/>
          <w:color w:val="000000" w:themeColor="text1"/>
          <w:sz w:val="16"/>
          <w:szCs w:val="20"/>
          <w:lang w:val="en-US"/>
        </w:rPr>
      </w:pPr>
      <w:r w:rsidRPr="00E27964">
        <w:rPr>
          <w:bCs/>
          <w:color w:val="000000" w:themeColor="text1"/>
          <w:sz w:val="16"/>
          <w:szCs w:val="20"/>
          <w:lang w:val="en-US"/>
        </w:rPr>
        <w:t>Morimoto N. (1988) The Nomenclature of Pyroxenes. Mineralogical Magazine, 52, 425-433.</w:t>
      </w:r>
    </w:p>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22A" w:rsidRDefault="00AD122A" w:rsidP="00A82CA4">
      <w:r>
        <w:separator/>
      </w:r>
    </w:p>
    <w:p w:rsidR="00AD122A" w:rsidRDefault="00AD122A"/>
  </w:endnote>
  <w:endnote w:type="continuationSeparator" w:id="0">
    <w:p w:rsidR="00AD122A" w:rsidRDefault="00AD122A" w:rsidP="00A82CA4">
      <w:r>
        <w:continuationSeparator/>
      </w:r>
    </w:p>
    <w:p w:rsidR="00AD122A" w:rsidRDefault="00AD1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935FE1" w:rsidRDefault="00F827E7" w:rsidP="00714AD6">
    <w:pPr>
      <w:pStyle w:val="Footer"/>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B00BF3">
      <w:rPr>
        <w:noProof/>
        <w:sz w:val="20"/>
      </w:rPr>
      <w:t>26</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935FE1" w:rsidRDefault="00F827E7" w:rsidP="000D7C31">
    <w:pPr>
      <w:pStyle w:val="Footer"/>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B00BF3">
      <w:rPr>
        <w:noProof/>
        <w:sz w:val="20"/>
      </w:rPr>
      <w:t>25</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935FE1" w:rsidRDefault="00F827E7" w:rsidP="000D7C31">
    <w:pPr>
      <w:pStyle w:val="Footer"/>
      <w:ind w:right="27"/>
      <w:jc w:val="center"/>
      <w:rPr>
        <w:sz w:val="20"/>
      </w:rPr>
    </w:pPr>
    <w:r>
      <w:rPr>
        <w:sz w:val="20"/>
      </w:rPr>
      <w:pict>
        <v:rect id="_x0000_i1028"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B00BF3">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22A" w:rsidRDefault="00AD122A" w:rsidP="00A82CA4">
      <w:r>
        <w:separator/>
      </w:r>
    </w:p>
    <w:p w:rsidR="00AD122A" w:rsidRDefault="00AD122A"/>
  </w:footnote>
  <w:footnote w:type="continuationSeparator" w:id="0">
    <w:p w:rsidR="00AD122A" w:rsidRDefault="00AD122A" w:rsidP="00A82CA4">
      <w:r>
        <w:continuationSeparator/>
      </w:r>
    </w:p>
    <w:p w:rsidR="00AD122A" w:rsidRDefault="00AD122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0D7C31" w:rsidRDefault="00F827E7"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0D7C31" w:rsidRDefault="00F827E7"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7E7" w:rsidRPr="000D7C31" w:rsidRDefault="00F827E7"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bg-BG" w:eastAsia="bg-BG"/>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F827E7" w:rsidRPr="000D7C31" w:rsidRDefault="00F827E7"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F827E7" w:rsidRPr="000D7C31" w:rsidRDefault="00F827E7"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F827E7" w:rsidRPr="000D7C31" w:rsidRDefault="00F827E7"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F827E7" w:rsidRDefault="00F827E7" w:rsidP="000D7C31"/>
            </w:txbxContent>
          </v:textbox>
        </v:round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1.25pt;height:11.25pt" o:bullet="t">
        <v:imagedata r:id="rId1" o:title="artD484"/>
      </v:shape>
    </w:pict>
  </w:numPicBullet>
  <w:abstractNum w:abstractNumId="0"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7699C"/>
    <w:multiLevelType w:val="multilevel"/>
    <w:tmpl w:val="F2C87698"/>
    <w:lvl w:ilvl="0">
      <w:start w:val="4"/>
      <w:numFmt w:val="upperRoman"/>
      <w:lvlText w:val="%1."/>
      <w:lvlJc w:val="right"/>
      <w:pPr>
        <w:ind w:left="360" w:hanging="360"/>
      </w:pPr>
      <w:rPr>
        <w:rFonts w:hint="default"/>
      </w:rPr>
    </w:lvl>
    <w:lvl w:ilvl="1">
      <w:start w:val="1"/>
      <w:numFmt w:val="decimal"/>
      <w:lvlText w:val="%1.%2."/>
      <w:lvlJc w:val="left"/>
      <w:pPr>
        <w:ind w:left="858" w:hanging="432"/>
      </w:pPr>
      <w:rPr>
        <w:rFonts w:hint="default"/>
        <w:b/>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E1E740D"/>
    <w:multiLevelType w:val="hybridMultilevel"/>
    <w:tmpl w:val="ED1C10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5542014"/>
    <w:multiLevelType w:val="hybridMultilevel"/>
    <w:tmpl w:val="B47ED0A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1A76A6A"/>
    <w:multiLevelType w:val="hybridMultilevel"/>
    <w:tmpl w:val="8D30D32E"/>
    <w:lvl w:ilvl="0" w:tplc="72F6A146">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1"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67AC8"/>
    <w:multiLevelType w:val="multilevel"/>
    <w:tmpl w:val="8B26B08C"/>
    <w:lvl w:ilvl="0">
      <w:start w:val="1"/>
      <w:numFmt w:val="upperRoman"/>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C2416"/>
    <w:multiLevelType w:val="hybridMultilevel"/>
    <w:tmpl w:val="D94482EA"/>
    <w:lvl w:ilvl="0" w:tplc="58E6F53E">
      <w:start w:val="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20"/>
  </w:num>
  <w:num w:numId="4">
    <w:abstractNumId w:val="1"/>
  </w:num>
  <w:num w:numId="5">
    <w:abstractNumId w:val="11"/>
  </w:num>
  <w:num w:numId="6">
    <w:abstractNumId w:val="17"/>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1"/>
  </w:num>
  <w:num w:numId="11">
    <w:abstractNumId w:val="22"/>
  </w:num>
  <w:num w:numId="12">
    <w:abstractNumId w:val="18"/>
  </w:num>
  <w:num w:numId="13">
    <w:abstractNumId w:val="13"/>
  </w:num>
  <w:num w:numId="14">
    <w:abstractNumId w:val="6"/>
  </w:num>
  <w:num w:numId="15">
    <w:abstractNumId w:val="16"/>
  </w:num>
  <w:num w:numId="16">
    <w:abstractNumId w:val="5"/>
  </w:num>
  <w:num w:numId="17">
    <w:abstractNumId w:val="14"/>
  </w:num>
  <w:num w:numId="18">
    <w:abstractNumId w:val="3"/>
  </w:num>
  <w:num w:numId="19">
    <w:abstractNumId w:val="9"/>
  </w:num>
  <w:num w:numId="20">
    <w:abstractNumId w:val="0"/>
  </w:num>
  <w:num w:numId="21">
    <w:abstractNumId w:val="4"/>
  </w:num>
  <w:num w:numId="22">
    <w:abstractNumId w:val="19"/>
  </w:num>
  <w:num w:numId="23">
    <w:abstractNumId w:val="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E5A"/>
    <w:rsid w:val="00006010"/>
    <w:rsid w:val="000143E7"/>
    <w:rsid w:val="00015DC7"/>
    <w:rsid w:val="00023037"/>
    <w:rsid w:val="000260D7"/>
    <w:rsid w:val="0002771C"/>
    <w:rsid w:val="000469A6"/>
    <w:rsid w:val="00050F38"/>
    <w:rsid w:val="000517A4"/>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62CD"/>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068D0"/>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4FCB"/>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306B"/>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1EE8"/>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E7AAD"/>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26A9"/>
    <w:rsid w:val="00A730AA"/>
    <w:rsid w:val="00A806FC"/>
    <w:rsid w:val="00A81996"/>
    <w:rsid w:val="00A82CA4"/>
    <w:rsid w:val="00A8449D"/>
    <w:rsid w:val="00A86600"/>
    <w:rsid w:val="00A92E05"/>
    <w:rsid w:val="00A9638D"/>
    <w:rsid w:val="00AA2018"/>
    <w:rsid w:val="00AA28D0"/>
    <w:rsid w:val="00AB5589"/>
    <w:rsid w:val="00AB62FB"/>
    <w:rsid w:val="00AB7587"/>
    <w:rsid w:val="00AC177C"/>
    <w:rsid w:val="00AC277B"/>
    <w:rsid w:val="00AC3177"/>
    <w:rsid w:val="00AC58BD"/>
    <w:rsid w:val="00AD106B"/>
    <w:rsid w:val="00AD122A"/>
    <w:rsid w:val="00AD2745"/>
    <w:rsid w:val="00AD529B"/>
    <w:rsid w:val="00AE1756"/>
    <w:rsid w:val="00AE28C5"/>
    <w:rsid w:val="00AF34AB"/>
    <w:rsid w:val="00AF36B1"/>
    <w:rsid w:val="00AF5511"/>
    <w:rsid w:val="00AF6FF8"/>
    <w:rsid w:val="00B000B1"/>
    <w:rsid w:val="00B00BF3"/>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2F7B"/>
    <w:rsid w:val="00E13B7C"/>
    <w:rsid w:val="00E14321"/>
    <w:rsid w:val="00E2255D"/>
    <w:rsid w:val="00E22AEB"/>
    <w:rsid w:val="00E26D7C"/>
    <w:rsid w:val="00E27964"/>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27E7"/>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0C0F1F0E"/>
  <w15:docId w15:val="{2A4CADD8-273A-4967-A755-6745A3B6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4A1EE8"/>
    <w:pPr>
      <w:numPr>
        <w:numId w:val="17"/>
      </w:numPr>
      <w:spacing w:after="240" w:line="240" w:lineRule="auto"/>
      <w:contextualSpacing/>
      <w:jc w:val="center"/>
      <w:outlineLvl w:val="0"/>
    </w:pPr>
    <w:rPr>
      <w:b/>
      <w:sz w:val="20"/>
      <w:szCs w:val="20"/>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4A1EE8"/>
    <w:rPr>
      <w:rFonts w:ascii="Times New Roman" w:hAnsi="Times New Roman" w:cs="Times New Roman"/>
      <w:b/>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eb.archive.org/web/20120211010330/http://www.sofia.bg/j_paveta.as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6F058410-124E-441D-8ED3-925D4098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426</TotalTime>
  <Pages>10</Pages>
  <Words>2531</Words>
  <Characters>14428</Characters>
  <Application>Microsoft Office Word</Application>
  <DocSecurity>0</DocSecurity>
  <Lines>120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16926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Marieta1</cp:lastModifiedBy>
  <cp:revision>53</cp:revision>
  <dcterms:created xsi:type="dcterms:W3CDTF">2018-07-29T15:01:00Z</dcterms:created>
  <dcterms:modified xsi:type="dcterms:W3CDTF">2024-11-13T10:11:00Z</dcterms:modified>
</cp:coreProperties>
</file>