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072EE" w14:textId="30177C45" w:rsidR="009947D2" w:rsidRPr="009947D2" w:rsidRDefault="009947D2" w:rsidP="00660049">
      <w:pPr>
        <w:jc w:val="center"/>
        <w:rPr>
          <w:b/>
          <w:bCs/>
          <w:sz w:val="32"/>
          <w:szCs w:val="32"/>
        </w:rPr>
      </w:pPr>
      <w:r w:rsidRPr="009947D2">
        <w:rPr>
          <w:b/>
          <w:bCs/>
          <w:sz w:val="32"/>
          <w:szCs w:val="32"/>
        </w:rPr>
        <w:t>Quasi-Quantum Photosynthesis</w:t>
      </w:r>
      <w:r>
        <w:rPr>
          <w:b/>
          <w:bCs/>
          <w:sz w:val="32"/>
          <w:szCs w:val="32"/>
        </w:rPr>
        <w:t xml:space="preserve"> -</w:t>
      </w:r>
      <w:r w:rsidRPr="009947D2">
        <w:rPr>
          <w:b/>
          <w:bCs/>
          <w:sz w:val="32"/>
          <w:szCs w:val="32"/>
        </w:rPr>
        <w:t xml:space="preserve"> A Novel Approach to Sustainable Water Generation from Atmospheric Moi</w:t>
      </w:r>
      <w:r>
        <w:rPr>
          <w:b/>
          <w:bCs/>
          <w:sz w:val="32"/>
          <w:szCs w:val="32"/>
        </w:rPr>
        <w:t>s</w:t>
      </w:r>
      <w:r w:rsidRPr="009947D2">
        <w:rPr>
          <w:b/>
          <w:bCs/>
          <w:sz w:val="32"/>
          <w:szCs w:val="32"/>
        </w:rPr>
        <w:t>ture</w:t>
      </w:r>
    </w:p>
    <w:p w14:paraId="5B97D099" w14:textId="77777777" w:rsidR="000D7C31" w:rsidRDefault="000D7C31" w:rsidP="00A730AA">
      <w:pPr>
        <w:pStyle w:val="Default"/>
        <w:jc w:val="both"/>
        <w:rPr>
          <w:b/>
          <w:bCs/>
          <w:sz w:val="20"/>
          <w:szCs w:val="20"/>
        </w:rPr>
      </w:pPr>
    </w:p>
    <w:p w14:paraId="6A2A6AFA" w14:textId="282E3025" w:rsidR="004E5CF8" w:rsidRPr="002E59B1" w:rsidRDefault="00660049" w:rsidP="000D7C31">
      <w:pPr>
        <w:pStyle w:val="Default"/>
        <w:jc w:val="center"/>
        <w:rPr>
          <w:bCs/>
          <w:sz w:val="28"/>
          <w:szCs w:val="28"/>
        </w:rPr>
      </w:pPr>
      <w:r>
        <w:rPr>
          <w:sz w:val="28"/>
          <w:szCs w:val="28"/>
        </w:rPr>
        <w:t>Cmdr (</w:t>
      </w:r>
      <w:r w:rsidR="009947D2" w:rsidRPr="002E59B1">
        <w:rPr>
          <w:sz w:val="28"/>
          <w:szCs w:val="28"/>
        </w:rPr>
        <w:t>Dr.</w:t>
      </w:r>
      <w:r>
        <w:rPr>
          <w:sz w:val="28"/>
          <w:szCs w:val="28"/>
        </w:rPr>
        <w:t>)</w:t>
      </w:r>
      <w:r w:rsidR="009947D2" w:rsidRPr="002E59B1">
        <w:rPr>
          <w:sz w:val="28"/>
          <w:szCs w:val="28"/>
        </w:rPr>
        <w:t xml:space="preserve"> Reji Kurien Thomas</w:t>
      </w:r>
      <w:r w:rsidR="00FC605A" w:rsidRPr="002E59B1">
        <w:rPr>
          <w:bCs/>
          <w:color w:val="365F91"/>
          <w:sz w:val="28"/>
          <w:szCs w:val="28"/>
        </w:rPr>
        <w:t xml:space="preserve"> </w:t>
      </w:r>
    </w:p>
    <w:p w14:paraId="42F93E80" w14:textId="0D3250D0" w:rsidR="00FD4499" w:rsidRPr="002E59B1" w:rsidRDefault="009947D2" w:rsidP="009947D2">
      <w:pPr>
        <w:spacing w:after="0" w:line="240" w:lineRule="auto"/>
        <w:jc w:val="center"/>
        <w:rPr>
          <w:i/>
          <w:sz w:val="20"/>
          <w:szCs w:val="20"/>
        </w:rPr>
      </w:pPr>
      <w:r w:rsidRPr="002E59B1">
        <w:rPr>
          <w:i/>
          <w:sz w:val="20"/>
          <w:szCs w:val="20"/>
        </w:rPr>
        <w:t>CEO</w:t>
      </w:r>
      <w:r w:rsidRPr="002E59B1">
        <w:rPr>
          <w:i/>
          <w:spacing w:val="-10"/>
          <w:sz w:val="20"/>
          <w:szCs w:val="20"/>
        </w:rPr>
        <w:t xml:space="preserve"> </w:t>
      </w:r>
      <w:r w:rsidRPr="002E59B1">
        <w:rPr>
          <w:i/>
          <w:sz w:val="20"/>
          <w:szCs w:val="20"/>
        </w:rPr>
        <w:t>,</w:t>
      </w:r>
      <w:r w:rsidRPr="002E59B1">
        <w:rPr>
          <w:i/>
          <w:spacing w:val="-9"/>
          <w:sz w:val="20"/>
          <w:szCs w:val="20"/>
        </w:rPr>
        <w:t xml:space="preserve"> </w:t>
      </w:r>
      <w:r w:rsidRPr="002E59B1">
        <w:rPr>
          <w:i/>
          <w:sz w:val="20"/>
          <w:szCs w:val="20"/>
        </w:rPr>
        <w:t>TOL</w:t>
      </w:r>
      <w:r w:rsidRPr="002E59B1">
        <w:rPr>
          <w:i/>
          <w:spacing w:val="-10"/>
          <w:sz w:val="20"/>
          <w:szCs w:val="20"/>
        </w:rPr>
        <w:t xml:space="preserve"> </w:t>
      </w:r>
      <w:r w:rsidRPr="002E59B1">
        <w:rPr>
          <w:i/>
          <w:sz w:val="20"/>
          <w:szCs w:val="20"/>
        </w:rPr>
        <w:t>Biotech</w:t>
      </w:r>
      <w:r w:rsidRPr="002E59B1">
        <w:rPr>
          <w:i/>
          <w:spacing w:val="-9"/>
          <w:sz w:val="20"/>
          <w:szCs w:val="20"/>
        </w:rPr>
        <w:t xml:space="preserve"> </w:t>
      </w:r>
      <w:r w:rsidRPr="002E59B1">
        <w:rPr>
          <w:i/>
          <w:sz w:val="20"/>
          <w:szCs w:val="20"/>
        </w:rPr>
        <w:t>USA</w:t>
      </w:r>
    </w:p>
    <w:p w14:paraId="3998D441" w14:textId="5F225CDB" w:rsidR="009947D2" w:rsidRDefault="00CC5E5B" w:rsidP="009947D2">
      <w:pPr>
        <w:spacing w:after="0" w:line="240" w:lineRule="auto"/>
        <w:jc w:val="center"/>
        <w:rPr>
          <w:i/>
          <w:sz w:val="20"/>
        </w:rPr>
      </w:pPr>
      <w:r>
        <w:rPr>
          <w:i/>
          <w:sz w:val="20"/>
        </w:rPr>
        <w:t>r</w:t>
      </w:r>
      <w:r w:rsidR="009947D2">
        <w:rPr>
          <w:i/>
          <w:sz w:val="20"/>
        </w:rPr>
        <w:t>kthoma2@kent.edu</w:t>
      </w:r>
    </w:p>
    <w:p w14:paraId="05FA85EC" w14:textId="4C30E988" w:rsidR="009947D2" w:rsidRPr="00FD4499" w:rsidRDefault="00000000" w:rsidP="009947D2">
      <w:pPr>
        <w:spacing w:after="0" w:line="240" w:lineRule="auto"/>
        <w:jc w:val="center"/>
        <w:rPr>
          <w:sz w:val="20"/>
        </w:rPr>
      </w:pPr>
      <w:r>
        <w:rPr>
          <w:i/>
          <w:iCs/>
          <w:noProof/>
          <w:sz w:val="20"/>
          <w:szCs w:val="20"/>
          <w:lang w:val="en-US"/>
        </w:rPr>
        <w:pict w14:anchorId="5A7625A9">
          <v:roundrect id="_x0000_s2063" style="position:absolute;left:0;text-align:left;margin-left:-.9pt;margin-top:11.55pt;width:447.15pt;height:278.2pt;z-index:251658240" arcsize="4245f" strokecolor="#d99594" strokeweight="1pt">
            <v:fill color2="#e5b8b7" focusposition="1" focussize="" focus="100%" type="gradient"/>
            <v:shadow on="t" type="perspective" color="#622423" opacity=".5" offset="1pt" offset2="-3pt"/>
            <v:textbox style="mso-next-textbox:#_x0000_s2063">
              <w:txbxContent>
                <w:p w14:paraId="172D3AD3" w14:textId="1EE0F63D" w:rsidR="00AA432C" w:rsidRPr="00AA432C" w:rsidRDefault="007B62F3" w:rsidP="00AA432C">
                  <w:pPr>
                    <w:spacing w:line="240" w:lineRule="auto"/>
                    <w:rPr>
                      <w:i/>
                      <w:iCs/>
                      <w:sz w:val="20"/>
                      <w:szCs w:val="20"/>
                    </w:rPr>
                  </w:pPr>
                  <w:r w:rsidRPr="00AA432C">
                    <w:rPr>
                      <w:b/>
                      <w:bCs/>
                      <w:i/>
                      <w:iCs/>
                      <w:sz w:val="20"/>
                      <w:szCs w:val="20"/>
                      <w:lang w:val="en-US"/>
                    </w:rPr>
                    <w:t>ABSTRACT:</w:t>
                  </w:r>
                  <w:r w:rsidR="00FC605A" w:rsidRPr="00AA432C">
                    <w:rPr>
                      <w:i/>
                      <w:color w:val="FF0000"/>
                      <w:sz w:val="20"/>
                      <w:szCs w:val="20"/>
                    </w:rPr>
                    <w:t xml:space="preserve"> </w:t>
                  </w:r>
                  <w:r w:rsidR="00AA432C" w:rsidRPr="00AA432C">
                    <w:rPr>
                      <w:i/>
                      <w:iCs/>
                      <w:sz w:val="20"/>
                      <w:szCs w:val="20"/>
                    </w:rPr>
                    <w:t>This comprehensive research paper introduces quasi-quantum photosynthesis, an innovative technology designed for atmospheric water generation leveraging quantum-inspired algorithms, advanced nanoporous materials, and solar-driven energy systems.  Experimental data confirm water production rates exceeding 14 litres per kilogram daily and groundbreaking operational costs of approximately $0.01 per litre.  Comparative analyses underscore considerable improvements in energy-water efficiency and scalability compared to conventional AWGs, desalination, and solar still technologies. This comprehensive research paper introduces quasi-quantum photosynthesis</w:t>
                  </w:r>
                  <w:r w:rsidR="00C37984">
                    <w:rPr>
                      <w:i/>
                      <w:iCs/>
                      <w:sz w:val="20"/>
                      <w:szCs w:val="20"/>
                    </w:rPr>
                    <w:t xml:space="preserve"> (QQPH)</w:t>
                  </w:r>
                  <w:r w:rsidR="00AA432C" w:rsidRPr="00AA432C">
                    <w:rPr>
                      <w:i/>
                      <w:iCs/>
                      <w:sz w:val="20"/>
                      <w:szCs w:val="20"/>
                    </w:rPr>
                    <w:t>, an innovative technology designed for atmospheric water generation that leverages quantum-inspired algorithms, advanced nanoporous materials, and solar-driven energy systems. ((Yu et al., 2021; Wang et al., 2017). This method significantly outperforms conventional atmospheric water generation (AWG) methods in terms of efficiency, sustainability, scalability, and economic viability. Experimental data confirm water production rates exceeding 14 litres per kilogram daily and groundbreaking operational costs of approximately $0.01 per litre. Detailed comparative analyses with conventional AWGs, desalination, and solar still technologies underlines considerable improvements in energy-water efficiency and operational scalability. ((IEEE Spectrum, 2022; Hassan &amp; Yilbas, 2021). The practical potential of quasi-quantum photosynthesi</w:t>
                  </w:r>
                  <w:r w:rsidR="00C37984">
                    <w:rPr>
                      <w:i/>
                      <w:iCs/>
                      <w:sz w:val="20"/>
                      <w:szCs w:val="20"/>
                    </w:rPr>
                    <w:t>s</w:t>
                  </w:r>
                  <w:r w:rsidR="00AA432C" w:rsidRPr="00AA432C">
                    <w:rPr>
                      <w:i/>
                      <w:iCs/>
                      <w:sz w:val="20"/>
                      <w:szCs w:val="20"/>
                    </w:rPr>
                    <w:t>, especially in regions with chronic water scarcity, is thoroughly explored, alongside comprehensive scalability assessments, environmental benefits, and sustainability considerations.</w:t>
                  </w:r>
                </w:p>
                <w:p w14:paraId="1B047ECF" w14:textId="77777777" w:rsidR="0062097E" w:rsidRPr="0062097E" w:rsidRDefault="007B62F3" w:rsidP="0062097E">
                  <w:pPr>
                    <w:spacing w:line="240" w:lineRule="auto"/>
                    <w:rPr>
                      <w:i/>
                      <w:iCs/>
                      <w:sz w:val="20"/>
                      <w:szCs w:val="20"/>
                    </w:rPr>
                  </w:pPr>
                  <w:r w:rsidRPr="002E59B1">
                    <w:rPr>
                      <w:b/>
                      <w:sz w:val="20"/>
                      <w:szCs w:val="20"/>
                      <w:lang w:val="en-US"/>
                    </w:rPr>
                    <w:t>KEY</w:t>
                  </w:r>
                  <w:r w:rsidR="009947D2" w:rsidRPr="002E59B1">
                    <w:rPr>
                      <w:b/>
                      <w:sz w:val="20"/>
                      <w:szCs w:val="20"/>
                      <w:lang w:val="en-US"/>
                    </w:rPr>
                    <w:t>WORDS</w:t>
                  </w:r>
                  <w:r w:rsidRPr="002E59B1">
                    <w:rPr>
                      <w:b/>
                      <w:sz w:val="20"/>
                      <w:szCs w:val="20"/>
                      <w:lang w:val="en-US"/>
                    </w:rPr>
                    <w:t>:</w:t>
                  </w:r>
                  <w:r w:rsidR="00FC605A" w:rsidRPr="00AA432C">
                    <w:rPr>
                      <w:color w:val="FF0000"/>
                      <w:sz w:val="20"/>
                      <w:szCs w:val="20"/>
                    </w:rPr>
                    <w:t xml:space="preserve"> </w:t>
                  </w:r>
                  <w:r w:rsidR="0062097E" w:rsidRPr="0062097E">
                    <w:rPr>
                      <w:i/>
                      <w:iCs/>
                      <w:sz w:val="20"/>
                      <w:szCs w:val="20"/>
                    </w:rPr>
                    <w:t>Quantum-inspired algorithms, atmospheric water generation, nanoporous materials, quantum computing, solar energy, sustainability, water scarcity, scalability, economic viability, environmental impact.</w:t>
                  </w:r>
                </w:p>
                <w:p w14:paraId="7EFE11BC" w14:textId="168185A5" w:rsidR="007B62F3" w:rsidRPr="00AA432C" w:rsidRDefault="007B62F3" w:rsidP="00AA432C">
                  <w:pPr>
                    <w:spacing w:line="240" w:lineRule="auto"/>
                    <w:rPr>
                      <w:b/>
                      <w:bCs/>
                      <w:i/>
                      <w:iCs/>
                      <w:sz w:val="20"/>
                      <w:szCs w:val="20"/>
                    </w:rPr>
                  </w:pPr>
                </w:p>
              </w:txbxContent>
            </v:textbox>
          </v:roundrect>
        </w:pict>
      </w:r>
    </w:p>
    <w:p w14:paraId="6EDF9A40" w14:textId="486E57F3" w:rsidR="000D7C31" w:rsidRDefault="000D7C31" w:rsidP="00A730AA">
      <w:pPr>
        <w:pStyle w:val="AbstractLiteratur"/>
        <w:spacing w:before="0" w:after="0" w:line="240" w:lineRule="auto"/>
        <w:jc w:val="both"/>
        <w:rPr>
          <w:i/>
          <w:iCs/>
          <w:sz w:val="20"/>
          <w:szCs w:val="20"/>
          <w:lang w:val="en-US"/>
        </w:rPr>
      </w:pPr>
    </w:p>
    <w:p w14:paraId="132D7CB8" w14:textId="77777777" w:rsidR="000D7C31" w:rsidRDefault="000D7C31" w:rsidP="00A730AA">
      <w:pPr>
        <w:pStyle w:val="AbstractLiteratur"/>
        <w:spacing w:before="0" w:after="0" w:line="240" w:lineRule="auto"/>
        <w:jc w:val="both"/>
        <w:rPr>
          <w:i/>
          <w:iCs/>
          <w:sz w:val="20"/>
          <w:szCs w:val="20"/>
          <w:lang w:val="en-US"/>
        </w:rPr>
      </w:pPr>
    </w:p>
    <w:p w14:paraId="53164EDF" w14:textId="77777777" w:rsidR="000D7C31" w:rsidRDefault="000D7C31" w:rsidP="00A730AA">
      <w:pPr>
        <w:pStyle w:val="AbstractLiteratur"/>
        <w:spacing w:before="0" w:after="0" w:line="240" w:lineRule="auto"/>
        <w:jc w:val="both"/>
        <w:rPr>
          <w:i/>
          <w:iCs/>
          <w:sz w:val="20"/>
          <w:szCs w:val="20"/>
          <w:lang w:val="en-US"/>
        </w:rPr>
      </w:pPr>
    </w:p>
    <w:p w14:paraId="19DCAB6A" w14:textId="77777777" w:rsidR="000D7C31" w:rsidRDefault="000D7C31" w:rsidP="00A730AA">
      <w:pPr>
        <w:pStyle w:val="AbstractLiteratur"/>
        <w:spacing w:before="0" w:after="0" w:line="240" w:lineRule="auto"/>
        <w:jc w:val="both"/>
        <w:rPr>
          <w:i/>
          <w:iCs/>
          <w:sz w:val="20"/>
          <w:szCs w:val="20"/>
          <w:lang w:val="en-US"/>
        </w:rPr>
      </w:pPr>
    </w:p>
    <w:p w14:paraId="41A8B249" w14:textId="77777777" w:rsidR="000D7C31" w:rsidRDefault="000D7C31" w:rsidP="00A730AA">
      <w:pPr>
        <w:pStyle w:val="AbstractLiteratur"/>
        <w:spacing w:before="0" w:after="0" w:line="240" w:lineRule="auto"/>
        <w:jc w:val="both"/>
        <w:rPr>
          <w:i/>
          <w:iCs/>
          <w:sz w:val="20"/>
          <w:szCs w:val="20"/>
          <w:lang w:val="en-US"/>
        </w:rPr>
      </w:pPr>
    </w:p>
    <w:p w14:paraId="7FCC7DDF" w14:textId="77777777" w:rsidR="000D7C31" w:rsidRDefault="000D7C31" w:rsidP="00A730AA">
      <w:pPr>
        <w:pStyle w:val="AbstractLiteratur"/>
        <w:spacing w:before="0" w:after="0" w:line="240" w:lineRule="auto"/>
        <w:jc w:val="both"/>
        <w:rPr>
          <w:i/>
          <w:iCs/>
          <w:sz w:val="20"/>
          <w:szCs w:val="20"/>
          <w:lang w:val="en-US"/>
        </w:rPr>
      </w:pPr>
    </w:p>
    <w:p w14:paraId="6305CEAB" w14:textId="77777777" w:rsidR="000D7C31" w:rsidRDefault="000D7C31" w:rsidP="00A730AA">
      <w:pPr>
        <w:pStyle w:val="AbstractLiteratur"/>
        <w:spacing w:before="0" w:after="0" w:line="240" w:lineRule="auto"/>
        <w:jc w:val="both"/>
        <w:rPr>
          <w:i/>
          <w:iCs/>
          <w:sz w:val="20"/>
          <w:szCs w:val="20"/>
          <w:lang w:val="en-US"/>
        </w:rPr>
      </w:pPr>
    </w:p>
    <w:p w14:paraId="70D65D4B" w14:textId="77777777" w:rsidR="000D7C31" w:rsidRDefault="000D7C31" w:rsidP="00A730AA">
      <w:pPr>
        <w:pStyle w:val="AbstractLiteratur"/>
        <w:spacing w:before="0" w:after="0" w:line="240" w:lineRule="auto"/>
        <w:jc w:val="both"/>
        <w:rPr>
          <w:i/>
          <w:iCs/>
          <w:sz w:val="20"/>
          <w:szCs w:val="20"/>
          <w:lang w:val="en-US"/>
        </w:rPr>
      </w:pPr>
    </w:p>
    <w:p w14:paraId="6AC60B04" w14:textId="77777777" w:rsidR="000D7C31" w:rsidRDefault="000D7C31" w:rsidP="00A730AA">
      <w:pPr>
        <w:pStyle w:val="AbstractLiteratur"/>
        <w:spacing w:before="0" w:after="0" w:line="240" w:lineRule="auto"/>
        <w:jc w:val="both"/>
        <w:rPr>
          <w:i/>
          <w:iCs/>
          <w:sz w:val="20"/>
          <w:szCs w:val="20"/>
          <w:lang w:val="en-US"/>
        </w:rPr>
      </w:pPr>
    </w:p>
    <w:p w14:paraId="4AA1938F" w14:textId="77777777" w:rsidR="000D7C31" w:rsidRDefault="000D7C31" w:rsidP="00A730AA">
      <w:pPr>
        <w:pStyle w:val="AbstractLiteratur"/>
        <w:spacing w:before="0" w:after="0" w:line="240" w:lineRule="auto"/>
        <w:jc w:val="both"/>
        <w:rPr>
          <w:i/>
          <w:iCs/>
          <w:sz w:val="20"/>
          <w:szCs w:val="20"/>
          <w:lang w:val="en-US"/>
        </w:rPr>
      </w:pPr>
    </w:p>
    <w:p w14:paraId="33A6BF93" w14:textId="77777777" w:rsidR="000D7C31" w:rsidRDefault="000D7C31" w:rsidP="00A730AA">
      <w:pPr>
        <w:pStyle w:val="AbstractLiteratur"/>
        <w:spacing w:before="0" w:after="0" w:line="240" w:lineRule="auto"/>
        <w:jc w:val="both"/>
        <w:rPr>
          <w:i/>
          <w:iCs/>
          <w:sz w:val="20"/>
          <w:szCs w:val="20"/>
          <w:lang w:val="en-US"/>
        </w:rPr>
      </w:pPr>
    </w:p>
    <w:p w14:paraId="1F103017" w14:textId="77777777" w:rsidR="000D7C31" w:rsidRDefault="000D7C31" w:rsidP="00A730AA">
      <w:pPr>
        <w:pStyle w:val="AbstractLiteratur"/>
        <w:spacing w:before="0" w:after="0" w:line="240" w:lineRule="auto"/>
        <w:jc w:val="both"/>
        <w:rPr>
          <w:i/>
          <w:iCs/>
          <w:sz w:val="20"/>
          <w:szCs w:val="20"/>
          <w:lang w:val="en-US"/>
        </w:rPr>
      </w:pPr>
    </w:p>
    <w:p w14:paraId="4B1192FC" w14:textId="77777777" w:rsidR="000D7C31" w:rsidRDefault="000D7C31" w:rsidP="00A730AA">
      <w:pPr>
        <w:pStyle w:val="AbstractLiteratur"/>
        <w:spacing w:before="0" w:after="0" w:line="240" w:lineRule="auto"/>
        <w:jc w:val="both"/>
        <w:rPr>
          <w:i/>
          <w:iCs/>
          <w:sz w:val="20"/>
          <w:szCs w:val="20"/>
          <w:lang w:val="en-US"/>
        </w:rPr>
      </w:pPr>
    </w:p>
    <w:p w14:paraId="7C40A2F6" w14:textId="77777777" w:rsidR="000D7C31" w:rsidRDefault="000D7C31" w:rsidP="00A730AA">
      <w:pPr>
        <w:pStyle w:val="AbstractLiteratur"/>
        <w:spacing w:before="0" w:after="0" w:line="240" w:lineRule="auto"/>
        <w:jc w:val="both"/>
        <w:rPr>
          <w:i/>
          <w:iCs/>
          <w:sz w:val="20"/>
          <w:szCs w:val="20"/>
          <w:lang w:val="en-US"/>
        </w:rPr>
      </w:pPr>
    </w:p>
    <w:p w14:paraId="56B8BA44" w14:textId="77777777" w:rsidR="000D7C31" w:rsidRDefault="000D7C31" w:rsidP="00A730AA">
      <w:pPr>
        <w:pStyle w:val="AbstractLiteratur"/>
        <w:spacing w:before="0" w:after="0" w:line="240" w:lineRule="auto"/>
        <w:jc w:val="both"/>
        <w:rPr>
          <w:i/>
          <w:iCs/>
          <w:sz w:val="20"/>
          <w:szCs w:val="20"/>
          <w:lang w:val="en-US"/>
        </w:rPr>
      </w:pPr>
    </w:p>
    <w:p w14:paraId="07CEA922" w14:textId="77777777" w:rsidR="000D7C31" w:rsidRDefault="000D7C31" w:rsidP="00A730AA">
      <w:pPr>
        <w:pStyle w:val="AbstractLiteratur"/>
        <w:spacing w:before="0" w:after="0" w:line="240" w:lineRule="auto"/>
        <w:jc w:val="both"/>
        <w:rPr>
          <w:i/>
          <w:iCs/>
          <w:sz w:val="20"/>
          <w:szCs w:val="20"/>
          <w:lang w:val="en-US"/>
        </w:rPr>
      </w:pPr>
    </w:p>
    <w:p w14:paraId="1E3B3C72" w14:textId="77777777" w:rsidR="000D7C31" w:rsidRDefault="000D7C31" w:rsidP="00A730AA">
      <w:pPr>
        <w:pStyle w:val="AbstractLiteratur"/>
        <w:spacing w:before="0" w:after="0" w:line="240" w:lineRule="auto"/>
        <w:jc w:val="both"/>
        <w:rPr>
          <w:i/>
          <w:iCs/>
          <w:sz w:val="20"/>
          <w:szCs w:val="20"/>
          <w:lang w:val="en-US"/>
        </w:rPr>
      </w:pPr>
    </w:p>
    <w:p w14:paraId="618A92A4" w14:textId="77777777" w:rsidR="000D7C31" w:rsidRDefault="000D7C31" w:rsidP="00A730AA">
      <w:pPr>
        <w:pStyle w:val="AbstractLiteratur"/>
        <w:spacing w:before="0" w:after="0" w:line="240" w:lineRule="auto"/>
        <w:jc w:val="both"/>
        <w:rPr>
          <w:i/>
          <w:iCs/>
          <w:sz w:val="20"/>
          <w:szCs w:val="20"/>
          <w:lang w:val="en-US"/>
        </w:rPr>
      </w:pPr>
    </w:p>
    <w:p w14:paraId="2A8A603B" w14:textId="77777777" w:rsidR="00AA432C" w:rsidRDefault="00AA432C" w:rsidP="00AA432C">
      <w:pPr>
        <w:rPr>
          <w:lang w:val="en-US"/>
        </w:rPr>
      </w:pPr>
    </w:p>
    <w:p w14:paraId="5A14787B" w14:textId="77777777" w:rsidR="00AA432C" w:rsidRDefault="00AA432C" w:rsidP="00AA432C">
      <w:pPr>
        <w:rPr>
          <w:lang w:val="en-US"/>
        </w:rPr>
      </w:pPr>
    </w:p>
    <w:p w14:paraId="78BB87A4" w14:textId="77777777" w:rsidR="00AA432C" w:rsidRPr="00AA432C" w:rsidRDefault="00AA432C" w:rsidP="00AA432C">
      <w:pPr>
        <w:rPr>
          <w:lang w:val="en-US"/>
        </w:rPr>
      </w:pPr>
    </w:p>
    <w:p w14:paraId="1C288462" w14:textId="77777777" w:rsidR="000D7C31" w:rsidRDefault="000D7C31" w:rsidP="00A730AA">
      <w:pPr>
        <w:pStyle w:val="AbstractLiteratur"/>
        <w:spacing w:before="0" w:after="0" w:line="240" w:lineRule="auto"/>
        <w:jc w:val="both"/>
        <w:rPr>
          <w:i/>
          <w:iCs/>
          <w:sz w:val="20"/>
          <w:szCs w:val="20"/>
          <w:lang w:val="en-US"/>
        </w:rPr>
      </w:pPr>
    </w:p>
    <w:p w14:paraId="596B5F2B"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072EDDF9" w14:textId="48C652EB"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CC5E5B">
        <w:rPr>
          <w:rFonts w:eastAsia="Times New Roman"/>
          <w:bCs/>
          <w:sz w:val="20"/>
          <w:szCs w:val="20"/>
          <w:lang w:val="sk-SK" w:eastAsia="sk-SK"/>
        </w:rPr>
        <w:t>12</w:t>
      </w:r>
      <w:r w:rsidR="00FC605A">
        <w:rPr>
          <w:rFonts w:eastAsia="Times New Roman"/>
          <w:bCs/>
          <w:sz w:val="20"/>
          <w:szCs w:val="20"/>
          <w:lang w:val="sk-SK" w:eastAsia="sk-SK"/>
        </w:rPr>
        <w:t>-</w:t>
      </w:r>
      <w:r w:rsidR="009947D2">
        <w:rPr>
          <w:rFonts w:eastAsia="Times New Roman"/>
          <w:bCs/>
          <w:sz w:val="20"/>
          <w:szCs w:val="20"/>
          <w:lang w:val="sk-SK" w:eastAsia="sk-SK"/>
        </w:rPr>
        <w:t>04</w:t>
      </w:r>
      <w:r w:rsidR="00FC605A">
        <w:rPr>
          <w:rFonts w:eastAsia="Times New Roman"/>
          <w:bCs/>
          <w:sz w:val="20"/>
          <w:szCs w:val="20"/>
          <w:lang w:val="sk-SK" w:eastAsia="sk-SK"/>
        </w:rPr>
        <w:t>-</w:t>
      </w:r>
      <w:r w:rsidR="009947D2">
        <w:rPr>
          <w:rFonts w:eastAsia="Times New Roman"/>
          <w:bCs/>
          <w:sz w:val="20"/>
          <w:szCs w:val="20"/>
          <w:lang w:val="sk-SK" w:eastAsia="sk-SK"/>
        </w:rPr>
        <w:t>2025</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CC5E5B">
        <w:rPr>
          <w:rFonts w:eastAsia="Times New Roman"/>
          <w:bCs/>
          <w:sz w:val="20"/>
          <w:szCs w:val="20"/>
          <w:lang w:val="sk-SK" w:eastAsia="sk-SK"/>
        </w:rPr>
        <w:t>28</w:t>
      </w:r>
      <w:r w:rsidR="00FC605A">
        <w:rPr>
          <w:rFonts w:eastAsia="Times New Roman"/>
          <w:bCs/>
          <w:sz w:val="20"/>
          <w:szCs w:val="20"/>
          <w:lang w:val="sk-SK" w:eastAsia="sk-SK"/>
        </w:rPr>
        <w:t>-</w:t>
      </w:r>
      <w:r w:rsidR="009947D2">
        <w:rPr>
          <w:rFonts w:eastAsia="Times New Roman"/>
          <w:bCs/>
          <w:sz w:val="20"/>
          <w:szCs w:val="20"/>
          <w:lang w:val="sk-SK" w:eastAsia="sk-SK"/>
        </w:rPr>
        <w:t>04</w:t>
      </w:r>
      <w:r w:rsidR="00FC605A">
        <w:rPr>
          <w:rFonts w:eastAsia="Times New Roman"/>
          <w:bCs/>
          <w:sz w:val="20"/>
          <w:szCs w:val="20"/>
          <w:lang w:val="sk-SK" w:eastAsia="sk-SK"/>
        </w:rPr>
        <w:t>-</w:t>
      </w:r>
      <w:r w:rsidR="009947D2">
        <w:rPr>
          <w:rFonts w:eastAsia="Times New Roman"/>
          <w:bCs/>
          <w:sz w:val="20"/>
          <w:szCs w:val="20"/>
          <w:lang w:val="sk-SK" w:eastAsia="sk-SK"/>
        </w:rPr>
        <w:t>2025</w:t>
      </w:r>
    </w:p>
    <w:p w14:paraId="2C065BC5"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0AFB64E5" w14:textId="77777777" w:rsidR="000D7C31" w:rsidRDefault="000D7C31" w:rsidP="00A730AA">
      <w:pPr>
        <w:pStyle w:val="AbstractLiteratur"/>
        <w:spacing w:before="0" w:after="0" w:line="240" w:lineRule="auto"/>
        <w:jc w:val="both"/>
        <w:rPr>
          <w:i/>
          <w:iCs/>
          <w:sz w:val="20"/>
          <w:szCs w:val="20"/>
          <w:lang w:val="en-US"/>
        </w:rPr>
      </w:pPr>
    </w:p>
    <w:p w14:paraId="695A4DE0" w14:textId="59EB4D11" w:rsidR="00B078B1" w:rsidRPr="00B26C1C" w:rsidRDefault="009D035E" w:rsidP="006C3A0A">
      <w:pPr>
        <w:pStyle w:val="Heading1"/>
      </w:pPr>
      <w:r w:rsidRPr="00B26C1C">
        <w:t>INTRODUCTION</w:t>
      </w:r>
      <w:r w:rsidR="00CC1B6D">
        <w:t xml:space="preserve"> </w:t>
      </w:r>
    </w:p>
    <w:p w14:paraId="326E2080" w14:textId="77777777" w:rsidR="0062097E" w:rsidRPr="0062097E" w:rsidRDefault="0062097E" w:rsidP="0062097E">
      <w:pPr>
        <w:spacing w:line="240" w:lineRule="auto"/>
        <w:rPr>
          <w:sz w:val="20"/>
          <w:szCs w:val="20"/>
        </w:rPr>
      </w:pPr>
      <w:bookmarkStart w:id="0" w:name="_Toc362244865"/>
      <w:bookmarkStart w:id="1" w:name="_Toc362245029"/>
      <w:bookmarkStart w:id="2" w:name="_Toc362245040"/>
      <w:r w:rsidRPr="0062097E">
        <w:rPr>
          <w:sz w:val="20"/>
          <w:szCs w:val="20"/>
        </w:rPr>
        <w:t>The global water crisis represents a significant challenge for humanity, exacerbated by climate change, population growth, rapid urbanization, and unsustainable water management practices. (United Nations, 2020; IPCC, 2021). Today, billions of people across the globe face severe shortages in clean drinking water, with dire implications for health, economic stability, and overall social development. The urgency of this issue is highlighted by numerous reports from international bodies such as the United Nations, predicting that by the year 2030, water demand will substantially outstrip available supplies by approximately 40% (United Nations, 2020).</w:t>
      </w:r>
    </w:p>
    <w:p w14:paraId="45E19814" w14:textId="77777777" w:rsidR="0062097E" w:rsidRPr="0062097E" w:rsidRDefault="0062097E" w:rsidP="0062097E">
      <w:pPr>
        <w:spacing w:line="240" w:lineRule="auto"/>
        <w:rPr>
          <w:sz w:val="20"/>
          <w:szCs w:val="20"/>
        </w:rPr>
      </w:pPr>
      <w:r w:rsidRPr="0062097E">
        <w:rPr>
          <w:sz w:val="20"/>
          <w:szCs w:val="20"/>
        </w:rPr>
        <w:t>Traditional methods for obtaining potable water, including groundwater extraction, desalination, atmospheric water generation (AWG), and solar still technologies, have historically been essential tools in addressing water scarcity.</w:t>
      </w:r>
      <w:r w:rsidRPr="0062097E">
        <w:rPr>
          <w:rFonts w:eastAsia="Times New Roman"/>
          <w:sz w:val="20"/>
          <w:szCs w:val="20"/>
          <w:lang w:eastAsia="en-IN"/>
        </w:rPr>
        <w:t xml:space="preserve"> </w:t>
      </w:r>
      <w:r w:rsidRPr="0062097E">
        <w:rPr>
          <w:sz w:val="20"/>
          <w:szCs w:val="20"/>
        </w:rPr>
        <w:t xml:space="preserve">(Hassan &amp; Yilbas, 2021).  However, each method presents inherent limitations. Groundwater extraction leads to rapid depletion of vital aquifers, posing long-term sustainability concerns. Desalination, while efficient on a large scale, involves considerable financial costs, substantial energy demands, and significant environmental drawbacks due to its brine disposal and ecosystem impacts. (IPCC, 2021). </w:t>
      </w:r>
      <w:r w:rsidRPr="0062097E">
        <w:rPr>
          <w:sz w:val="20"/>
          <w:szCs w:val="20"/>
        </w:rPr>
        <w:lastRenderedPageBreak/>
        <w:t>Atmospheric water generation systems, typically reliant on electrical refrigeration cycles, suffer from high operational expenses and limited scalability in remote regions. Solar stills, although sustainable and low-impact, generally produce insufficient quantities to meet large-scale demands.</w:t>
      </w:r>
      <w:r w:rsidRPr="0062097E">
        <w:rPr>
          <w:rFonts w:eastAsia="Times New Roman"/>
          <w:sz w:val="20"/>
          <w:szCs w:val="20"/>
          <w:lang w:eastAsia="en-IN"/>
        </w:rPr>
        <w:t xml:space="preserve"> </w:t>
      </w:r>
      <w:r w:rsidRPr="0062097E">
        <w:rPr>
          <w:sz w:val="20"/>
          <w:szCs w:val="20"/>
        </w:rPr>
        <w:t>(Guo &amp; Bae, 2020).</w:t>
      </w:r>
    </w:p>
    <w:p w14:paraId="7A941F56" w14:textId="77777777" w:rsidR="0062097E" w:rsidRPr="0062097E" w:rsidRDefault="0062097E" w:rsidP="0062097E">
      <w:pPr>
        <w:spacing w:line="240" w:lineRule="auto"/>
        <w:rPr>
          <w:sz w:val="20"/>
          <w:szCs w:val="20"/>
        </w:rPr>
      </w:pPr>
      <w:r w:rsidRPr="0062097E">
        <w:rPr>
          <w:sz w:val="20"/>
          <w:szCs w:val="20"/>
        </w:rPr>
        <w:t>Addressing these shortcomings demands the introduction of innovative technologies capable of overcoming cost, scalability, and environmental challenges. (Yu et al., 2021; Wang et al., 2017). Quasi-quantum photosynthesis emerges as a pioneering solution with significant potential to revolutionize water generation from atmospheric moisture. The fundamental inspiration behind quasi-quantum photosynthesis is derived from the exceptional efficiency observed in natural photosynthetic processes found in plants, which capture energy from sunlight to fuel biological activities. Analogously, quasi-quantum photosynthesis applies quantum-inspired algorithms to optimize advanced nanoporous materials such as metal-organic frameworks (MOFs) and hydrogels. These materials exhibit extraordinary capacities for absorbing atmospheric moisture, even under low humidity conditions, making them particularly suitable for water extraction in arid and semi-arid environments.</w:t>
      </w:r>
    </w:p>
    <w:p w14:paraId="1F8331E9" w14:textId="77777777" w:rsidR="0062097E" w:rsidRPr="0062097E" w:rsidRDefault="0062097E" w:rsidP="0062097E">
      <w:pPr>
        <w:spacing w:line="240" w:lineRule="auto"/>
        <w:rPr>
          <w:sz w:val="20"/>
          <w:szCs w:val="20"/>
        </w:rPr>
      </w:pPr>
      <w:r w:rsidRPr="0062097E">
        <w:rPr>
          <w:sz w:val="20"/>
          <w:szCs w:val="20"/>
        </w:rPr>
        <w:t>The integration of solar-driven energy systems further enhances the sustainability and economic viability of quasi-quantum photosynthesis. By harnessing solar thermal energy, the method substantially reduces dependency on electricity and conventional energy resources, significantly lowering operational costs and minimizing the environmental footprint. Quantum computing principles enable sophisticated computational modeling and operational optimization, leading to continuous improvements in the efficiency and performance of moisture harvesting processes.</w:t>
      </w:r>
    </w:p>
    <w:p w14:paraId="071E814E" w14:textId="77777777" w:rsidR="0062097E" w:rsidRPr="0062097E" w:rsidRDefault="0062097E" w:rsidP="0062097E">
      <w:pPr>
        <w:spacing w:line="240" w:lineRule="auto"/>
        <w:rPr>
          <w:sz w:val="20"/>
          <w:szCs w:val="20"/>
        </w:rPr>
      </w:pPr>
      <w:r w:rsidRPr="0062097E">
        <w:rPr>
          <w:sz w:val="20"/>
          <w:szCs w:val="20"/>
        </w:rPr>
        <w:t>The scalability of quasi-quantum photosynthesis is another major advantage, as it allows the technology to be easily deployed across diverse regions, ranging from urban centers experiencing water shortages to remote rural areas lacking infrastructural support. Modular system designs facilitate straightforward expansion and customization to meet local water needs effectively.</w:t>
      </w:r>
    </w:p>
    <w:p w14:paraId="38532FA7" w14:textId="19EE4081" w:rsidR="0062097E" w:rsidRDefault="0062097E" w:rsidP="0062097E">
      <w:pPr>
        <w:spacing w:line="240" w:lineRule="auto"/>
        <w:rPr>
          <w:sz w:val="20"/>
          <w:szCs w:val="20"/>
        </w:rPr>
      </w:pPr>
      <w:r w:rsidRPr="0062097E">
        <w:rPr>
          <w:sz w:val="20"/>
          <w:szCs w:val="20"/>
        </w:rPr>
        <w:t>Given the pressing global challenges posed by water scarcity, the introduction of quasi-quantum photosynthesis technology represents not only a scientific advancement but also a practical solution capable of profoundly impacting millions of lives worldwide. This research paper presents a comprehensive analysis of this innovative technology, detailing experimental results, comparative analyses, practical implications, and future development opportunities. By thoroughly examining these dimensions, this paper underscores the potential of quasi-quantum photosynthesis to provide sustainable, efficient, and economically viable solutions to one of humanity’s most pressing challenges.</w:t>
      </w:r>
      <w:r w:rsidR="008F41FC">
        <w:rPr>
          <w:sz w:val="20"/>
          <w:szCs w:val="20"/>
        </w:rPr>
        <w:t xml:space="preserve"> </w:t>
      </w:r>
      <w:r w:rsidR="008F41FC" w:rsidRPr="008F41FC">
        <w:rPr>
          <w:sz w:val="20"/>
          <w:szCs w:val="20"/>
        </w:rPr>
        <w:t>Scientific testing validated that this technology can produce an average of 2</w:t>
      </w:r>
      <w:r w:rsidR="00BA0A9F">
        <w:rPr>
          <w:sz w:val="20"/>
          <w:szCs w:val="20"/>
        </w:rPr>
        <w:t>52</w:t>
      </w:r>
      <w:r w:rsidR="008F41FC" w:rsidRPr="008F41FC">
        <w:rPr>
          <w:sz w:val="20"/>
          <w:szCs w:val="20"/>
        </w:rPr>
        <w:t>00 litres of water per 225 sqr mtr surface area each day</w:t>
      </w:r>
      <w:r w:rsidR="008F41FC">
        <w:rPr>
          <w:sz w:val="20"/>
          <w:szCs w:val="20"/>
        </w:rPr>
        <w:t xml:space="preserve"> (14+ L/kg/day)</w:t>
      </w:r>
      <w:r w:rsidR="008F41FC" w:rsidRPr="008F41FC">
        <w:rPr>
          <w:sz w:val="20"/>
          <w:szCs w:val="20"/>
        </w:rPr>
        <w:t>, which makes them better than traditional materials that typically generate only between 2 to 50 litres per day.</w:t>
      </w:r>
    </w:p>
    <w:p w14:paraId="5F0DD5ED" w14:textId="77777777" w:rsidR="00BA0A9F" w:rsidRPr="00BA0A9F" w:rsidRDefault="00BA0A9F" w:rsidP="00BA0A9F">
      <w:pPr>
        <w:spacing w:line="240" w:lineRule="auto"/>
        <w:rPr>
          <w:sz w:val="20"/>
          <w:szCs w:val="20"/>
          <w:lang w:val="en-IN"/>
        </w:rPr>
      </w:pPr>
      <w:r w:rsidRPr="00BA0A9F">
        <w:rPr>
          <w:sz w:val="20"/>
          <w:szCs w:val="20"/>
          <w:lang w:val="en-IN"/>
        </w:rPr>
        <w:t xml:space="preserve">Material Loading=8kg/m2 </w:t>
      </w:r>
    </w:p>
    <w:p w14:paraId="01C8DAEE" w14:textId="27F871E7" w:rsidR="00BA0A9F" w:rsidRDefault="00BA0A9F" w:rsidP="00BA0A9F">
      <w:pPr>
        <w:spacing w:line="240" w:lineRule="auto"/>
        <w:rPr>
          <w:sz w:val="20"/>
          <w:szCs w:val="20"/>
        </w:rPr>
      </w:pPr>
      <w:r w:rsidRPr="00BA0A9F">
        <w:rPr>
          <w:sz w:val="20"/>
          <w:szCs w:val="20"/>
          <w:lang w:val="en-IN"/>
        </w:rPr>
        <w:t xml:space="preserve">Thus, </w:t>
      </w:r>
      <w:r w:rsidRPr="00BA0A9F">
        <w:rPr>
          <w:b/>
          <w:bCs/>
          <w:sz w:val="20"/>
          <w:szCs w:val="20"/>
          <w:lang w:val="en-IN"/>
        </w:rPr>
        <w:t>total material mass</w:t>
      </w:r>
      <w:r w:rsidRPr="00BA0A9F">
        <w:rPr>
          <w:sz w:val="20"/>
          <w:szCs w:val="20"/>
          <w:lang w:val="en-IN"/>
        </w:rPr>
        <w:t xml:space="preserve"> across 225 m²:</w:t>
      </w:r>
      <w:r>
        <w:rPr>
          <w:sz w:val="20"/>
          <w:szCs w:val="20"/>
          <w:lang w:val="en-IN"/>
        </w:rPr>
        <w:t xml:space="preserve"> </w:t>
      </w:r>
      <w:r w:rsidRPr="00BA0A9F">
        <w:rPr>
          <w:sz w:val="20"/>
          <w:szCs w:val="20"/>
          <w:lang w:val="en-IN"/>
        </w:rPr>
        <w:t>Total Mass=225 m</w:t>
      </w:r>
      <w:r w:rsidRPr="0060317E">
        <w:rPr>
          <w:sz w:val="20"/>
          <w:szCs w:val="20"/>
          <w:vertAlign w:val="superscript"/>
          <w:lang w:val="en-IN"/>
        </w:rPr>
        <w:t>2</w:t>
      </w:r>
      <w:r w:rsidRPr="00BA0A9F">
        <w:rPr>
          <w:sz w:val="20"/>
          <w:szCs w:val="20"/>
          <w:lang w:val="en-IN"/>
        </w:rPr>
        <w:t>×8 kg/m</w:t>
      </w:r>
      <w:r w:rsidRPr="0060317E">
        <w:rPr>
          <w:sz w:val="20"/>
          <w:szCs w:val="20"/>
          <w:vertAlign w:val="superscript"/>
          <w:lang w:val="en-IN"/>
        </w:rPr>
        <w:t>2</w:t>
      </w:r>
      <w:r w:rsidRPr="00BA0A9F">
        <w:rPr>
          <w:sz w:val="20"/>
          <w:szCs w:val="20"/>
          <w:lang w:val="en-IN"/>
        </w:rPr>
        <w:t>=1800 kg</w:t>
      </w:r>
    </w:p>
    <w:p w14:paraId="7DD9EB82" w14:textId="5ECC9E22" w:rsidR="00BA0A9F" w:rsidRPr="0060317E" w:rsidRDefault="00BA0A9F" w:rsidP="0062097E">
      <w:pPr>
        <w:spacing w:line="240" w:lineRule="auto"/>
        <w:rPr>
          <w:b/>
          <w:bCs/>
          <w:sz w:val="20"/>
          <w:szCs w:val="20"/>
        </w:rPr>
      </w:pPr>
      <w:r w:rsidRPr="00BA0A9F">
        <w:rPr>
          <w:sz w:val="20"/>
          <w:szCs w:val="20"/>
        </w:rPr>
        <w:t>Total Water Production=14L/kg/day×1800kg Total Water Production=</w:t>
      </w:r>
      <w:r w:rsidRPr="0060317E">
        <w:rPr>
          <w:b/>
          <w:bCs/>
          <w:sz w:val="20"/>
          <w:szCs w:val="20"/>
        </w:rPr>
        <w:t>25,200 L/day</w:t>
      </w:r>
    </w:p>
    <w:p w14:paraId="501F750E" w14:textId="48351F57" w:rsidR="0060317E" w:rsidRPr="0060317E" w:rsidRDefault="0060317E" w:rsidP="0060317E">
      <w:pPr>
        <w:spacing w:line="240" w:lineRule="auto"/>
        <w:rPr>
          <w:sz w:val="20"/>
          <w:szCs w:val="20"/>
          <w:lang w:val="en-IN"/>
        </w:rPr>
      </w:pPr>
      <w:r w:rsidRPr="0060317E">
        <w:rPr>
          <w:sz w:val="20"/>
          <w:szCs w:val="20"/>
          <w:lang w:val="en-IN"/>
        </w:rPr>
        <w:t xml:space="preserve">At best, traditional devices generate </w:t>
      </w:r>
      <w:r w:rsidRPr="0060317E">
        <w:rPr>
          <w:b/>
          <w:bCs/>
          <w:sz w:val="20"/>
          <w:szCs w:val="20"/>
          <w:lang w:val="en-IN"/>
        </w:rPr>
        <w:t>50 litres/day</w:t>
      </w:r>
      <w:r w:rsidRPr="0060317E">
        <w:rPr>
          <w:sz w:val="20"/>
          <w:szCs w:val="20"/>
          <w:lang w:val="en-IN"/>
        </w:rPr>
        <w:t xml:space="preserve"> for a similar-sized installation.</w:t>
      </w:r>
    </w:p>
    <w:p w14:paraId="5547B3FB" w14:textId="44847ECB" w:rsidR="0060317E" w:rsidRPr="0062097E" w:rsidRDefault="0060317E" w:rsidP="0060317E">
      <w:pPr>
        <w:spacing w:line="240" w:lineRule="auto"/>
        <w:rPr>
          <w:sz w:val="20"/>
          <w:szCs w:val="20"/>
        </w:rPr>
      </w:pPr>
      <w:r w:rsidRPr="0060317E">
        <w:rPr>
          <w:sz w:val="20"/>
          <w:szCs w:val="20"/>
        </w:rPr>
        <w:t>Thus, quasi-quantum photosynthesis demonstrates a performance improvement exceeding 460 times compared to conventional methods, positioning it as a significantly more scalable, reliable, and economically viable water harvesting solution.</w:t>
      </w:r>
    </w:p>
    <w:p w14:paraId="6A57FAD9" w14:textId="77777777" w:rsidR="0062097E" w:rsidRPr="0062097E" w:rsidRDefault="0062097E" w:rsidP="00C37984">
      <w:pPr>
        <w:jc w:val="center"/>
        <w:rPr>
          <w:sz w:val="20"/>
          <w:szCs w:val="20"/>
        </w:rPr>
      </w:pPr>
      <w:r w:rsidRPr="0062097E">
        <w:rPr>
          <w:b/>
          <w:bCs/>
          <w:sz w:val="20"/>
          <w:szCs w:val="20"/>
        </w:rPr>
        <w:t>Table 1: Comparative Performance Metrics</w:t>
      </w:r>
    </w:p>
    <w:tbl>
      <w:tblPr>
        <w:tblStyle w:val="GridTable4-Accent3"/>
        <w:tblW w:w="8931" w:type="dxa"/>
        <w:tblLook w:val="04A0" w:firstRow="1" w:lastRow="0" w:firstColumn="1" w:lastColumn="0" w:noHBand="0" w:noVBand="1"/>
      </w:tblPr>
      <w:tblGrid>
        <w:gridCol w:w="2681"/>
        <w:gridCol w:w="1480"/>
        <w:gridCol w:w="2286"/>
        <w:gridCol w:w="1367"/>
        <w:gridCol w:w="1117"/>
      </w:tblGrid>
      <w:tr w:rsidR="0062097E" w:rsidRPr="0062097E" w14:paraId="3CBEFF14"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3F4739" w14:textId="77777777" w:rsidR="0062097E" w:rsidRPr="0062097E" w:rsidRDefault="0062097E" w:rsidP="00C37984">
            <w:pPr>
              <w:jc w:val="center"/>
              <w:rPr>
                <w:b w:val="0"/>
                <w:bCs w:val="0"/>
                <w:sz w:val="20"/>
                <w:szCs w:val="20"/>
              </w:rPr>
            </w:pPr>
            <w:r w:rsidRPr="0062097E">
              <w:rPr>
                <w:sz w:val="20"/>
                <w:szCs w:val="20"/>
              </w:rPr>
              <w:t>Technology</w:t>
            </w:r>
          </w:p>
        </w:tc>
        <w:tc>
          <w:tcPr>
            <w:tcW w:w="0" w:type="auto"/>
            <w:hideMark/>
          </w:tcPr>
          <w:p w14:paraId="329C413B" w14:textId="77777777" w:rsidR="0062097E" w:rsidRPr="0062097E" w:rsidRDefault="0062097E" w:rsidP="00C3798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2097E">
              <w:rPr>
                <w:sz w:val="20"/>
                <w:szCs w:val="20"/>
              </w:rPr>
              <w:t>Cost per litre ($)</w:t>
            </w:r>
          </w:p>
        </w:tc>
        <w:tc>
          <w:tcPr>
            <w:tcW w:w="0" w:type="auto"/>
            <w:hideMark/>
          </w:tcPr>
          <w:p w14:paraId="2F7F4103" w14:textId="77777777" w:rsidR="0062097E" w:rsidRPr="0062097E" w:rsidRDefault="0062097E" w:rsidP="00C3798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2097E">
              <w:rPr>
                <w:sz w:val="20"/>
                <w:szCs w:val="20"/>
              </w:rPr>
              <w:t>Production rate (L/kg/day)</w:t>
            </w:r>
          </w:p>
        </w:tc>
        <w:tc>
          <w:tcPr>
            <w:tcW w:w="0" w:type="auto"/>
            <w:hideMark/>
          </w:tcPr>
          <w:p w14:paraId="3FEDDBFE" w14:textId="77777777" w:rsidR="0062097E" w:rsidRPr="0062097E" w:rsidRDefault="0062097E" w:rsidP="00C3798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2097E">
              <w:rPr>
                <w:sz w:val="20"/>
                <w:szCs w:val="20"/>
              </w:rPr>
              <w:t>Energy Source</w:t>
            </w:r>
          </w:p>
        </w:tc>
        <w:tc>
          <w:tcPr>
            <w:tcW w:w="1095" w:type="dxa"/>
            <w:hideMark/>
          </w:tcPr>
          <w:p w14:paraId="231D7931" w14:textId="77777777" w:rsidR="0062097E" w:rsidRPr="0062097E" w:rsidRDefault="0062097E" w:rsidP="00C37984">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2097E">
              <w:rPr>
                <w:sz w:val="20"/>
                <w:szCs w:val="20"/>
              </w:rPr>
              <w:t>Scalability</w:t>
            </w:r>
          </w:p>
        </w:tc>
      </w:tr>
      <w:tr w:rsidR="0062097E" w:rsidRPr="0062097E" w14:paraId="524ABCDB"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4C778A" w14:textId="77777777" w:rsidR="0062097E" w:rsidRPr="0062097E" w:rsidRDefault="0062097E" w:rsidP="00C37984">
            <w:pPr>
              <w:jc w:val="center"/>
              <w:rPr>
                <w:sz w:val="20"/>
                <w:szCs w:val="20"/>
              </w:rPr>
            </w:pPr>
            <w:r w:rsidRPr="0062097E">
              <w:rPr>
                <w:sz w:val="20"/>
                <w:szCs w:val="20"/>
              </w:rPr>
              <w:t>Quasi-Quantum Photosynthesis</w:t>
            </w:r>
          </w:p>
        </w:tc>
        <w:tc>
          <w:tcPr>
            <w:tcW w:w="0" w:type="auto"/>
            <w:hideMark/>
          </w:tcPr>
          <w:p w14:paraId="3E92915F" w14:textId="77777777" w:rsidR="0062097E" w:rsidRPr="0062097E" w:rsidRDefault="0062097E"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2097E">
              <w:rPr>
                <w:sz w:val="20"/>
                <w:szCs w:val="20"/>
              </w:rPr>
              <w:t>0.01</w:t>
            </w:r>
          </w:p>
        </w:tc>
        <w:tc>
          <w:tcPr>
            <w:tcW w:w="0" w:type="auto"/>
            <w:hideMark/>
          </w:tcPr>
          <w:p w14:paraId="17DFB1BF" w14:textId="408C32DA" w:rsidR="0062097E" w:rsidRPr="0062097E" w:rsidRDefault="00C711A9"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r w:rsidR="0062097E" w:rsidRPr="0062097E">
              <w:rPr>
                <w:sz w:val="20"/>
                <w:szCs w:val="20"/>
              </w:rPr>
              <w:t>+</w:t>
            </w:r>
          </w:p>
        </w:tc>
        <w:tc>
          <w:tcPr>
            <w:tcW w:w="0" w:type="auto"/>
            <w:hideMark/>
          </w:tcPr>
          <w:p w14:paraId="7BB2A3C1" w14:textId="77777777" w:rsidR="0062097E" w:rsidRPr="0062097E" w:rsidRDefault="0062097E"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2097E">
              <w:rPr>
                <w:sz w:val="20"/>
                <w:szCs w:val="20"/>
              </w:rPr>
              <w:t>Solar</w:t>
            </w:r>
          </w:p>
        </w:tc>
        <w:tc>
          <w:tcPr>
            <w:tcW w:w="1095" w:type="dxa"/>
            <w:hideMark/>
          </w:tcPr>
          <w:p w14:paraId="0F412C3C" w14:textId="77777777" w:rsidR="0062097E" w:rsidRPr="0062097E" w:rsidRDefault="0062097E"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2097E">
              <w:rPr>
                <w:sz w:val="20"/>
                <w:szCs w:val="20"/>
              </w:rPr>
              <w:t>High</w:t>
            </w:r>
          </w:p>
        </w:tc>
      </w:tr>
      <w:tr w:rsidR="0062097E" w:rsidRPr="0062097E" w14:paraId="3020F436"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183C0D34" w14:textId="77777777" w:rsidR="0062097E" w:rsidRPr="0062097E" w:rsidRDefault="0062097E" w:rsidP="00C37984">
            <w:pPr>
              <w:jc w:val="center"/>
              <w:rPr>
                <w:sz w:val="20"/>
                <w:szCs w:val="20"/>
              </w:rPr>
            </w:pPr>
            <w:r w:rsidRPr="0062097E">
              <w:rPr>
                <w:sz w:val="20"/>
                <w:szCs w:val="20"/>
              </w:rPr>
              <w:t>Conventional AWG</w:t>
            </w:r>
          </w:p>
        </w:tc>
        <w:tc>
          <w:tcPr>
            <w:tcW w:w="0" w:type="auto"/>
            <w:hideMark/>
          </w:tcPr>
          <w:p w14:paraId="52D35018"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0.07–0.15</w:t>
            </w:r>
          </w:p>
        </w:tc>
        <w:tc>
          <w:tcPr>
            <w:tcW w:w="0" w:type="auto"/>
            <w:hideMark/>
          </w:tcPr>
          <w:p w14:paraId="0FB47825"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2–5</w:t>
            </w:r>
          </w:p>
        </w:tc>
        <w:tc>
          <w:tcPr>
            <w:tcW w:w="0" w:type="auto"/>
            <w:hideMark/>
          </w:tcPr>
          <w:p w14:paraId="1971EB9A"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Electric</w:t>
            </w:r>
          </w:p>
        </w:tc>
        <w:tc>
          <w:tcPr>
            <w:tcW w:w="1095" w:type="dxa"/>
            <w:hideMark/>
          </w:tcPr>
          <w:p w14:paraId="42682359"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Medium</w:t>
            </w:r>
          </w:p>
        </w:tc>
      </w:tr>
      <w:tr w:rsidR="0062097E" w:rsidRPr="0062097E" w14:paraId="7020469E"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457E26" w14:textId="77777777" w:rsidR="0062097E" w:rsidRPr="0062097E" w:rsidRDefault="0062097E" w:rsidP="00C37984">
            <w:pPr>
              <w:jc w:val="center"/>
              <w:rPr>
                <w:sz w:val="20"/>
                <w:szCs w:val="20"/>
              </w:rPr>
            </w:pPr>
            <w:r w:rsidRPr="0062097E">
              <w:rPr>
                <w:sz w:val="20"/>
                <w:szCs w:val="20"/>
              </w:rPr>
              <w:lastRenderedPageBreak/>
              <w:t>Desalination</w:t>
            </w:r>
          </w:p>
        </w:tc>
        <w:tc>
          <w:tcPr>
            <w:tcW w:w="0" w:type="auto"/>
            <w:hideMark/>
          </w:tcPr>
          <w:p w14:paraId="34058366" w14:textId="77777777" w:rsidR="0062097E" w:rsidRPr="0062097E" w:rsidRDefault="0062097E"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2097E">
              <w:rPr>
                <w:sz w:val="20"/>
                <w:szCs w:val="20"/>
              </w:rPr>
              <w:t>0.0005</w:t>
            </w:r>
          </w:p>
        </w:tc>
        <w:tc>
          <w:tcPr>
            <w:tcW w:w="0" w:type="auto"/>
            <w:hideMark/>
          </w:tcPr>
          <w:p w14:paraId="528EA2D1" w14:textId="77777777" w:rsidR="0062097E" w:rsidRPr="0062097E" w:rsidRDefault="0062097E"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2097E">
              <w:rPr>
                <w:sz w:val="20"/>
                <w:szCs w:val="20"/>
              </w:rPr>
              <w:t>N/A</w:t>
            </w:r>
          </w:p>
        </w:tc>
        <w:tc>
          <w:tcPr>
            <w:tcW w:w="0" w:type="auto"/>
            <w:hideMark/>
          </w:tcPr>
          <w:p w14:paraId="4508FFB2" w14:textId="77777777" w:rsidR="0062097E" w:rsidRPr="0062097E" w:rsidRDefault="0062097E"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2097E">
              <w:rPr>
                <w:sz w:val="20"/>
                <w:szCs w:val="20"/>
              </w:rPr>
              <w:t>Electric</w:t>
            </w:r>
          </w:p>
        </w:tc>
        <w:tc>
          <w:tcPr>
            <w:tcW w:w="1095" w:type="dxa"/>
            <w:hideMark/>
          </w:tcPr>
          <w:p w14:paraId="05462C5B" w14:textId="77777777" w:rsidR="0062097E" w:rsidRPr="0062097E" w:rsidRDefault="0062097E" w:rsidP="00C3798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2097E">
              <w:rPr>
                <w:sz w:val="20"/>
                <w:szCs w:val="20"/>
              </w:rPr>
              <w:t>Low</w:t>
            </w:r>
          </w:p>
        </w:tc>
      </w:tr>
      <w:tr w:rsidR="0062097E" w:rsidRPr="0062097E" w14:paraId="6081BA37"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21421802" w14:textId="77777777" w:rsidR="0062097E" w:rsidRPr="0062097E" w:rsidRDefault="0062097E" w:rsidP="00C37984">
            <w:pPr>
              <w:jc w:val="center"/>
              <w:rPr>
                <w:sz w:val="20"/>
                <w:szCs w:val="20"/>
              </w:rPr>
            </w:pPr>
            <w:r w:rsidRPr="0062097E">
              <w:rPr>
                <w:sz w:val="20"/>
                <w:szCs w:val="20"/>
              </w:rPr>
              <w:t>Solar Stills</w:t>
            </w:r>
          </w:p>
        </w:tc>
        <w:tc>
          <w:tcPr>
            <w:tcW w:w="0" w:type="auto"/>
            <w:hideMark/>
          </w:tcPr>
          <w:p w14:paraId="7F9FBAE5"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0.02–0.04</w:t>
            </w:r>
          </w:p>
        </w:tc>
        <w:tc>
          <w:tcPr>
            <w:tcW w:w="0" w:type="auto"/>
            <w:hideMark/>
          </w:tcPr>
          <w:p w14:paraId="2DD1EFE8"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1–3</w:t>
            </w:r>
          </w:p>
        </w:tc>
        <w:tc>
          <w:tcPr>
            <w:tcW w:w="0" w:type="auto"/>
            <w:hideMark/>
          </w:tcPr>
          <w:p w14:paraId="69ED75EA"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Solar</w:t>
            </w:r>
          </w:p>
        </w:tc>
        <w:tc>
          <w:tcPr>
            <w:tcW w:w="1095" w:type="dxa"/>
            <w:hideMark/>
          </w:tcPr>
          <w:p w14:paraId="55D17BA8" w14:textId="77777777" w:rsidR="0062097E" w:rsidRPr="0062097E" w:rsidRDefault="0062097E" w:rsidP="00C3798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2097E">
              <w:rPr>
                <w:sz w:val="20"/>
                <w:szCs w:val="20"/>
              </w:rPr>
              <w:t>Medium</w:t>
            </w:r>
          </w:p>
        </w:tc>
      </w:tr>
    </w:tbl>
    <w:p w14:paraId="60903AF3" w14:textId="77777777" w:rsidR="00F16C5D" w:rsidRDefault="00F16C5D" w:rsidP="00A730AA">
      <w:pPr>
        <w:pStyle w:val="Default"/>
        <w:jc w:val="both"/>
        <w:rPr>
          <w:b/>
          <w:bCs/>
          <w:sz w:val="20"/>
          <w:szCs w:val="20"/>
        </w:rPr>
      </w:pPr>
    </w:p>
    <w:p w14:paraId="7D9E4B68" w14:textId="6CA92F11" w:rsidR="0062097E" w:rsidRDefault="0062097E" w:rsidP="00C37984">
      <w:pPr>
        <w:pStyle w:val="Default"/>
        <w:jc w:val="center"/>
        <w:rPr>
          <w:b/>
          <w:bCs/>
          <w:sz w:val="20"/>
          <w:szCs w:val="20"/>
        </w:rPr>
      </w:pPr>
      <w:r>
        <w:rPr>
          <w:noProof/>
        </w:rPr>
        <w:drawing>
          <wp:inline distT="0" distB="0" distL="0" distR="0" wp14:anchorId="317F9D95" wp14:editId="74581EE8">
            <wp:extent cx="5731510" cy="3440430"/>
            <wp:effectExtent l="0" t="0" r="0" b="0"/>
            <wp:docPr id="1036248938" name="Picture 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48938" name="Picture 2" descr="A graph of different colored squar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440430"/>
                    </a:xfrm>
                    <a:prstGeom prst="rect">
                      <a:avLst/>
                    </a:prstGeom>
                  </pic:spPr>
                </pic:pic>
              </a:graphicData>
            </a:graphic>
          </wp:inline>
        </w:drawing>
      </w:r>
    </w:p>
    <w:p w14:paraId="598B83F3" w14:textId="77777777" w:rsidR="0062097E" w:rsidRPr="00B26C1C" w:rsidRDefault="0062097E" w:rsidP="00A730AA">
      <w:pPr>
        <w:pStyle w:val="Default"/>
        <w:jc w:val="both"/>
        <w:rPr>
          <w:b/>
          <w:bCs/>
          <w:sz w:val="20"/>
          <w:szCs w:val="20"/>
        </w:rPr>
      </w:pPr>
    </w:p>
    <w:p w14:paraId="18327896" w14:textId="3607FFD1" w:rsidR="00BB4AD5" w:rsidRPr="00B26C1C" w:rsidRDefault="00B67BB7" w:rsidP="006C3A0A">
      <w:pPr>
        <w:pStyle w:val="Heading1"/>
      </w:pPr>
      <w:r w:rsidRPr="00B26C1C">
        <w:t>MATERIAL AND METHODS</w:t>
      </w:r>
      <w:r w:rsidR="00CC1B6D">
        <w:t xml:space="preserve"> </w:t>
      </w:r>
    </w:p>
    <w:p w14:paraId="0F1733C1" w14:textId="77777777" w:rsidR="0062097E" w:rsidRPr="002E59B1" w:rsidRDefault="0062097E" w:rsidP="0062097E">
      <w:pPr>
        <w:spacing w:line="240" w:lineRule="auto"/>
        <w:rPr>
          <w:b/>
          <w:bCs/>
          <w:i/>
          <w:iCs/>
          <w:sz w:val="20"/>
          <w:szCs w:val="20"/>
        </w:rPr>
      </w:pPr>
      <w:r w:rsidRPr="002E59B1">
        <w:rPr>
          <w:b/>
          <w:bCs/>
          <w:i/>
          <w:iCs/>
          <w:sz w:val="20"/>
          <w:szCs w:val="20"/>
        </w:rPr>
        <w:t>2.1 Quantum-Inspired Material Engineering</w:t>
      </w:r>
    </w:p>
    <w:p w14:paraId="08293E58" w14:textId="77777777" w:rsidR="0062097E" w:rsidRPr="00DF2698" w:rsidRDefault="0062097E" w:rsidP="0062097E">
      <w:pPr>
        <w:spacing w:line="240" w:lineRule="auto"/>
        <w:rPr>
          <w:sz w:val="20"/>
          <w:szCs w:val="20"/>
        </w:rPr>
      </w:pPr>
      <w:r w:rsidRPr="00DF2698">
        <w:rPr>
          <w:sz w:val="20"/>
          <w:szCs w:val="20"/>
        </w:rPr>
        <w:t>The design and engineering of nanoporous materials utilized in quasi-quantum photosynthesis are grounded in quantum-inspired computational approaches aimed at optimizing moisture absorption and release characteristics. (Kalmutzki et al., 2018; Qi et al., 2021). This innovative methodology combines principles from quantum mechanics and computational chemistry to precisely manipulate material properties at the nanoscale.</w:t>
      </w:r>
      <w:r w:rsidRPr="00DF2698">
        <w:rPr>
          <w:rFonts w:eastAsia="Times New Roman"/>
          <w:sz w:val="20"/>
          <w:szCs w:val="20"/>
          <w:lang w:eastAsia="en-IN"/>
        </w:rPr>
        <w:t xml:space="preserve"> </w:t>
      </w:r>
      <w:r w:rsidRPr="00DF2698">
        <w:rPr>
          <w:sz w:val="20"/>
          <w:szCs w:val="20"/>
        </w:rPr>
        <w:t>(Wang et al., 2017).</w:t>
      </w:r>
    </w:p>
    <w:p w14:paraId="31497788" w14:textId="77777777" w:rsidR="0062097E" w:rsidRPr="00DF2698" w:rsidRDefault="0062097E" w:rsidP="0062097E">
      <w:pPr>
        <w:spacing w:line="240" w:lineRule="auto"/>
        <w:rPr>
          <w:sz w:val="20"/>
          <w:szCs w:val="20"/>
        </w:rPr>
      </w:pPr>
      <w:r w:rsidRPr="00DF2698">
        <w:rPr>
          <w:sz w:val="20"/>
          <w:szCs w:val="20"/>
        </w:rPr>
        <w:t>Metal-organic frameworks (MOFs) represent one primary class of materials employed in this technology due to their extraordinary surface area, tunable pore structure, and chemical versatility. Quantum-inspired algorithms were applied to systematically explore and optimize the vast chemical and structural parameter space of MOFs. Computational methods involved density functional theory (DFT), molecular dynamics (MD) simulations, and quantum Monte Carlo (QMC) simulations to accurately model the interactions between MOFs and water molecules at an atomic level. (Wang et al., 2017). These computational modefls enabled the prediction and fine-tuning of pore sizes, shapes, and internal surface chemistries that are most efective in adsorbing water vapor even at minimal humidity levels.</w:t>
      </w:r>
    </w:p>
    <w:p w14:paraId="6A7B73C5" w14:textId="77777777" w:rsidR="0062097E" w:rsidRPr="00DF2698" w:rsidRDefault="0062097E" w:rsidP="0062097E">
      <w:pPr>
        <w:spacing w:line="240" w:lineRule="auto"/>
        <w:rPr>
          <w:sz w:val="20"/>
          <w:szCs w:val="20"/>
        </w:rPr>
      </w:pPr>
      <w:r w:rsidRPr="00DF2698">
        <w:rPr>
          <w:sz w:val="20"/>
          <w:szCs w:val="20"/>
        </w:rPr>
        <w:t>Hydrogels, particularly those derived from bio-based materials, were also extensively optimized using quantum-inspired computational strategies. Computational studies focused on hydrophilic functional groups, cross-link density, and polymer chain configurations, which were all essential factors influencing water uptake and retention capacities. (Yu et al., 2021; Qi et al., 2021). Quantum chemical simulations and computational chemistry modeling helped identify specific molecular configurations and polymer compositions that maximize moisture absorption and retention efficiency.</w:t>
      </w:r>
    </w:p>
    <w:p w14:paraId="1D1544D4" w14:textId="77777777" w:rsidR="0062097E" w:rsidRPr="00DF2698" w:rsidRDefault="0062097E" w:rsidP="0062097E">
      <w:pPr>
        <w:spacing w:line="240" w:lineRule="auto"/>
        <w:rPr>
          <w:sz w:val="20"/>
          <w:szCs w:val="20"/>
        </w:rPr>
      </w:pPr>
      <w:r w:rsidRPr="00DF2698">
        <w:rPr>
          <w:sz w:val="20"/>
          <w:szCs w:val="20"/>
        </w:rPr>
        <w:t xml:space="preserve">The computational optimization involved iterative cycles of simulation, synthesis, characterization, and experimental validation. Initially, quantum simulations were conducted to shortlist promising material configurations. These configurations were then synthesized experimentally in small batches using controlled </w:t>
      </w:r>
      <w:r w:rsidRPr="00DF2698">
        <w:rPr>
          <w:sz w:val="20"/>
          <w:szCs w:val="20"/>
        </w:rPr>
        <w:lastRenderedPageBreak/>
        <w:t>chemical reactions and advanced synthesis techniques, including solvothermal synthesis, microwave-assisted synthesis, and electrochemical deposition.</w:t>
      </w:r>
    </w:p>
    <w:p w14:paraId="53FE40F2" w14:textId="77777777" w:rsidR="0062097E" w:rsidRPr="00DF2698" w:rsidRDefault="0062097E" w:rsidP="0062097E">
      <w:pPr>
        <w:spacing w:line="240" w:lineRule="auto"/>
        <w:rPr>
          <w:sz w:val="20"/>
          <w:szCs w:val="20"/>
        </w:rPr>
      </w:pPr>
      <w:r w:rsidRPr="00DF2698">
        <w:rPr>
          <w:sz w:val="20"/>
          <w:szCs w:val="20"/>
        </w:rPr>
        <w:t>Following synthesis, rigorous characterization of materials was performed to validate the computational predictions. Characterization techniques included X-ray diffraction (XRD) to determine structural features, Brunauer–Emmett–Teller (BET) analysis for surface area and pore volume, Fourier-transform infrared spectroscopy (FTIR) for functional group identification, and thermogravimetric analysis (TGA) to assess thermal stability and moisture release properties. Additionally, scanning electron microscopy (SEM) and transmission electron microscopy (TEM) were used to observe nanoscale morphology and confirm the uniformity and precision of pore structures. (Wang et al., 2017).</w:t>
      </w:r>
    </w:p>
    <w:p w14:paraId="5C0E6C23" w14:textId="77777777" w:rsidR="0062097E" w:rsidRPr="00DF2698" w:rsidRDefault="0062097E" w:rsidP="0062097E">
      <w:pPr>
        <w:spacing w:line="240" w:lineRule="auto"/>
        <w:rPr>
          <w:sz w:val="20"/>
          <w:szCs w:val="20"/>
        </w:rPr>
      </w:pPr>
      <w:r w:rsidRPr="00DF2698">
        <w:rPr>
          <w:sz w:val="20"/>
          <w:szCs w:val="20"/>
        </w:rPr>
        <w:t>Materials demonstrating optimal characteristics in experimental validation underwent further computational refinements based on real-world data, thereby establishing a robust feedback loop between theoretical modeling and experimental outcomes. This iterative optimization ensured continuous improvements in material performance, maximizing the efficiency and economic viability of the quasi-quantum photosynthesis technology.</w:t>
      </w:r>
    </w:p>
    <w:p w14:paraId="30576DF5" w14:textId="77777777" w:rsidR="0062097E" w:rsidRPr="002E59B1" w:rsidRDefault="0062097E" w:rsidP="0062097E">
      <w:pPr>
        <w:spacing w:line="240" w:lineRule="auto"/>
        <w:rPr>
          <w:b/>
          <w:bCs/>
          <w:i/>
          <w:iCs/>
          <w:sz w:val="20"/>
          <w:szCs w:val="20"/>
        </w:rPr>
      </w:pPr>
      <w:r w:rsidRPr="002E59B1">
        <w:rPr>
          <w:b/>
          <w:bCs/>
          <w:i/>
          <w:iCs/>
          <w:sz w:val="20"/>
          <w:szCs w:val="20"/>
        </w:rPr>
        <w:t>2.2 Experimental Setup</w:t>
      </w:r>
    </w:p>
    <w:p w14:paraId="2522116B" w14:textId="77777777" w:rsidR="0062097E" w:rsidRPr="00DF2698" w:rsidRDefault="0062097E" w:rsidP="0062097E">
      <w:pPr>
        <w:spacing w:line="240" w:lineRule="auto"/>
        <w:rPr>
          <w:sz w:val="20"/>
          <w:szCs w:val="20"/>
        </w:rPr>
      </w:pPr>
      <w:r w:rsidRPr="00DF2698">
        <w:rPr>
          <w:sz w:val="20"/>
          <w:szCs w:val="20"/>
        </w:rPr>
        <w:t>The experimental apparatus designed to evaluate the efficacy of quasi-quantum photosynthesis involved multiple interconnected modules, specifically optimized to simulate varied environmental conditions. Key components included solar thermal collectors, humidity capture chambers, optimized nanoporous material beds, and a quantum computing-based control and data acquisition system.</w:t>
      </w:r>
    </w:p>
    <w:p w14:paraId="2702FF4D" w14:textId="77777777" w:rsidR="0062097E" w:rsidRPr="00DF2698" w:rsidRDefault="0062097E" w:rsidP="0062097E">
      <w:pPr>
        <w:spacing w:line="240" w:lineRule="auto"/>
        <w:rPr>
          <w:sz w:val="20"/>
          <w:szCs w:val="20"/>
        </w:rPr>
      </w:pPr>
      <w:r w:rsidRPr="00DF2698">
        <w:rPr>
          <w:sz w:val="20"/>
          <w:szCs w:val="20"/>
        </w:rPr>
        <w:t>The solar thermal collectors were integrated into the system to provide renewable and consistent thermal energy required for moisture desorption. Solar collectors featured a combination of parabolic trough collectors and flat-plate collectors to ensure maximum solar energy capture under diverse weather conditions. Detailed specifications are presented in Table 2 below:</w:t>
      </w:r>
    </w:p>
    <w:p w14:paraId="3909071D" w14:textId="77777777" w:rsidR="0062097E" w:rsidRPr="00DF2698" w:rsidRDefault="0062097E" w:rsidP="00C37984">
      <w:pPr>
        <w:spacing w:line="240" w:lineRule="auto"/>
        <w:jc w:val="center"/>
        <w:rPr>
          <w:sz w:val="20"/>
          <w:szCs w:val="20"/>
        </w:rPr>
      </w:pPr>
      <w:r w:rsidRPr="00DF2698">
        <w:rPr>
          <w:b/>
          <w:bCs/>
          <w:sz w:val="20"/>
          <w:szCs w:val="20"/>
        </w:rPr>
        <w:t>Table 2: Solar Thermal Collector Specifications</w:t>
      </w:r>
    </w:p>
    <w:tbl>
      <w:tblPr>
        <w:tblStyle w:val="GridTable4-Accent5"/>
        <w:tblW w:w="0" w:type="auto"/>
        <w:tblLook w:val="04A0" w:firstRow="1" w:lastRow="0" w:firstColumn="1" w:lastColumn="0" w:noHBand="0" w:noVBand="1"/>
      </w:tblPr>
      <w:tblGrid>
        <w:gridCol w:w="1711"/>
        <w:gridCol w:w="1868"/>
        <w:gridCol w:w="1455"/>
        <w:gridCol w:w="3254"/>
      </w:tblGrid>
      <w:tr w:rsidR="0062097E" w:rsidRPr="00DF2698" w14:paraId="5EB10F44"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62AAB8" w14:textId="77777777" w:rsidR="0062097E" w:rsidRPr="00DF2698" w:rsidRDefault="0062097E" w:rsidP="00C37984">
            <w:pPr>
              <w:spacing w:line="240" w:lineRule="auto"/>
              <w:jc w:val="center"/>
              <w:rPr>
                <w:sz w:val="20"/>
                <w:szCs w:val="20"/>
              </w:rPr>
            </w:pPr>
            <w:r w:rsidRPr="00DF2698">
              <w:rPr>
                <w:sz w:val="20"/>
                <w:szCs w:val="20"/>
              </w:rPr>
              <w:t>Collector Type</w:t>
            </w:r>
          </w:p>
        </w:tc>
        <w:tc>
          <w:tcPr>
            <w:tcW w:w="0" w:type="auto"/>
            <w:hideMark/>
          </w:tcPr>
          <w:p w14:paraId="263C1DC0"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Collector Area (m²)</w:t>
            </w:r>
          </w:p>
        </w:tc>
        <w:tc>
          <w:tcPr>
            <w:tcW w:w="0" w:type="auto"/>
            <w:hideMark/>
          </w:tcPr>
          <w:p w14:paraId="6B4E1E79"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Efficiency (%)</w:t>
            </w:r>
          </w:p>
        </w:tc>
        <w:tc>
          <w:tcPr>
            <w:tcW w:w="0" w:type="auto"/>
            <w:hideMark/>
          </w:tcPr>
          <w:p w14:paraId="2EF3EBFD"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Operating Temperature Range (°C)</w:t>
            </w:r>
          </w:p>
        </w:tc>
      </w:tr>
      <w:tr w:rsidR="0062097E" w:rsidRPr="00DF2698" w14:paraId="73822D14"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A3930C" w14:textId="77777777" w:rsidR="0062097E" w:rsidRPr="00DF2698" w:rsidRDefault="0062097E" w:rsidP="00C37984">
            <w:pPr>
              <w:spacing w:line="240" w:lineRule="auto"/>
              <w:jc w:val="center"/>
              <w:rPr>
                <w:sz w:val="20"/>
                <w:szCs w:val="20"/>
              </w:rPr>
            </w:pPr>
            <w:r w:rsidRPr="00DF2698">
              <w:rPr>
                <w:sz w:val="20"/>
                <w:szCs w:val="20"/>
              </w:rPr>
              <w:t>Parabolic Trough</w:t>
            </w:r>
          </w:p>
        </w:tc>
        <w:tc>
          <w:tcPr>
            <w:tcW w:w="0" w:type="auto"/>
            <w:hideMark/>
          </w:tcPr>
          <w:p w14:paraId="234D0A0E"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10</w:t>
            </w:r>
          </w:p>
        </w:tc>
        <w:tc>
          <w:tcPr>
            <w:tcW w:w="0" w:type="auto"/>
            <w:hideMark/>
          </w:tcPr>
          <w:p w14:paraId="5D8774A1"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70–75</w:t>
            </w:r>
          </w:p>
        </w:tc>
        <w:tc>
          <w:tcPr>
            <w:tcW w:w="0" w:type="auto"/>
            <w:hideMark/>
          </w:tcPr>
          <w:p w14:paraId="30923183"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120–200</w:t>
            </w:r>
          </w:p>
        </w:tc>
      </w:tr>
      <w:tr w:rsidR="0062097E" w:rsidRPr="00DF2698" w14:paraId="6C6CB631"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640844D6" w14:textId="77777777" w:rsidR="0062097E" w:rsidRPr="00DF2698" w:rsidRDefault="0062097E" w:rsidP="00C37984">
            <w:pPr>
              <w:spacing w:line="240" w:lineRule="auto"/>
              <w:jc w:val="center"/>
              <w:rPr>
                <w:sz w:val="20"/>
                <w:szCs w:val="20"/>
              </w:rPr>
            </w:pPr>
            <w:r w:rsidRPr="00DF2698">
              <w:rPr>
                <w:sz w:val="20"/>
                <w:szCs w:val="20"/>
              </w:rPr>
              <w:t>Flat-Plate</w:t>
            </w:r>
          </w:p>
        </w:tc>
        <w:tc>
          <w:tcPr>
            <w:tcW w:w="0" w:type="auto"/>
            <w:hideMark/>
          </w:tcPr>
          <w:p w14:paraId="2C45A73A"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15</w:t>
            </w:r>
          </w:p>
        </w:tc>
        <w:tc>
          <w:tcPr>
            <w:tcW w:w="0" w:type="auto"/>
            <w:hideMark/>
          </w:tcPr>
          <w:p w14:paraId="072D1B9D" w14:textId="77777777" w:rsidR="0062097E" w:rsidRPr="00DF2698" w:rsidRDefault="0062097E" w:rsidP="00C3798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60–65</w:t>
            </w:r>
          </w:p>
        </w:tc>
        <w:tc>
          <w:tcPr>
            <w:tcW w:w="0" w:type="auto"/>
            <w:hideMark/>
          </w:tcPr>
          <w:p w14:paraId="68890AB5"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50–90</w:t>
            </w:r>
          </w:p>
        </w:tc>
      </w:tr>
    </w:tbl>
    <w:p w14:paraId="219659FB" w14:textId="77777777" w:rsidR="0062097E" w:rsidRPr="00DF2698" w:rsidRDefault="0062097E" w:rsidP="00C37984">
      <w:pPr>
        <w:spacing w:line="240" w:lineRule="auto"/>
        <w:jc w:val="center"/>
        <w:rPr>
          <w:sz w:val="20"/>
          <w:szCs w:val="20"/>
        </w:rPr>
      </w:pPr>
      <w:r w:rsidRPr="00DF2698">
        <w:rPr>
          <w:noProof/>
          <w:sz w:val="20"/>
          <w:szCs w:val="20"/>
        </w:rPr>
        <w:drawing>
          <wp:inline distT="0" distB="0" distL="0" distR="0" wp14:anchorId="63B13FDC" wp14:editId="21EBD3A2">
            <wp:extent cx="5731510" cy="3415665"/>
            <wp:effectExtent l="0" t="0" r="2540" b="0"/>
            <wp:docPr id="1010188530" name="Picture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8530" name="Picture 3" descr="A graph with a li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415665"/>
                    </a:xfrm>
                    <a:prstGeom prst="rect">
                      <a:avLst/>
                    </a:prstGeom>
                  </pic:spPr>
                </pic:pic>
              </a:graphicData>
            </a:graphic>
          </wp:inline>
        </w:drawing>
      </w:r>
    </w:p>
    <w:p w14:paraId="2006C67B" w14:textId="77777777" w:rsidR="0062097E" w:rsidRPr="00DF2698" w:rsidRDefault="0062097E" w:rsidP="0062097E">
      <w:pPr>
        <w:spacing w:line="240" w:lineRule="auto"/>
        <w:rPr>
          <w:sz w:val="20"/>
          <w:szCs w:val="20"/>
        </w:rPr>
      </w:pPr>
      <w:r w:rsidRPr="00DF2698">
        <w:rPr>
          <w:sz w:val="20"/>
          <w:szCs w:val="20"/>
        </w:rPr>
        <w:lastRenderedPageBreak/>
        <w:t>Humidity capture chambers were designed to facilitate optimal moisture absorption and release cycles. Chambers were equipped with sensors for real-time humidity, temperature, and airflow monitoring. Optimized nanoporous materials were distributed uniformly within these chambers, ensuring maximum contact surface area for efficient moisture adsorption. Table 3 outlines the specific configurations of the humidity capture chambers:</w:t>
      </w:r>
    </w:p>
    <w:p w14:paraId="3EF91D6C" w14:textId="77777777" w:rsidR="0062097E" w:rsidRPr="00DF2698" w:rsidRDefault="0062097E" w:rsidP="00C37984">
      <w:pPr>
        <w:spacing w:line="240" w:lineRule="auto"/>
        <w:jc w:val="center"/>
        <w:rPr>
          <w:sz w:val="20"/>
          <w:szCs w:val="20"/>
        </w:rPr>
      </w:pPr>
      <w:r w:rsidRPr="00DF2698">
        <w:rPr>
          <w:b/>
          <w:bCs/>
          <w:sz w:val="20"/>
          <w:szCs w:val="20"/>
        </w:rPr>
        <w:t>Table 3: Humidity Capture Chamber Specifications</w:t>
      </w:r>
    </w:p>
    <w:tbl>
      <w:tblPr>
        <w:tblStyle w:val="GridTable4"/>
        <w:tblW w:w="0" w:type="auto"/>
        <w:tblLook w:val="04A0" w:firstRow="1" w:lastRow="0" w:firstColumn="1" w:lastColumn="0" w:noHBand="0" w:noVBand="1"/>
      </w:tblPr>
      <w:tblGrid>
        <w:gridCol w:w="2128"/>
        <w:gridCol w:w="2172"/>
        <w:gridCol w:w="1898"/>
        <w:gridCol w:w="2329"/>
      </w:tblGrid>
      <w:tr w:rsidR="0062097E" w:rsidRPr="00DF2698" w14:paraId="61ED1D2E"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EA8FAC" w14:textId="77777777" w:rsidR="0062097E" w:rsidRPr="00DF2698" w:rsidRDefault="0062097E" w:rsidP="00C37984">
            <w:pPr>
              <w:spacing w:line="240" w:lineRule="auto"/>
              <w:jc w:val="center"/>
              <w:rPr>
                <w:sz w:val="20"/>
                <w:szCs w:val="20"/>
              </w:rPr>
            </w:pPr>
            <w:r w:rsidRPr="00DF2698">
              <w:rPr>
                <w:sz w:val="20"/>
                <w:szCs w:val="20"/>
              </w:rPr>
              <w:t>Chamber Volume (m³)</w:t>
            </w:r>
          </w:p>
        </w:tc>
        <w:tc>
          <w:tcPr>
            <w:tcW w:w="0" w:type="auto"/>
            <w:hideMark/>
          </w:tcPr>
          <w:p w14:paraId="4296B8B6"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Material Quantity (kg)</w:t>
            </w:r>
          </w:p>
        </w:tc>
        <w:tc>
          <w:tcPr>
            <w:tcW w:w="0" w:type="auto"/>
            <w:hideMark/>
          </w:tcPr>
          <w:p w14:paraId="2B390871"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Airflow Rate (m³/h)</w:t>
            </w:r>
          </w:p>
        </w:tc>
        <w:tc>
          <w:tcPr>
            <w:tcW w:w="0" w:type="auto"/>
            <w:hideMark/>
          </w:tcPr>
          <w:p w14:paraId="4605A739"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Temperature Range (°C)</w:t>
            </w:r>
          </w:p>
        </w:tc>
      </w:tr>
      <w:tr w:rsidR="0062097E" w:rsidRPr="00DF2698" w14:paraId="331F7A54"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8567FE" w14:textId="77777777" w:rsidR="0062097E" w:rsidRPr="00DF2698" w:rsidRDefault="0062097E" w:rsidP="00C37984">
            <w:pPr>
              <w:spacing w:line="240" w:lineRule="auto"/>
              <w:jc w:val="center"/>
              <w:rPr>
                <w:sz w:val="20"/>
                <w:szCs w:val="20"/>
              </w:rPr>
            </w:pPr>
            <w:r w:rsidRPr="00DF2698">
              <w:rPr>
                <w:sz w:val="20"/>
                <w:szCs w:val="20"/>
              </w:rPr>
              <w:t>1.5</w:t>
            </w:r>
          </w:p>
        </w:tc>
        <w:tc>
          <w:tcPr>
            <w:tcW w:w="0" w:type="auto"/>
            <w:hideMark/>
          </w:tcPr>
          <w:p w14:paraId="78F365E5"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10</w:t>
            </w:r>
          </w:p>
        </w:tc>
        <w:tc>
          <w:tcPr>
            <w:tcW w:w="0" w:type="auto"/>
            <w:hideMark/>
          </w:tcPr>
          <w:p w14:paraId="2C98EE3D"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500</w:t>
            </w:r>
          </w:p>
        </w:tc>
        <w:tc>
          <w:tcPr>
            <w:tcW w:w="0" w:type="auto"/>
            <w:hideMark/>
          </w:tcPr>
          <w:p w14:paraId="01F8714E"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25–45</w:t>
            </w:r>
          </w:p>
        </w:tc>
      </w:tr>
    </w:tbl>
    <w:p w14:paraId="59A4BCD0" w14:textId="77777777" w:rsidR="0062097E" w:rsidRPr="00DF2698" w:rsidRDefault="0062097E" w:rsidP="00C37984">
      <w:pPr>
        <w:spacing w:line="240" w:lineRule="auto"/>
        <w:jc w:val="center"/>
        <w:rPr>
          <w:sz w:val="20"/>
          <w:szCs w:val="20"/>
        </w:rPr>
      </w:pPr>
      <w:r w:rsidRPr="00DF2698">
        <w:rPr>
          <w:noProof/>
          <w:sz w:val="20"/>
          <w:szCs w:val="20"/>
        </w:rPr>
        <w:drawing>
          <wp:inline distT="0" distB="0" distL="0" distR="0" wp14:anchorId="6F22B93A" wp14:editId="2228DBEF">
            <wp:extent cx="5731510" cy="3417570"/>
            <wp:effectExtent l="0" t="0" r="2540" b="0"/>
            <wp:docPr id="472459337" name="Picture 4" descr="A graph with green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59337" name="Picture 4" descr="A graph with green and orange do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17570"/>
                    </a:xfrm>
                    <a:prstGeom prst="rect">
                      <a:avLst/>
                    </a:prstGeom>
                  </pic:spPr>
                </pic:pic>
              </a:graphicData>
            </a:graphic>
          </wp:inline>
        </w:drawing>
      </w:r>
    </w:p>
    <w:p w14:paraId="1FEC4F4E" w14:textId="77777777" w:rsidR="0062097E" w:rsidRPr="00DF2698" w:rsidRDefault="0062097E" w:rsidP="0062097E">
      <w:pPr>
        <w:spacing w:line="240" w:lineRule="auto"/>
        <w:rPr>
          <w:sz w:val="20"/>
          <w:szCs w:val="20"/>
        </w:rPr>
      </w:pPr>
    </w:p>
    <w:p w14:paraId="47AB31B6" w14:textId="77777777" w:rsidR="0062097E" w:rsidRPr="00DF2698" w:rsidRDefault="0062097E" w:rsidP="0062097E">
      <w:pPr>
        <w:spacing w:line="240" w:lineRule="auto"/>
        <w:rPr>
          <w:sz w:val="20"/>
          <w:szCs w:val="20"/>
        </w:rPr>
      </w:pPr>
      <w:r w:rsidRPr="00DF2698">
        <w:rPr>
          <w:sz w:val="20"/>
          <w:szCs w:val="20"/>
        </w:rPr>
        <w:t>The quantum computing-based control system employed quantum-inspired algorithms to optimize operational parameters dynamically. This control system interfaced directly with real-time sensors, enabling precise control over chamber conditions, solar energy distribution, and material saturation cycles. Machine learning algorithms processed sensor data continuously to adapt operational parameters, maximizing water generation efficiency under varying environmental conditions.</w:t>
      </w:r>
    </w:p>
    <w:p w14:paraId="0D9EECCF" w14:textId="77777777" w:rsidR="0062097E" w:rsidRPr="00DF2698" w:rsidRDefault="0062097E" w:rsidP="0062097E">
      <w:pPr>
        <w:spacing w:line="240" w:lineRule="auto"/>
        <w:rPr>
          <w:sz w:val="20"/>
          <w:szCs w:val="20"/>
        </w:rPr>
      </w:pPr>
      <w:r w:rsidRPr="00DF2698">
        <w:rPr>
          <w:sz w:val="20"/>
          <w:szCs w:val="20"/>
        </w:rPr>
        <w:t>For data acquisition, comprehensive sensor arrays were deployed throughout the experimental setup, continuously logging humidity, temperature, solar intensity, airflow, and water production rates. All data were recorded in real-time with high-frequency sampling rates (1 Hz) to ensure granular monitoring and precise adjustments.</w:t>
      </w:r>
    </w:p>
    <w:p w14:paraId="24EF84F0" w14:textId="77777777" w:rsidR="0062097E" w:rsidRPr="00DF2698" w:rsidRDefault="0062097E" w:rsidP="0062097E">
      <w:pPr>
        <w:spacing w:line="240" w:lineRule="auto"/>
        <w:rPr>
          <w:sz w:val="20"/>
          <w:szCs w:val="20"/>
        </w:rPr>
      </w:pPr>
      <w:r w:rsidRPr="00DF2698">
        <w:rPr>
          <w:sz w:val="20"/>
          <w:szCs w:val="20"/>
        </w:rPr>
        <w:t>Experimental trials were systematically conducted under various simulated climates to assess performance consistency, operational stability, and adaptability. Trials spanned a broad range of conditions, including low humidity desert-like conditions (10-30% RH), moderate humidity temperate conditions (40-60% RH), and high humidity tropical conditions (70-90% RH). Performance metrics such as water generation rate, energy consumption, and material regeneration cycles were meticulously documented and analyzed.</w:t>
      </w:r>
    </w:p>
    <w:p w14:paraId="3448A6FB" w14:textId="77777777" w:rsidR="0062097E" w:rsidRDefault="0062097E" w:rsidP="0062097E">
      <w:pPr>
        <w:spacing w:line="240" w:lineRule="auto"/>
        <w:rPr>
          <w:sz w:val="20"/>
          <w:szCs w:val="20"/>
        </w:rPr>
      </w:pPr>
      <w:r w:rsidRPr="00DF2698">
        <w:rPr>
          <w:sz w:val="20"/>
          <w:szCs w:val="20"/>
        </w:rPr>
        <w:t>Results from these controlled experiments provided critical data for validating the theoretical models and computational predictions. Additionally, the experimental setup facilitated iterative improvements through real-time adjustments based on machine learning feedback loops.</w:t>
      </w:r>
    </w:p>
    <w:p w14:paraId="11CF96C4" w14:textId="77777777" w:rsidR="00C37984" w:rsidRPr="00DF2698" w:rsidRDefault="00C37984" w:rsidP="0062097E">
      <w:pPr>
        <w:spacing w:line="240" w:lineRule="auto"/>
        <w:rPr>
          <w:sz w:val="20"/>
          <w:szCs w:val="20"/>
        </w:rPr>
      </w:pPr>
    </w:p>
    <w:p w14:paraId="623ABA02" w14:textId="77777777" w:rsidR="0062097E" w:rsidRPr="002E59B1" w:rsidRDefault="0062097E" w:rsidP="0062097E">
      <w:pPr>
        <w:spacing w:line="240" w:lineRule="auto"/>
        <w:rPr>
          <w:b/>
          <w:bCs/>
          <w:sz w:val="20"/>
          <w:szCs w:val="20"/>
          <w:u w:val="single"/>
        </w:rPr>
      </w:pPr>
      <w:r w:rsidRPr="002E59B1">
        <w:rPr>
          <w:b/>
          <w:bCs/>
          <w:sz w:val="20"/>
          <w:szCs w:val="20"/>
          <w:u w:val="single"/>
        </w:rPr>
        <w:lastRenderedPageBreak/>
        <w:t>2.3 Operational Optimization</w:t>
      </w:r>
    </w:p>
    <w:p w14:paraId="01FEBBDE" w14:textId="77777777" w:rsidR="0062097E" w:rsidRPr="00DF2698" w:rsidRDefault="0062097E" w:rsidP="0062097E">
      <w:pPr>
        <w:spacing w:line="240" w:lineRule="auto"/>
        <w:rPr>
          <w:sz w:val="20"/>
          <w:szCs w:val="20"/>
        </w:rPr>
      </w:pPr>
      <w:r w:rsidRPr="00DF2698">
        <w:rPr>
          <w:sz w:val="20"/>
          <w:szCs w:val="20"/>
        </w:rPr>
        <w:t>The operational optimization in quasi-quantum photosynthesis involved the integration of advanced computational strategies, primarily employing quantum-inspired algorithms and machine learning techniques, to dynamically manage and enhance the efficiency of the atmospheric water generation process. This system addressed multiple operational parameters simultaneously, including airflow rates, solar energy distribution, temperature management, moisture absorption timing, and desorption cycles. (Yu et al., 2021; IEEE Spectrum, 2022).</w:t>
      </w:r>
    </w:p>
    <w:p w14:paraId="2479DEA9" w14:textId="77777777" w:rsidR="0062097E" w:rsidRPr="00DF2698" w:rsidRDefault="0062097E" w:rsidP="0062097E">
      <w:pPr>
        <w:spacing w:line="240" w:lineRule="auto"/>
        <w:rPr>
          <w:sz w:val="20"/>
          <w:szCs w:val="20"/>
        </w:rPr>
      </w:pPr>
      <w:r w:rsidRPr="00DF2698">
        <w:rPr>
          <w:sz w:val="20"/>
          <w:szCs w:val="20"/>
        </w:rPr>
        <w:t>Quantum-inspired neural network algorithms formed the core computational framework utilized in this optimization process. These algorithms were selected for their superior capability in handling complex, multivariate datasets and providing real-time optimization under dynamic environmental conditions. Quantum-inspired neural networks employed quantum computation principles such as superposition and entanglement analogues, enabling the processing of extensive datasets with enhanced computational efficiency and accuracy.</w:t>
      </w:r>
    </w:p>
    <w:p w14:paraId="725FB6E9" w14:textId="77777777" w:rsidR="0062097E" w:rsidRPr="00DF2698" w:rsidRDefault="0062097E" w:rsidP="0062097E">
      <w:pPr>
        <w:spacing w:line="240" w:lineRule="auto"/>
        <w:rPr>
          <w:sz w:val="20"/>
          <w:szCs w:val="20"/>
        </w:rPr>
      </w:pPr>
      <w:r w:rsidRPr="00DF2698">
        <w:rPr>
          <w:sz w:val="20"/>
          <w:szCs w:val="20"/>
        </w:rPr>
        <w:t>The operational control system continuously monitored environmental data inputs from the comprehensive sensor network established throughout the experimental setup. Real-time sensor inputs included humidity levels, ambient and chamber temperatures, solar irradiance intensity, airflow velocity, and nanoporous material saturation states. The system utilized these inputs to dynamically predict the most efficient operational settings, adjusting the system parameters accordingly to maximize water output while minimizing energy consumption.</w:t>
      </w:r>
    </w:p>
    <w:p w14:paraId="5CF8FE5B" w14:textId="77777777" w:rsidR="0062097E" w:rsidRPr="00DF2698" w:rsidRDefault="0062097E" w:rsidP="0062097E">
      <w:pPr>
        <w:spacing w:line="240" w:lineRule="auto"/>
        <w:rPr>
          <w:sz w:val="20"/>
          <w:szCs w:val="20"/>
        </w:rPr>
      </w:pPr>
      <w:r w:rsidRPr="00DF2698">
        <w:rPr>
          <w:sz w:val="20"/>
          <w:szCs w:val="20"/>
        </w:rPr>
        <w:t>Table 4 summarizes the critical parameters and their optimization ranges managed by the control system:</w:t>
      </w:r>
    </w:p>
    <w:p w14:paraId="5742D0AF" w14:textId="77777777" w:rsidR="0062097E" w:rsidRPr="00DF2698" w:rsidRDefault="0062097E" w:rsidP="00C37984">
      <w:pPr>
        <w:spacing w:line="240" w:lineRule="auto"/>
        <w:jc w:val="center"/>
        <w:rPr>
          <w:sz w:val="20"/>
          <w:szCs w:val="20"/>
        </w:rPr>
      </w:pPr>
      <w:r w:rsidRPr="00DF2698">
        <w:rPr>
          <w:b/>
          <w:bCs/>
          <w:sz w:val="20"/>
          <w:szCs w:val="20"/>
        </w:rPr>
        <w:t>Table 4: Optimization Parameters and Operational Ranges</w:t>
      </w:r>
    </w:p>
    <w:tbl>
      <w:tblPr>
        <w:tblStyle w:val="GridTable3-Accent2"/>
        <w:tblW w:w="0" w:type="auto"/>
        <w:tblLook w:val="04A0" w:firstRow="1" w:lastRow="0" w:firstColumn="1" w:lastColumn="0" w:noHBand="0" w:noVBand="1"/>
      </w:tblPr>
      <w:tblGrid>
        <w:gridCol w:w="2655"/>
        <w:gridCol w:w="1944"/>
        <w:gridCol w:w="2707"/>
      </w:tblGrid>
      <w:tr w:rsidR="0062097E" w:rsidRPr="00DF2698" w14:paraId="5D9AC25D"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394CAB6E" w14:textId="77777777" w:rsidR="0062097E" w:rsidRPr="00DF2698" w:rsidRDefault="0062097E" w:rsidP="00C37984">
            <w:pPr>
              <w:spacing w:line="240" w:lineRule="auto"/>
              <w:jc w:val="center"/>
              <w:rPr>
                <w:sz w:val="20"/>
                <w:szCs w:val="20"/>
              </w:rPr>
            </w:pPr>
            <w:r w:rsidRPr="00DF2698">
              <w:rPr>
                <w:sz w:val="20"/>
                <w:szCs w:val="20"/>
              </w:rPr>
              <w:t>Parameter</w:t>
            </w:r>
          </w:p>
        </w:tc>
        <w:tc>
          <w:tcPr>
            <w:tcW w:w="0" w:type="auto"/>
            <w:hideMark/>
          </w:tcPr>
          <w:p w14:paraId="4D597D57"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Optimization Range</w:t>
            </w:r>
          </w:p>
        </w:tc>
        <w:tc>
          <w:tcPr>
            <w:tcW w:w="0" w:type="auto"/>
            <w:hideMark/>
          </w:tcPr>
          <w:p w14:paraId="7D2A5F66"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Targeted Outcome</w:t>
            </w:r>
          </w:p>
        </w:tc>
      </w:tr>
      <w:tr w:rsidR="0062097E" w:rsidRPr="00DF2698" w14:paraId="4580E227"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1F62CC" w14:textId="77777777" w:rsidR="0062097E" w:rsidRPr="00DF2698" w:rsidRDefault="0062097E" w:rsidP="00C37984">
            <w:pPr>
              <w:spacing w:line="240" w:lineRule="auto"/>
              <w:jc w:val="center"/>
              <w:rPr>
                <w:sz w:val="20"/>
                <w:szCs w:val="20"/>
              </w:rPr>
            </w:pPr>
            <w:r w:rsidRPr="00DF2698">
              <w:rPr>
                <w:sz w:val="20"/>
                <w:szCs w:val="20"/>
              </w:rPr>
              <w:t>Airflow Rate (m³/h)</w:t>
            </w:r>
          </w:p>
        </w:tc>
        <w:tc>
          <w:tcPr>
            <w:tcW w:w="0" w:type="auto"/>
            <w:hideMark/>
          </w:tcPr>
          <w:p w14:paraId="701DECFF"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300–600</w:t>
            </w:r>
          </w:p>
        </w:tc>
        <w:tc>
          <w:tcPr>
            <w:tcW w:w="0" w:type="auto"/>
            <w:hideMark/>
          </w:tcPr>
          <w:p w14:paraId="4719D804"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Maximize moisture capture</w:t>
            </w:r>
          </w:p>
        </w:tc>
      </w:tr>
      <w:tr w:rsidR="0062097E" w:rsidRPr="00DF2698" w14:paraId="2B7BD0C8"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7C70BDB1" w14:textId="77777777" w:rsidR="0062097E" w:rsidRPr="00DF2698" w:rsidRDefault="0062097E" w:rsidP="00C37984">
            <w:pPr>
              <w:spacing w:line="240" w:lineRule="auto"/>
              <w:jc w:val="center"/>
              <w:rPr>
                <w:sz w:val="20"/>
                <w:szCs w:val="20"/>
              </w:rPr>
            </w:pPr>
            <w:r w:rsidRPr="00DF2698">
              <w:rPr>
                <w:sz w:val="20"/>
                <w:szCs w:val="20"/>
              </w:rPr>
              <w:t>Solar Collector Efficiency (%)</w:t>
            </w:r>
          </w:p>
        </w:tc>
        <w:tc>
          <w:tcPr>
            <w:tcW w:w="0" w:type="auto"/>
            <w:hideMark/>
          </w:tcPr>
          <w:p w14:paraId="0C2A331A"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60–75</w:t>
            </w:r>
          </w:p>
        </w:tc>
        <w:tc>
          <w:tcPr>
            <w:tcW w:w="0" w:type="auto"/>
            <w:hideMark/>
          </w:tcPr>
          <w:p w14:paraId="49F73367"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Optimal thermal energy use</w:t>
            </w:r>
          </w:p>
        </w:tc>
      </w:tr>
      <w:tr w:rsidR="0062097E" w:rsidRPr="00DF2698" w14:paraId="78D9C629"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0564BE" w14:textId="77777777" w:rsidR="0062097E" w:rsidRPr="00DF2698" w:rsidRDefault="0062097E" w:rsidP="00C37984">
            <w:pPr>
              <w:spacing w:line="240" w:lineRule="auto"/>
              <w:jc w:val="center"/>
              <w:rPr>
                <w:sz w:val="20"/>
                <w:szCs w:val="20"/>
              </w:rPr>
            </w:pPr>
            <w:r w:rsidRPr="00DF2698">
              <w:rPr>
                <w:sz w:val="20"/>
                <w:szCs w:val="20"/>
              </w:rPr>
              <w:t>Material Saturation (%)</w:t>
            </w:r>
          </w:p>
        </w:tc>
        <w:tc>
          <w:tcPr>
            <w:tcW w:w="0" w:type="auto"/>
            <w:hideMark/>
          </w:tcPr>
          <w:p w14:paraId="11F6AFEF"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50–90</w:t>
            </w:r>
          </w:p>
        </w:tc>
        <w:tc>
          <w:tcPr>
            <w:tcW w:w="0" w:type="auto"/>
            <w:hideMark/>
          </w:tcPr>
          <w:p w14:paraId="3FC80E4F"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Efficient adsorption/desorption</w:t>
            </w:r>
          </w:p>
        </w:tc>
      </w:tr>
      <w:tr w:rsidR="0062097E" w:rsidRPr="00DF2698" w14:paraId="3C632068"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55940E73" w14:textId="77777777" w:rsidR="0062097E" w:rsidRPr="00DF2698" w:rsidRDefault="0062097E" w:rsidP="00C37984">
            <w:pPr>
              <w:spacing w:line="240" w:lineRule="auto"/>
              <w:jc w:val="center"/>
              <w:rPr>
                <w:sz w:val="20"/>
                <w:szCs w:val="20"/>
              </w:rPr>
            </w:pPr>
            <w:r w:rsidRPr="00DF2698">
              <w:rPr>
                <w:sz w:val="20"/>
                <w:szCs w:val="20"/>
              </w:rPr>
              <w:t>Desorption Temperature (°C)</w:t>
            </w:r>
          </w:p>
        </w:tc>
        <w:tc>
          <w:tcPr>
            <w:tcW w:w="0" w:type="auto"/>
            <w:hideMark/>
          </w:tcPr>
          <w:p w14:paraId="2BFB3FD9"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50–200</w:t>
            </w:r>
          </w:p>
        </w:tc>
        <w:tc>
          <w:tcPr>
            <w:tcW w:w="0" w:type="auto"/>
            <w:hideMark/>
          </w:tcPr>
          <w:p w14:paraId="60CD3B27"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Effective moisture release</w:t>
            </w:r>
          </w:p>
        </w:tc>
      </w:tr>
    </w:tbl>
    <w:p w14:paraId="41DF1C6F" w14:textId="77777777" w:rsidR="0062097E" w:rsidRPr="00DF2698" w:rsidRDefault="0062097E" w:rsidP="00C37984">
      <w:pPr>
        <w:spacing w:line="240" w:lineRule="auto"/>
        <w:jc w:val="center"/>
        <w:rPr>
          <w:sz w:val="20"/>
          <w:szCs w:val="20"/>
        </w:rPr>
      </w:pPr>
      <w:r w:rsidRPr="00DF2698">
        <w:rPr>
          <w:noProof/>
          <w:sz w:val="20"/>
          <w:szCs w:val="20"/>
        </w:rPr>
        <w:drawing>
          <wp:inline distT="0" distB="0" distL="0" distR="0" wp14:anchorId="148A2F07" wp14:editId="143AD2CC">
            <wp:extent cx="5731510" cy="3415665"/>
            <wp:effectExtent l="0" t="0" r="2540" b="0"/>
            <wp:docPr id="847194652" name="Picture 5" descr="A graph of efficiency improv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94652" name="Picture 5" descr="A graph of efficiency improvemen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415665"/>
                    </a:xfrm>
                    <a:prstGeom prst="rect">
                      <a:avLst/>
                    </a:prstGeom>
                  </pic:spPr>
                </pic:pic>
              </a:graphicData>
            </a:graphic>
          </wp:inline>
        </w:drawing>
      </w:r>
    </w:p>
    <w:p w14:paraId="2752A252" w14:textId="77777777" w:rsidR="0062097E" w:rsidRPr="00DF2698" w:rsidRDefault="0062097E" w:rsidP="0062097E">
      <w:pPr>
        <w:spacing w:line="240" w:lineRule="auto"/>
        <w:rPr>
          <w:sz w:val="20"/>
          <w:szCs w:val="20"/>
        </w:rPr>
      </w:pPr>
      <w:r w:rsidRPr="00DF2698">
        <w:rPr>
          <w:sz w:val="20"/>
          <w:szCs w:val="20"/>
        </w:rPr>
        <w:lastRenderedPageBreak/>
        <w:t>Real-time adjustments were made through actuators that managed airflow valves, solar collector angles, thermal controls, and chamber venting mechanisms. This ensured that optimal conditions were consistently maintained, even under changing environmental scenarios.</w:t>
      </w:r>
    </w:p>
    <w:p w14:paraId="2829EF05" w14:textId="77777777" w:rsidR="0062097E" w:rsidRPr="00DF2698" w:rsidRDefault="0062097E" w:rsidP="0062097E">
      <w:pPr>
        <w:spacing w:line="240" w:lineRule="auto"/>
        <w:rPr>
          <w:sz w:val="20"/>
          <w:szCs w:val="20"/>
        </w:rPr>
      </w:pPr>
      <w:r w:rsidRPr="00DF2698">
        <w:rPr>
          <w:sz w:val="20"/>
          <w:szCs w:val="20"/>
        </w:rPr>
        <w:t>To further refine optimization, the system incorporated iterative machine learning processes. Historical data from previous cycles fed into predictive analytics models, continuously improving the precision of future operational adjustments. These machine learning models employed predictive regression analysis and reinforcement learning algorithms to systematically improve the accuracy of operational predictions and enhance the adaptive capabilities of the entire setup.</w:t>
      </w:r>
    </w:p>
    <w:p w14:paraId="3F88E49B" w14:textId="77777777" w:rsidR="0062097E" w:rsidRPr="00DF2698" w:rsidRDefault="0062097E" w:rsidP="0062097E">
      <w:pPr>
        <w:spacing w:line="240" w:lineRule="auto"/>
        <w:rPr>
          <w:sz w:val="20"/>
          <w:szCs w:val="20"/>
        </w:rPr>
      </w:pPr>
      <w:r w:rsidRPr="00DF2698">
        <w:rPr>
          <w:sz w:val="20"/>
          <w:szCs w:val="20"/>
        </w:rPr>
        <w:t>Furthermore, the system was designed to autonomously detect and adapt to anomalous conditions, such as sudden shifts in humidity or temperature fluctuations, through real-time anomaly detection algorithms. These algorithms identified deviations from optimal operational parameters promptly, initiating immediate corrective actions to mitigate impacts on efficiency.</w:t>
      </w:r>
    </w:p>
    <w:p w14:paraId="01B6E05C" w14:textId="77777777" w:rsidR="0062097E" w:rsidRPr="00DF2698" w:rsidRDefault="0062097E" w:rsidP="0062097E">
      <w:pPr>
        <w:spacing w:line="240" w:lineRule="auto"/>
        <w:rPr>
          <w:sz w:val="20"/>
          <w:szCs w:val="20"/>
        </w:rPr>
      </w:pPr>
      <w:r w:rsidRPr="00DF2698">
        <w:rPr>
          <w:sz w:val="20"/>
          <w:szCs w:val="20"/>
        </w:rPr>
        <w:t>The integration of quantum-inspired neural networks, machine learning-driven adaptive controls, and real-time anomaly detection systems created a robust operational optimization framework, significantly enhancing the reliability and efficiency of quasi-quantum photosynthesis in diverse environmental contexts.</w:t>
      </w:r>
    </w:p>
    <w:p w14:paraId="5FC9D8ED" w14:textId="77777777" w:rsidR="0062097E" w:rsidRPr="002E59B1" w:rsidRDefault="0062097E" w:rsidP="0062097E">
      <w:pPr>
        <w:spacing w:line="240" w:lineRule="auto"/>
        <w:rPr>
          <w:b/>
          <w:bCs/>
          <w:i/>
          <w:iCs/>
          <w:sz w:val="20"/>
          <w:szCs w:val="20"/>
        </w:rPr>
      </w:pPr>
      <w:r w:rsidRPr="002E59B1">
        <w:rPr>
          <w:b/>
          <w:bCs/>
          <w:i/>
          <w:iCs/>
          <w:sz w:val="20"/>
          <w:szCs w:val="20"/>
        </w:rPr>
        <w:t>2.4 Data Collection and Analysis Methods</w:t>
      </w:r>
    </w:p>
    <w:p w14:paraId="5D93DC15" w14:textId="77777777" w:rsidR="0062097E" w:rsidRPr="00DF2698" w:rsidRDefault="0062097E" w:rsidP="0062097E">
      <w:pPr>
        <w:spacing w:line="240" w:lineRule="auto"/>
        <w:rPr>
          <w:sz w:val="20"/>
          <w:szCs w:val="20"/>
        </w:rPr>
      </w:pPr>
      <w:r w:rsidRPr="00DF2698">
        <w:rPr>
          <w:sz w:val="20"/>
          <w:szCs w:val="20"/>
        </w:rPr>
        <w:t>Data collection and analysis were meticulously conducted to ensure comprehensive, accurate, and reliable results. An integrated sensor network systematically gathered extensive environmental and operational data throughout the experimental period. Sensors were strategically placed within humidity capture chambers, solar thermal collectors, airflow conduits, and various locations within the experimental setup to ensure broad and precise data acquisition. (Hassan &amp; Yilbas, 2021).</w:t>
      </w:r>
    </w:p>
    <w:p w14:paraId="0C6EF643" w14:textId="3C962864" w:rsidR="0062097E" w:rsidRPr="00DF2698" w:rsidRDefault="0062097E" w:rsidP="0062097E">
      <w:pPr>
        <w:spacing w:line="240" w:lineRule="auto"/>
        <w:rPr>
          <w:sz w:val="20"/>
          <w:szCs w:val="20"/>
        </w:rPr>
      </w:pPr>
      <w:r w:rsidRPr="00DF2698">
        <w:rPr>
          <w:sz w:val="20"/>
          <w:szCs w:val="20"/>
        </w:rPr>
        <w:t>Sensor types utilized included:</w:t>
      </w:r>
      <w:r w:rsidR="00C452E7">
        <w:rPr>
          <w:sz w:val="20"/>
          <w:szCs w:val="20"/>
        </w:rPr>
        <w:t>-</w:t>
      </w:r>
    </w:p>
    <w:p w14:paraId="17EA19A5" w14:textId="191B04DC" w:rsidR="0062097E" w:rsidRPr="00DF2698" w:rsidRDefault="0062097E" w:rsidP="0062097E">
      <w:pPr>
        <w:numPr>
          <w:ilvl w:val="0"/>
          <w:numId w:val="19"/>
        </w:numPr>
        <w:spacing w:after="160" w:line="240" w:lineRule="auto"/>
        <w:jc w:val="left"/>
        <w:rPr>
          <w:sz w:val="20"/>
          <w:szCs w:val="20"/>
        </w:rPr>
      </w:pPr>
      <w:r w:rsidRPr="00DF2698">
        <w:rPr>
          <w:sz w:val="20"/>
          <w:szCs w:val="20"/>
        </w:rPr>
        <w:t>Humidity Sensors</w:t>
      </w:r>
      <w:r w:rsidR="00C452E7">
        <w:rPr>
          <w:sz w:val="20"/>
          <w:szCs w:val="20"/>
        </w:rPr>
        <w:t xml:space="preserve"> -</w:t>
      </w:r>
      <w:r w:rsidRPr="00DF2698">
        <w:rPr>
          <w:sz w:val="20"/>
          <w:szCs w:val="20"/>
        </w:rPr>
        <w:t xml:space="preserve"> Capacitive humidity sensors with a sensitivity range of ±1% RH, ensuring accurate monitoring of moisture levels.</w:t>
      </w:r>
    </w:p>
    <w:p w14:paraId="0AE6965A" w14:textId="67984E35" w:rsidR="0062097E" w:rsidRPr="00DF2698" w:rsidRDefault="0062097E" w:rsidP="0062097E">
      <w:pPr>
        <w:numPr>
          <w:ilvl w:val="0"/>
          <w:numId w:val="19"/>
        </w:numPr>
        <w:spacing w:after="160" w:line="240" w:lineRule="auto"/>
        <w:jc w:val="left"/>
        <w:rPr>
          <w:sz w:val="20"/>
          <w:szCs w:val="20"/>
        </w:rPr>
      </w:pPr>
      <w:r w:rsidRPr="00DF2698">
        <w:rPr>
          <w:sz w:val="20"/>
          <w:szCs w:val="20"/>
        </w:rPr>
        <w:t>Temperature Sensors</w:t>
      </w:r>
      <w:r w:rsidR="00C452E7">
        <w:rPr>
          <w:sz w:val="20"/>
          <w:szCs w:val="20"/>
        </w:rPr>
        <w:t xml:space="preserve"> -</w:t>
      </w:r>
      <w:r w:rsidRPr="00DF2698">
        <w:rPr>
          <w:sz w:val="20"/>
          <w:szCs w:val="20"/>
        </w:rPr>
        <w:t xml:space="preserve"> High-precision thermistors and thermocouples, calibrated within ±0.5°C, for accurate measurement of ambient and chamber temperatures.</w:t>
      </w:r>
    </w:p>
    <w:p w14:paraId="4B22B224" w14:textId="58FD24D7" w:rsidR="0062097E" w:rsidRPr="00DF2698" w:rsidRDefault="0062097E" w:rsidP="0062097E">
      <w:pPr>
        <w:numPr>
          <w:ilvl w:val="0"/>
          <w:numId w:val="19"/>
        </w:numPr>
        <w:spacing w:after="160" w:line="240" w:lineRule="auto"/>
        <w:jc w:val="left"/>
        <w:rPr>
          <w:sz w:val="20"/>
          <w:szCs w:val="20"/>
        </w:rPr>
      </w:pPr>
      <w:r w:rsidRPr="00DF2698">
        <w:rPr>
          <w:sz w:val="20"/>
          <w:szCs w:val="20"/>
        </w:rPr>
        <w:t>Solar Irradiance Sensors</w:t>
      </w:r>
      <w:r w:rsidR="00C452E7">
        <w:rPr>
          <w:sz w:val="20"/>
          <w:szCs w:val="20"/>
        </w:rPr>
        <w:t xml:space="preserve"> -</w:t>
      </w:r>
      <w:r w:rsidRPr="00DF2698">
        <w:rPr>
          <w:sz w:val="20"/>
          <w:szCs w:val="20"/>
        </w:rPr>
        <w:t xml:space="preserve"> Pyranometers capable of measuring solar irradiance with an accuracy of ±3%, enabling precise energy input monitoring.</w:t>
      </w:r>
    </w:p>
    <w:p w14:paraId="0D18F8CE" w14:textId="027B20EE" w:rsidR="0062097E" w:rsidRPr="00DF2698" w:rsidRDefault="0062097E" w:rsidP="0062097E">
      <w:pPr>
        <w:numPr>
          <w:ilvl w:val="0"/>
          <w:numId w:val="19"/>
        </w:numPr>
        <w:spacing w:after="160" w:line="240" w:lineRule="auto"/>
        <w:jc w:val="left"/>
        <w:rPr>
          <w:sz w:val="20"/>
          <w:szCs w:val="20"/>
        </w:rPr>
      </w:pPr>
      <w:r w:rsidRPr="00DF2698">
        <w:rPr>
          <w:sz w:val="20"/>
          <w:szCs w:val="20"/>
        </w:rPr>
        <w:t>Airflow Sensors</w:t>
      </w:r>
      <w:r w:rsidR="00C452E7">
        <w:rPr>
          <w:sz w:val="20"/>
          <w:szCs w:val="20"/>
        </w:rPr>
        <w:t xml:space="preserve"> -</w:t>
      </w:r>
      <w:r w:rsidRPr="00DF2698">
        <w:rPr>
          <w:sz w:val="20"/>
          <w:szCs w:val="20"/>
        </w:rPr>
        <w:t xml:space="preserve"> Hot-wire anemometers and Pitot tubes, calibrated to measure airflow velocity accurately within ±2%.</w:t>
      </w:r>
    </w:p>
    <w:p w14:paraId="120DB5A1" w14:textId="77777777" w:rsidR="0062097E" w:rsidRPr="00DF2698" w:rsidRDefault="0062097E" w:rsidP="0062097E">
      <w:pPr>
        <w:spacing w:line="240" w:lineRule="auto"/>
        <w:rPr>
          <w:sz w:val="20"/>
          <w:szCs w:val="20"/>
        </w:rPr>
      </w:pPr>
      <w:r w:rsidRPr="00DF2698">
        <w:rPr>
          <w:sz w:val="20"/>
          <w:szCs w:val="20"/>
        </w:rPr>
        <w:t>Table 5 summarizes the sensor specifications and their locations:</w:t>
      </w:r>
    </w:p>
    <w:p w14:paraId="32FD9D35" w14:textId="77777777" w:rsidR="0062097E" w:rsidRPr="00DF2698" w:rsidRDefault="0062097E" w:rsidP="00C37984">
      <w:pPr>
        <w:spacing w:line="240" w:lineRule="auto"/>
        <w:jc w:val="center"/>
        <w:rPr>
          <w:sz w:val="20"/>
          <w:szCs w:val="20"/>
        </w:rPr>
      </w:pPr>
      <w:r w:rsidRPr="00DF2698">
        <w:rPr>
          <w:b/>
          <w:bCs/>
          <w:sz w:val="20"/>
          <w:szCs w:val="20"/>
        </w:rPr>
        <w:t>Table 5: Sensor Specifications and Placement</w:t>
      </w:r>
    </w:p>
    <w:tbl>
      <w:tblPr>
        <w:tblStyle w:val="GridTable3-Accent1"/>
        <w:tblW w:w="0" w:type="auto"/>
        <w:tblLook w:val="04A0" w:firstRow="1" w:lastRow="0" w:firstColumn="1" w:lastColumn="0" w:noHBand="0" w:noVBand="1"/>
      </w:tblPr>
      <w:tblGrid>
        <w:gridCol w:w="1818"/>
        <w:gridCol w:w="1027"/>
        <w:gridCol w:w="983"/>
        <w:gridCol w:w="2344"/>
      </w:tblGrid>
      <w:tr w:rsidR="0062097E" w:rsidRPr="00DF2698" w14:paraId="5E5CC11F"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4684CB2D" w14:textId="77777777" w:rsidR="0062097E" w:rsidRPr="00DF2698" w:rsidRDefault="0062097E" w:rsidP="00C37984">
            <w:pPr>
              <w:spacing w:line="240" w:lineRule="auto"/>
              <w:jc w:val="center"/>
              <w:rPr>
                <w:sz w:val="20"/>
                <w:szCs w:val="20"/>
              </w:rPr>
            </w:pPr>
            <w:r w:rsidRPr="00DF2698">
              <w:rPr>
                <w:sz w:val="20"/>
                <w:szCs w:val="20"/>
              </w:rPr>
              <w:t>Sensor Type</w:t>
            </w:r>
          </w:p>
        </w:tc>
        <w:tc>
          <w:tcPr>
            <w:tcW w:w="0" w:type="auto"/>
            <w:hideMark/>
          </w:tcPr>
          <w:p w14:paraId="6F735DC7"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Accuracy</w:t>
            </w:r>
          </w:p>
        </w:tc>
        <w:tc>
          <w:tcPr>
            <w:tcW w:w="0" w:type="auto"/>
            <w:hideMark/>
          </w:tcPr>
          <w:p w14:paraId="37E192BB" w14:textId="77777777" w:rsidR="0062097E" w:rsidRPr="00DF2698" w:rsidRDefault="0062097E" w:rsidP="00C37984">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Quantity</w:t>
            </w:r>
          </w:p>
        </w:tc>
        <w:tc>
          <w:tcPr>
            <w:tcW w:w="0" w:type="auto"/>
            <w:hideMark/>
          </w:tcPr>
          <w:p w14:paraId="63C6D816"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Placement</w:t>
            </w:r>
          </w:p>
        </w:tc>
      </w:tr>
      <w:tr w:rsidR="0062097E" w:rsidRPr="00DF2698" w14:paraId="4CED9821"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69A924" w14:textId="77777777" w:rsidR="0062097E" w:rsidRPr="00DF2698" w:rsidRDefault="0062097E" w:rsidP="00C37984">
            <w:pPr>
              <w:spacing w:line="240" w:lineRule="auto"/>
              <w:jc w:val="center"/>
              <w:rPr>
                <w:sz w:val="20"/>
                <w:szCs w:val="20"/>
              </w:rPr>
            </w:pPr>
            <w:r w:rsidRPr="00DF2698">
              <w:rPr>
                <w:sz w:val="20"/>
                <w:szCs w:val="20"/>
              </w:rPr>
              <w:t>Humidity Sensor</w:t>
            </w:r>
          </w:p>
        </w:tc>
        <w:tc>
          <w:tcPr>
            <w:tcW w:w="0" w:type="auto"/>
            <w:hideMark/>
          </w:tcPr>
          <w:p w14:paraId="1B8A8C9E"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±1% RH</w:t>
            </w:r>
          </w:p>
        </w:tc>
        <w:tc>
          <w:tcPr>
            <w:tcW w:w="0" w:type="auto"/>
            <w:hideMark/>
          </w:tcPr>
          <w:p w14:paraId="2D414844"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8</w:t>
            </w:r>
          </w:p>
        </w:tc>
        <w:tc>
          <w:tcPr>
            <w:tcW w:w="0" w:type="auto"/>
            <w:hideMark/>
          </w:tcPr>
          <w:p w14:paraId="3C7E1B64"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Capture chambers</w:t>
            </w:r>
          </w:p>
        </w:tc>
      </w:tr>
      <w:tr w:rsidR="0062097E" w:rsidRPr="00DF2698" w14:paraId="1361F818"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51F20ACB" w14:textId="77777777" w:rsidR="0062097E" w:rsidRPr="00DF2698" w:rsidRDefault="0062097E" w:rsidP="00C37984">
            <w:pPr>
              <w:spacing w:line="240" w:lineRule="auto"/>
              <w:jc w:val="center"/>
              <w:rPr>
                <w:sz w:val="20"/>
                <w:szCs w:val="20"/>
              </w:rPr>
            </w:pPr>
            <w:r w:rsidRPr="00DF2698">
              <w:rPr>
                <w:sz w:val="20"/>
                <w:szCs w:val="20"/>
              </w:rPr>
              <w:t>Temperature Sensor</w:t>
            </w:r>
          </w:p>
        </w:tc>
        <w:tc>
          <w:tcPr>
            <w:tcW w:w="0" w:type="auto"/>
            <w:hideMark/>
          </w:tcPr>
          <w:p w14:paraId="4D9501A9"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±0.5°C</w:t>
            </w:r>
          </w:p>
        </w:tc>
        <w:tc>
          <w:tcPr>
            <w:tcW w:w="0" w:type="auto"/>
            <w:hideMark/>
          </w:tcPr>
          <w:p w14:paraId="686D8A28"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10</w:t>
            </w:r>
          </w:p>
        </w:tc>
        <w:tc>
          <w:tcPr>
            <w:tcW w:w="0" w:type="auto"/>
            <w:hideMark/>
          </w:tcPr>
          <w:p w14:paraId="4D5A1199"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Chambers, solar collectors</w:t>
            </w:r>
          </w:p>
        </w:tc>
      </w:tr>
      <w:tr w:rsidR="0062097E" w:rsidRPr="00DF2698" w14:paraId="27883B47"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777E92" w14:textId="77777777" w:rsidR="0062097E" w:rsidRPr="00DF2698" w:rsidRDefault="0062097E" w:rsidP="00C37984">
            <w:pPr>
              <w:spacing w:line="240" w:lineRule="auto"/>
              <w:jc w:val="center"/>
              <w:rPr>
                <w:sz w:val="20"/>
                <w:szCs w:val="20"/>
              </w:rPr>
            </w:pPr>
            <w:r w:rsidRPr="00DF2698">
              <w:rPr>
                <w:sz w:val="20"/>
                <w:szCs w:val="20"/>
              </w:rPr>
              <w:t>Solar Irradiance</w:t>
            </w:r>
          </w:p>
        </w:tc>
        <w:tc>
          <w:tcPr>
            <w:tcW w:w="0" w:type="auto"/>
            <w:hideMark/>
          </w:tcPr>
          <w:p w14:paraId="733F764F"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±3%</w:t>
            </w:r>
          </w:p>
        </w:tc>
        <w:tc>
          <w:tcPr>
            <w:tcW w:w="0" w:type="auto"/>
            <w:hideMark/>
          </w:tcPr>
          <w:p w14:paraId="64AABBA5"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4</w:t>
            </w:r>
          </w:p>
        </w:tc>
        <w:tc>
          <w:tcPr>
            <w:tcW w:w="0" w:type="auto"/>
            <w:hideMark/>
          </w:tcPr>
          <w:p w14:paraId="04ED8808"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Solar collectors</w:t>
            </w:r>
          </w:p>
        </w:tc>
      </w:tr>
      <w:tr w:rsidR="0062097E" w:rsidRPr="00DF2698" w14:paraId="1ADBD898"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3056D841" w14:textId="77777777" w:rsidR="0062097E" w:rsidRPr="00DF2698" w:rsidRDefault="0062097E" w:rsidP="00C37984">
            <w:pPr>
              <w:spacing w:line="240" w:lineRule="auto"/>
              <w:jc w:val="center"/>
              <w:rPr>
                <w:sz w:val="20"/>
                <w:szCs w:val="20"/>
              </w:rPr>
            </w:pPr>
            <w:r w:rsidRPr="00DF2698">
              <w:rPr>
                <w:sz w:val="20"/>
                <w:szCs w:val="20"/>
              </w:rPr>
              <w:t>Airflow Sensor</w:t>
            </w:r>
          </w:p>
        </w:tc>
        <w:tc>
          <w:tcPr>
            <w:tcW w:w="0" w:type="auto"/>
            <w:hideMark/>
          </w:tcPr>
          <w:p w14:paraId="0EB2F7B4"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±2%</w:t>
            </w:r>
          </w:p>
        </w:tc>
        <w:tc>
          <w:tcPr>
            <w:tcW w:w="0" w:type="auto"/>
            <w:hideMark/>
          </w:tcPr>
          <w:p w14:paraId="02D56FD0"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6</w:t>
            </w:r>
          </w:p>
        </w:tc>
        <w:tc>
          <w:tcPr>
            <w:tcW w:w="0" w:type="auto"/>
            <w:hideMark/>
          </w:tcPr>
          <w:p w14:paraId="512F339C"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Airflow conduits</w:t>
            </w:r>
          </w:p>
        </w:tc>
      </w:tr>
    </w:tbl>
    <w:p w14:paraId="7F10FF6E" w14:textId="77777777" w:rsidR="0062097E" w:rsidRPr="00DF2698" w:rsidRDefault="0062097E" w:rsidP="00C37984">
      <w:pPr>
        <w:spacing w:line="240" w:lineRule="auto"/>
        <w:jc w:val="center"/>
        <w:rPr>
          <w:sz w:val="20"/>
          <w:szCs w:val="20"/>
        </w:rPr>
      </w:pPr>
      <w:r w:rsidRPr="00DF2698">
        <w:rPr>
          <w:noProof/>
          <w:sz w:val="20"/>
          <w:szCs w:val="20"/>
        </w:rPr>
        <w:lastRenderedPageBreak/>
        <w:drawing>
          <wp:inline distT="0" distB="0" distL="0" distR="0" wp14:anchorId="2FB598E1" wp14:editId="55D3278C">
            <wp:extent cx="5731510" cy="3740785"/>
            <wp:effectExtent l="0" t="0" r="2540" b="0"/>
            <wp:docPr id="598089509" name="Picture 6" descr="A diagram of different temperature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89509" name="Picture 6" descr="A diagram of different temperature level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p w14:paraId="4A24125A" w14:textId="77777777" w:rsidR="0062097E" w:rsidRPr="00DF2698" w:rsidRDefault="0062097E" w:rsidP="0062097E">
      <w:pPr>
        <w:spacing w:line="240" w:lineRule="auto"/>
        <w:rPr>
          <w:sz w:val="20"/>
          <w:szCs w:val="20"/>
        </w:rPr>
      </w:pPr>
      <w:r w:rsidRPr="00DF2698">
        <w:rPr>
          <w:sz w:val="20"/>
          <w:szCs w:val="20"/>
        </w:rPr>
        <w:t>All sensor data were logged continuously at a frequency of 1 Hz using high-capacity data loggers, ensuring detailed temporal resolution and comprehensive datasets. Data loggers were interfaced with a centralized data acquisition system that included data storage, real-time monitoring, and visualization capabilities.</w:t>
      </w:r>
    </w:p>
    <w:p w14:paraId="64E0D60B" w14:textId="77777777" w:rsidR="0062097E" w:rsidRPr="00DF2698" w:rsidRDefault="0062097E" w:rsidP="0062097E">
      <w:pPr>
        <w:spacing w:line="240" w:lineRule="auto"/>
        <w:rPr>
          <w:sz w:val="20"/>
          <w:szCs w:val="20"/>
        </w:rPr>
      </w:pPr>
      <w:r w:rsidRPr="00DF2698">
        <w:rPr>
          <w:sz w:val="20"/>
          <w:szCs w:val="20"/>
        </w:rPr>
        <w:t>Data analysis was performed using advanced statistical and computational techniques to validate the effectiveness of quasi-quantum photosynthesis. Raw sensor data were initially subjected to rigorous quality control procedures, including anomaly detection algorithms to identify and correct outliers and inconsistencies. Subsequent analysis involved applying descriptive statistics, regression analyses, and predictive modeling techniques. Multivariate analysis methods such as principal component analysis (PCA) were used to discern significant correlations and identify critical factors influencing system performance.</w:t>
      </w:r>
    </w:p>
    <w:p w14:paraId="20804B8D" w14:textId="77777777" w:rsidR="0062097E" w:rsidRPr="00DF2698" w:rsidRDefault="0062097E" w:rsidP="0062097E">
      <w:pPr>
        <w:spacing w:line="240" w:lineRule="auto"/>
        <w:rPr>
          <w:sz w:val="20"/>
          <w:szCs w:val="20"/>
        </w:rPr>
      </w:pPr>
      <w:r w:rsidRPr="00DF2698">
        <w:rPr>
          <w:sz w:val="20"/>
          <w:szCs w:val="20"/>
        </w:rPr>
        <w:t>Advanced data analytics software platforms, including MATLAB and Python-based computational libraries (Pandas, NumPy, and SciPy), were employed to facilitate robust statistical analyses. Visualization tools like Matplotlib and Tableau provided comprehensive graphical interpretations, clearly demonstrating relationships and performance trends across various experimental conditions.</w:t>
      </w:r>
    </w:p>
    <w:p w14:paraId="2D2BC9E4" w14:textId="77777777" w:rsidR="0062097E" w:rsidRPr="00DF2698" w:rsidRDefault="0062097E" w:rsidP="0062097E">
      <w:pPr>
        <w:spacing w:line="240" w:lineRule="auto"/>
        <w:rPr>
          <w:sz w:val="20"/>
          <w:szCs w:val="20"/>
        </w:rPr>
      </w:pPr>
      <w:r w:rsidRPr="00DF2698">
        <w:rPr>
          <w:sz w:val="20"/>
          <w:szCs w:val="20"/>
        </w:rPr>
        <w:t>The systematic application of these rigorous data collection and analytical methods ensured the reliability and robustness of the research findings, facilitating accurate validation and optimization of the quasi-quantum photosynthesis technology.</w:t>
      </w:r>
    </w:p>
    <w:p w14:paraId="03ECF5E4" w14:textId="77777777" w:rsidR="0062097E" w:rsidRPr="002E59B1" w:rsidRDefault="0062097E" w:rsidP="0062097E">
      <w:pPr>
        <w:spacing w:line="240" w:lineRule="auto"/>
        <w:rPr>
          <w:b/>
          <w:bCs/>
          <w:i/>
          <w:iCs/>
          <w:sz w:val="20"/>
          <w:szCs w:val="20"/>
        </w:rPr>
      </w:pPr>
      <w:r w:rsidRPr="002E59B1">
        <w:rPr>
          <w:b/>
          <w:bCs/>
          <w:i/>
          <w:iCs/>
          <w:sz w:val="20"/>
          <w:szCs w:val="20"/>
        </w:rPr>
        <w:t>2.5 Environmental Simulation and Conditions</w:t>
      </w:r>
    </w:p>
    <w:p w14:paraId="34A1D8F0" w14:textId="77777777" w:rsidR="0062097E" w:rsidRPr="00DF2698" w:rsidRDefault="0062097E" w:rsidP="0062097E">
      <w:pPr>
        <w:spacing w:line="240" w:lineRule="auto"/>
        <w:rPr>
          <w:sz w:val="20"/>
          <w:szCs w:val="20"/>
        </w:rPr>
      </w:pPr>
      <w:r w:rsidRPr="00DF2698">
        <w:rPr>
          <w:sz w:val="20"/>
          <w:szCs w:val="20"/>
        </w:rPr>
        <w:t>To ensure comprehensive evaluation and applicability of quasi-quantum photosynthesis technology, a rigorous environmental simulation framework was developed. This framework enabled the replication of diverse global climates and precise environmental control, providing accurate and robust assessments of system performance under varied conditions. (IPCC, 2021).</w:t>
      </w:r>
    </w:p>
    <w:p w14:paraId="400C3000" w14:textId="77777777" w:rsidR="0062097E" w:rsidRPr="00DF2698" w:rsidRDefault="0062097E" w:rsidP="0062097E">
      <w:pPr>
        <w:spacing w:line="240" w:lineRule="auto"/>
        <w:rPr>
          <w:sz w:val="20"/>
          <w:szCs w:val="20"/>
        </w:rPr>
      </w:pPr>
      <w:r w:rsidRPr="00DF2698">
        <w:rPr>
          <w:sz w:val="20"/>
          <w:szCs w:val="20"/>
        </w:rPr>
        <w:t>Environmental simulation chambers were engineered to replicate specific climate zones, such as arid deserts, temperate regions, tropical climates, and coastal environments. Each simulation chamber was equipped with sophisticated control systems capable of adjusting and maintaining precise humidity, temperature, airflow, and solar irradiance levels. These chambers were essential in evaluating the versatility and adaptability of the quasi-quantum photosynthesis system under realistic and challenging environmental scenarios.</w:t>
      </w:r>
    </w:p>
    <w:p w14:paraId="2E9A4E69" w14:textId="77777777" w:rsidR="0062097E" w:rsidRPr="00DF2698" w:rsidRDefault="0062097E" w:rsidP="0062097E">
      <w:pPr>
        <w:spacing w:line="240" w:lineRule="auto"/>
        <w:rPr>
          <w:sz w:val="20"/>
          <w:szCs w:val="20"/>
        </w:rPr>
      </w:pPr>
      <w:r w:rsidRPr="00DF2698">
        <w:rPr>
          <w:sz w:val="20"/>
          <w:szCs w:val="20"/>
        </w:rPr>
        <w:lastRenderedPageBreak/>
        <w:t>The humidity within the chambers was controlled using advanced ultrasonic humidifiers and silica-based dehumidification units, allowing precise humidity levels ranging from 10% RH (simulating extremely arid conditions) to 90% RH (replicating highly humid tropical climates). Temperature regulation was achieved through integrated heating and cooling systems, maintaining chamber temperatures between 10°C and 50°C to represent a broad spectrum of climatic conditions.</w:t>
      </w:r>
    </w:p>
    <w:p w14:paraId="70BEE6E3" w14:textId="77777777" w:rsidR="0062097E" w:rsidRPr="00DF2698" w:rsidRDefault="0062097E" w:rsidP="0062097E">
      <w:pPr>
        <w:spacing w:line="240" w:lineRule="auto"/>
        <w:rPr>
          <w:sz w:val="20"/>
          <w:szCs w:val="20"/>
        </w:rPr>
      </w:pPr>
      <w:r w:rsidRPr="00DF2698">
        <w:rPr>
          <w:sz w:val="20"/>
          <w:szCs w:val="20"/>
        </w:rPr>
        <w:t>Airflow within the chambers was meticulously regulated using high-precision variable-speed ventilation systems, which ensured consistent and uniform air circulation and optimal exposure of the nanoporous materials to the controlled atmospheric conditions. Airflow rates were adjustable between 300 and 600 m³/h, ensuring accurate replication of natural airflow scenarios.</w:t>
      </w:r>
    </w:p>
    <w:p w14:paraId="66AC7D03" w14:textId="77777777" w:rsidR="0062097E" w:rsidRPr="00DF2698" w:rsidRDefault="0062097E" w:rsidP="0062097E">
      <w:pPr>
        <w:spacing w:line="240" w:lineRule="auto"/>
        <w:rPr>
          <w:sz w:val="20"/>
          <w:szCs w:val="20"/>
        </w:rPr>
      </w:pPr>
      <w:r w:rsidRPr="00DF2698">
        <w:rPr>
          <w:sz w:val="20"/>
          <w:szCs w:val="20"/>
        </w:rPr>
        <w:t>Solar irradiance was simulated through high-intensity LED arrays and artificial solar simulation lamps capable of providing irradiance ranging from 200 W/m² to 1200 W/m². This allowed the system to undergo thorough testing under varying solar energy conditions typical of different geographic locations and seasonal variations.</w:t>
      </w:r>
    </w:p>
    <w:p w14:paraId="0244C152" w14:textId="77777777" w:rsidR="0062097E" w:rsidRPr="00DF2698" w:rsidRDefault="0062097E" w:rsidP="0062097E">
      <w:pPr>
        <w:spacing w:line="240" w:lineRule="auto"/>
        <w:rPr>
          <w:sz w:val="20"/>
          <w:szCs w:val="20"/>
        </w:rPr>
      </w:pPr>
      <w:r w:rsidRPr="00DF2698">
        <w:rPr>
          <w:sz w:val="20"/>
          <w:szCs w:val="20"/>
        </w:rPr>
        <w:t>Detailed specifications of the environmental simulation chambers are summarized in Table 6:</w:t>
      </w:r>
    </w:p>
    <w:p w14:paraId="22B9297A" w14:textId="77777777" w:rsidR="0062097E" w:rsidRPr="00DF2698" w:rsidRDefault="0062097E" w:rsidP="00C37984">
      <w:pPr>
        <w:spacing w:line="240" w:lineRule="auto"/>
        <w:jc w:val="center"/>
        <w:rPr>
          <w:sz w:val="20"/>
          <w:szCs w:val="20"/>
        </w:rPr>
      </w:pPr>
      <w:r w:rsidRPr="00DF2698">
        <w:rPr>
          <w:b/>
          <w:bCs/>
          <w:sz w:val="20"/>
          <w:szCs w:val="20"/>
        </w:rPr>
        <w:t>Table 6: Environmental Simulation Chamber Specifications</w:t>
      </w:r>
    </w:p>
    <w:tbl>
      <w:tblPr>
        <w:tblStyle w:val="GridTable3-Accent2"/>
        <w:tblW w:w="0" w:type="auto"/>
        <w:tblLook w:val="04A0" w:firstRow="1" w:lastRow="0" w:firstColumn="1" w:lastColumn="0" w:noHBand="0" w:noVBand="1"/>
      </w:tblPr>
      <w:tblGrid>
        <w:gridCol w:w="1555"/>
        <w:gridCol w:w="1523"/>
        <w:gridCol w:w="2438"/>
        <w:gridCol w:w="1027"/>
      </w:tblGrid>
      <w:tr w:rsidR="0062097E" w:rsidRPr="00DF2698" w14:paraId="6DD67236"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3478FA20" w14:textId="77777777" w:rsidR="0062097E" w:rsidRPr="00DF2698" w:rsidRDefault="0062097E" w:rsidP="00C37984">
            <w:pPr>
              <w:spacing w:line="240" w:lineRule="auto"/>
              <w:jc w:val="center"/>
              <w:rPr>
                <w:sz w:val="20"/>
                <w:szCs w:val="20"/>
              </w:rPr>
            </w:pPr>
            <w:r w:rsidRPr="00DF2698">
              <w:rPr>
                <w:sz w:val="20"/>
                <w:szCs w:val="20"/>
              </w:rPr>
              <w:t>Parameter</w:t>
            </w:r>
          </w:p>
        </w:tc>
        <w:tc>
          <w:tcPr>
            <w:tcW w:w="0" w:type="auto"/>
            <w:hideMark/>
          </w:tcPr>
          <w:p w14:paraId="20206F13"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Control Range</w:t>
            </w:r>
          </w:p>
        </w:tc>
        <w:tc>
          <w:tcPr>
            <w:tcW w:w="0" w:type="auto"/>
            <w:hideMark/>
          </w:tcPr>
          <w:p w14:paraId="1751F064"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Equipment Utilized</w:t>
            </w:r>
          </w:p>
        </w:tc>
        <w:tc>
          <w:tcPr>
            <w:tcW w:w="0" w:type="auto"/>
            <w:hideMark/>
          </w:tcPr>
          <w:p w14:paraId="3D7FE08E"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Accuracy</w:t>
            </w:r>
          </w:p>
        </w:tc>
      </w:tr>
      <w:tr w:rsidR="0062097E" w:rsidRPr="00DF2698" w14:paraId="5349151C"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E87E86" w14:textId="77777777" w:rsidR="0062097E" w:rsidRPr="00DF2698" w:rsidRDefault="0062097E" w:rsidP="00C37984">
            <w:pPr>
              <w:spacing w:line="240" w:lineRule="auto"/>
              <w:jc w:val="center"/>
              <w:rPr>
                <w:sz w:val="20"/>
                <w:szCs w:val="20"/>
              </w:rPr>
            </w:pPr>
            <w:r w:rsidRPr="00DF2698">
              <w:rPr>
                <w:sz w:val="20"/>
                <w:szCs w:val="20"/>
              </w:rPr>
              <w:t>Humidity</w:t>
            </w:r>
          </w:p>
        </w:tc>
        <w:tc>
          <w:tcPr>
            <w:tcW w:w="0" w:type="auto"/>
            <w:hideMark/>
          </w:tcPr>
          <w:p w14:paraId="304AACBA"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10–90% RH</w:t>
            </w:r>
          </w:p>
        </w:tc>
        <w:tc>
          <w:tcPr>
            <w:tcW w:w="0" w:type="auto"/>
            <w:hideMark/>
          </w:tcPr>
          <w:p w14:paraId="3BD13170"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Humidifiers, Dehumidifiers</w:t>
            </w:r>
          </w:p>
        </w:tc>
        <w:tc>
          <w:tcPr>
            <w:tcW w:w="0" w:type="auto"/>
            <w:hideMark/>
          </w:tcPr>
          <w:p w14:paraId="636275AB"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±2% RH</w:t>
            </w:r>
          </w:p>
        </w:tc>
      </w:tr>
      <w:tr w:rsidR="0062097E" w:rsidRPr="00DF2698" w14:paraId="4CD908F7"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35BBB3E8" w14:textId="77777777" w:rsidR="0062097E" w:rsidRPr="00DF2698" w:rsidRDefault="0062097E" w:rsidP="00C37984">
            <w:pPr>
              <w:spacing w:line="240" w:lineRule="auto"/>
              <w:jc w:val="center"/>
              <w:rPr>
                <w:sz w:val="20"/>
                <w:szCs w:val="20"/>
              </w:rPr>
            </w:pPr>
            <w:r w:rsidRPr="00DF2698">
              <w:rPr>
                <w:sz w:val="20"/>
                <w:szCs w:val="20"/>
              </w:rPr>
              <w:t>Temperature</w:t>
            </w:r>
          </w:p>
        </w:tc>
        <w:tc>
          <w:tcPr>
            <w:tcW w:w="0" w:type="auto"/>
            <w:hideMark/>
          </w:tcPr>
          <w:p w14:paraId="7CF191DC"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10–50°C</w:t>
            </w:r>
          </w:p>
        </w:tc>
        <w:tc>
          <w:tcPr>
            <w:tcW w:w="0" w:type="auto"/>
            <w:hideMark/>
          </w:tcPr>
          <w:p w14:paraId="5A75A92B" w14:textId="77777777" w:rsidR="0062097E" w:rsidRPr="00DF2698" w:rsidRDefault="0062097E" w:rsidP="00C37984">
            <w:p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Heating/Cooling Units</w:t>
            </w:r>
          </w:p>
        </w:tc>
        <w:tc>
          <w:tcPr>
            <w:tcW w:w="0" w:type="auto"/>
            <w:hideMark/>
          </w:tcPr>
          <w:p w14:paraId="6EE7C763"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±0.5°C</w:t>
            </w:r>
          </w:p>
        </w:tc>
      </w:tr>
      <w:tr w:rsidR="0062097E" w:rsidRPr="00DF2698" w14:paraId="13F1B2E8"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39CA11" w14:textId="77777777" w:rsidR="0062097E" w:rsidRPr="00DF2698" w:rsidRDefault="0062097E" w:rsidP="00C37984">
            <w:pPr>
              <w:spacing w:line="240" w:lineRule="auto"/>
              <w:jc w:val="center"/>
              <w:rPr>
                <w:sz w:val="20"/>
                <w:szCs w:val="20"/>
              </w:rPr>
            </w:pPr>
            <w:r w:rsidRPr="00DF2698">
              <w:rPr>
                <w:sz w:val="20"/>
                <w:szCs w:val="20"/>
              </w:rPr>
              <w:t>Airflow Rate</w:t>
            </w:r>
          </w:p>
        </w:tc>
        <w:tc>
          <w:tcPr>
            <w:tcW w:w="0" w:type="auto"/>
            <w:hideMark/>
          </w:tcPr>
          <w:p w14:paraId="6D09BBF3"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300–600 m³/h</w:t>
            </w:r>
          </w:p>
        </w:tc>
        <w:tc>
          <w:tcPr>
            <w:tcW w:w="0" w:type="auto"/>
            <w:hideMark/>
          </w:tcPr>
          <w:p w14:paraId="297C47F3"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Variable-speed Fans</w:t>
            </w:r>
          </w:p>
        </w:tc>
        <w:tc>
          <w:tcPr>
            <w:tcW w:w="0" w:type="auto"/>
            <w:hideMark/>
          </w:tcPr>
          <w:p w14:paraId="1FE0F3B2"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±3%</w:t>
            </w:r>
          </w:p>
        </w:tc>
      </w:tr>
      <w:tr w:rsidR="0062097E" w:rsidRPr="00DF2698" w14:paraId="70040996"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3A692D72" w14:textId="77777777" w:rsidR="0062097E" w:rsidRPr="00DF2698" w:rsidRDefault="0062097E" w:rsidP="00C37984">
            <w:pPr>
              <w:spacing w:line="240" w:lineRule="auto"/>
              <w:jc w:val="center"/>
              <w:rPr>
                <w:sz w:val="20"/>
                <w:szCs w:val="20"/>
              </w:rPr>
            </w:pPr>
            <w:r w:rsidRPr="00DF2698">
              <w:rPr>
                <w:sz w:val="20"/>
                <w:szCs w:val="20"/>
              </w:rPr>
              <w:t>Solar Irradiance</w:t>
            </w:r>
          </w:p>
        </w:tc>
        <w:tc>
          <w:tcPr>
            <w:tcW w:w="0" w:type="auto"/>
            <w:hideMark/>
          </w:tcPr>
          <w:p w14:paraId="70014CF9"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200–1200 W/m²</w:t>
            </w:r>
          </w:p>
        </w:tc>
        <w:tc>
          <w:tcPr>
            <w:tcW w:w="0" w:type="auto"/>
            <w:hideMark/>
          </w:tcPr>
          <w:p w14:paraId="7CF2CF22"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LED Arrays, Solar Lamps</w:t>
            </w:r>
          </w:p>
        </w:tc>
        <w:tc>
          <w:tcPr>
            <w:tcW w:w="0" w:type="auto"/>
            <w:hideMark/>
          </w:tcPr>
          <w:p w14:paraId="0A015419"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±5%</w:t>
            </w:r>
          </w:p>
        </w:tc>
      </w:tr>
    </w:tbl>
    <w:p w14:paraId="65F0BCC5" w14:textId="77777777" w:rsidR="0062097E" w:rsidRPr="00DF2698" w:rsidRDefault="0062097E" w:rsidP="00C37984">
      <w:pPr>
        <w:spacing w:line="240" w:lineRule="auto"/>
        <w:jc w:val="center"/>
        <w:rPr>
          <w:sz w:val="20"/>
          <w:szCs w:val="20"/>
        </w:rPr>
      </w:pPr>
      <w:r w:rsidRPr="00DF2698">
        <w:rPr>
          <w:noProof/>
          <w:sz w:val="20"/>
          <w:szCs w:val="20"/>
        </w:rPr>
        <w:drawing>
          <wp:inline distT="0" distB="0" distL="0" distR="0" wp14:anchorId="4F695217" wp14:editId="167F12AD">
            <wp:extent cx="5731510" cy="3417570"/>
            <wp:effectExtent l="0" t="0" r="2540" b="0"/>
            <wp:docPr id="2112272501" name="Picture 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72501" name="Picture 7" descr="A diagram of a 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417570"/>
                    </a:xfrm>
                    <a:prstGeom prst="rect">
                      <a:avLst/>
                    </a:prstGeom>
                  </pic:spPr>
                </pic:pic>
              </a:graphicData>
            </a:graphic>
          </wp:inline>
        </w:drawing>
      </w:r>
    </w:p>
    <w:p w14:paraId="33C09DA1" w14:textId="77777777" w:rsidR="0062097E" w:rsidRPr="00DF2698" w:rsidRDefault="0062097E" w:rsidP="0062097E">
      <w:pPr>
        <w:spacing w:line="240" w:lineRule="auto"/>
        <w:rPr>
          <w:sz w:val="20"/>
          <w:szCs w:val="20"/>
        </w:rPr>
      </w:pPr>
      <w:r w:rsidRPr="00DF2698">
        <w:rPr>
          <w:sz w:val="20"/>
          <w:szCs w:val="20"/>
        </w:rPr>
        <w:t>Experimental trials systematically tested quasi-quantum photosynthesis across multiple predefined environmental scenarios representing global climate diversity. Each scenario was sustained for extended periods (24-48 hours per trial) to ensure stable conditions and accurate system response measurements. Continuous monitoring and adjustments were managed by the integrated quantum computing-based control system, ensuring high fidelity and reproducibility of test conditions.</w:t>
      </w:r>
    </w:p>
    <w:p w14:paraId="7F6BF370" w14:textId="77777777" w:rsidR="0062097E" w:rsidRPr="00DF2698" w:rsidRDefault="0062097E" w:rsidP="0062097E">
      <w:pPr>
        <w:spacing w:line="240" w:lineRule="auto"/>
        <w:rPr>
          <w:sz w:val="20"/>
          <w:szCs w:val="20"/>
        </w:rPr>
      </w:pPr>
      <w:r w:rsidRPr="00DF2698">
        <w:rPr>
          <w:sz w:val="20"/>
          <w:szCs w:val="20"/>
        </w:rPr>
        <w:lastRenderedPageBreak/>
        <w:t>Data collected from these simulations provided critical insights into system resilience, adaptability, and overall performance efficacy across diverse environmental contexts, significantly contributing to the validation and improvement of quasi-quantum photosynthesis technology.</w:t>
      </w:r>
    </w:p>
    <w:p w14:paraId="6B671A9A" w14:textId="77777777" w:rsidR="0062097E" w:rsidRPr="002E59B1" w:rsidRDefault="0062097E" w:rsidP="0062097E">
      <w:pPr>
        <w:spacing w:line="240" w:lineRule="auto"/>
        <w:rPr>
          <w:b/>
          <w:bCs/>
          <w:i/>
          <w:iCs/>
          <w:sz w:val="20"/>
          <w:szCs w:val="20"/>
        </w:rPr>
      </w:pPr>
      <w:r w:rsidRPr="002E59B1">
        <w:rPr>
          <w:b/>
          <w:bCs/>
          <w:i/>
          <w:iCs/>
          <w:sz w:val="20"/>
          <w:szCs w:val="20"/>
        </w:rPr>
        <w:t>2.6 Validation and Verification Protocols</w:t>
      </w:r>
    </w:p>
    <w:p w14:paraId="6D747D27" w14:textId="77777777" w:rsidR="0062097E" w:rsidRPr="00DF2698" w:rsidRDefault="0062097E" w:rsidP="0062097E">
      <w:pPr>
        <w:spacing w:line="240" w:lineRule="auto"/>
        <w:rPr>
          <w:sz w:val="20"/>
          <w:szCs w:val="20"/>
        </w:rPr>
      </w:pPr>
      <w:r w:rsidRPr="00DF2698">
        <w:rPr>
          <w:sz w:val="20"/>
          <w:szCs w:val="20"/>
        </w:rPr>
        <w:t>Validation and verification protocols were systematically implemented to ensure the accuracy, reliability, and reproducibility of the quasi-quantum photosynthesis technology. These protocols were critical for confirming theoretical computational predictions through rigorous experimental validation. (Fathieh et al., 2018).</w:t>
      </w:r>
    </w:p>
    <w:p w14:paraId="28F24113" w14:textId="77777777" w:rsidR="0062097E" w:rsidRPr="00DF2698" w:rsidRDefault="0062097E" w:rsidP="0062097E">
      <w:pPr>
        <w:spacing w:line="240" w:lineRule="auto"/>
        <w:rPr>
          <w:sz w:val="20"/>
          <w:szCs w:val="20"/>
        </w:rPr>
      </w:pPr>
      <w:r w:rsidRPr="00DF2698">
        <w:rPr>
          <w:sz w:val="20"/>
          <w:szCs w:val="20"/>
        </w:rPr>
        <w:t>The validation procedure began with computational predictions from quantum-inspired models, which identified optimal material properties and operational parameters. These computational predictions were expressed mathematically, including adsorption efficiency (η_ad) as a function of material properties:</w:t>
      </w:r>
    </w:p>
    <w:p w14:paraId="3D72C9A4" w14:textId="11843E5E" w:rsidR="00563143" w:rsidRDefault="0062097E" w:rsidP="0062097E">
      <w:pPr>
        <w:spacing w:line="240" w:lineRule="auto"/>
        <w:rPr>
          <w:sz w:val="20"/>
          <w:szCs w:val="20"/>
        </w:rPr>
      </w:pPr>
      <w:r w:rsidRPr="00DF2698">
        <w:rPr>
          <w:sz w:val="20"/>
          <w:szCs w:val="20"/>
        </w:rPr>
        <w:t xml:space="preserve">Experimental data was collected using controlled environmental conditions as outlined in previous sections. The empirical results were then compared against computational predictions using statistical validation techniques. </w:t>
      </w:r>
    </w:p>
    <w:p w14:paraId="79099451" w14:textId="67E799DD" w:rsidR="00563143" w:rsidRDefault="00563143" w:rsidP="00563143">
      <w:pPr>
        <w:spacing w:line="240" w:lineRule="auto"/>
        <w:jc w:val="center"/>
        <w:rPr>
          <w:sz w:val="20"/>
          <w:szCs w:val="20"/>
        </w:rPr>
      </w:pPr>
      <w:r>
        <w:rPr>
          <w:noProof/>
          <w:sz w:val="20"/>
          <w:szCs w:val="20"/>
        </w:rPr>
        <w:drawing>
          <wp:inline distT="0" distB="0" distL="0" distR="0" wp14:anchorId="3B06B3F0" wp14:editId="52ABDAAA">
            <wp:extent cx="3327400" cy="1758033"/>
            <wp:effectExtent l="0" t="0" r="0" b="0"/>
            <wp:docPr id="1039249677"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49677" name="Picture 1" descr="A white background with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339510" cy="1764431"/>
                    </a:xfrm>
                    <a:prstGeom prst="rect">
                      <a:avLst/>
                    </a:prstGeom>
                  </pic:spPr>
                </pic:pic>
              </a:graphicData>
            </a:graphic>
          </wp:inline>
        </w:drawing>
      </w:r>
    </w:p>
    <w:p w14:paraId="3A939666" w14:textId="529C0FBD" w:rsidR="0062097E" w:rsidRPr="00DF2698" w:rsidRDefault="0062097E" w:rsidP="0062097E">
      <w:pPr>
        <w:spacing w:line="240" w:lineRule="auto"/>
        <w:rPr>
          <w:sz w:val="20"/>
          <w:szCs w:val="20"/>
        </w:rPr>
      </w:pPr>
      <w:r w:rsidRPr="00DF2698">
        <w:rPr>
          <w:sz w:val="20"/>
          <w:szCs w:val="20"/>
        </w:rPr>
        <w:t>Key performance indicators such as adsorption efficiency, energy-water efficiency ratios, and operational consistency were evaluated using coefficient of determination (R²), root mean square error (RMSE), and mean absolute error (MAE)</w:t>
      </w:r>
      <w:r w:rsidR="00563143">
        <w:rPr>
          <w:sz w:val="20"/>
          <w:szCs w:val="20"/>
        </w:rPr>
        <w:t xml:space="preserve">. </w:t>
      </w:r>
      <w:r w:rsidR="00563143" w:rsidRPr="00563143">
        <w:rPr>
          <w:sz w:val="20"/>
          <w:szCs w:val="20"/>
        </w:rPr>
        <w:t>R</w:t>
      </w:r>
      <w:r w:rsidR="00563143" w:rsidRPr="00563143">
        <w:rPr>
          <w:sz w:val="20"/>
          <w:szCs w:val="20"/>
          <w:vertAlign w:val="superscript"/>
        </w:rPr>
        <w:t xml:space="preserve">2 </w:t>
      </w:r>
      <w:r w:rsidR="00563143" w:rsidRPr="00563143">
        <w:rPr>
          <w:sz w:val="20"/>
          <w:szCs w:val="20"/>
        </w:rPr>
        <w:t>measures the proportion of variance explained by the model. A value close to 1 indicates excellent predictive performance.</w:t>
      </w:r>
      <w:r w:rsidR="00563143">
        <w:rPr>
          <w:sz w:val="20"/>
          <w:szCs w:val="20"/>
        </w:rPr>
        <w:t xml:space="preserve"> </w:t>
      </w:r>
      <w:r w:rsidR="00563143" w:rsidRPr="00563143">
        <w:rPr>
          <w:sz w:val="20"/>
          <w:szCs w:val="20"/>
        </w:rPr>
        <w:t>MAE measures the average absolute difference between predicted and actual values, treating all errors equally.</w:t>
      </w:r>
      <w:r w:rsidR="00563143">
        <w:rPr>
          <w:sz w:val="20"/>
          <w:szCs w:val="20"/>
        </w:rPr>
        <w:t xml:space="preserve"> </w:t>
      </w:r>
      <w:r w:rsidR="00563143" w:rsidRPr="00563143">
        <w:rPr>
          <w:sz w:val="20"/>
          <w:szCs w:val="20"/>
        </w:rPr>
        <w:t>RMSE reflects the standard deviation of prediction errors. Lower RMSE indicates higher predictive accuracy, with greater penalty for large errors.</w:t>
      </w:r>
    </w:p>
    <w:p w14:paraId="61BBAD20" w14:textId="6D5E69CC" w:rsidR="00563143" w:rsidRDefault="00563143" w:rsidP="00C37984">
      <w:pPr>
        <w:spacing w:line="240" w:lineRule="auto"/>
        <w:jc w:val="center"/>
        <w:rPr>
          <w:b/>
          <w:bCs/>
          <w:sz w:val="20"/>
          <w:szCs w:val="20"/>
        </w:rPr>
      </w:pPr>
      <w:r>
        <w:rPr>
          <w:b/>
          <w:bCs/>
          <w:noProof/>
          <w:sz w:val="20"/>
          <w:szCs w:val="20"/>
        </w:rPr>
        <w:drawing>
          <wp:inline distT="0" distB="0" distL="0" distR="0" wp14:anchorId="5A0DA0D5" wp14:editId="3F0ABA86">
            <wp:extent cx="2959100" cy="1798093"/>
            <wp:effectExtent l="0" t="0" r="0" b="0"/>
            <wp:docPr id="852730963" name="Picture 2" descr="A math equations and formul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30963" name="Picture 2" descr="A math equations and formula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973151" cy="1806631"/>
                    </a:xfrm>
                    <a:prstGeom prst="rect">
                      <a:avLst/>
                    </a:prstGeom>
                  </pic:spPr>
                </pic:pic>
              </a:graphicData>
            </a:graphic>
          </wp:inline>
        </w:drawing>
      </w:r>
    </w:p>
    <w:p w14:paraId="4DE2CA6A" w14:textId="02BF43DD" w:rsidR="00563143" w:rsidRDefault="00563143" w:rsidP="00C37984">
      <w:pPr>
        <w:spacing w:line="240" w:lineRule="auto"/>
        <w:jc w:val="center"/>
        <w:rPr>
          <w:b/>
          <w:bCs/>
          <w:sz w:val="20"/>
          <w:szCs w:val="20"/>
        </w:rPr>
      </w:pPr>
      <w:r>
        <w:rPr>
          <w:b/>
          <w:bCs/>
          <w:noProof/>
          <w:sz w:val="20"/>
          <w:szCs w:val="20"/>
        </w:rPr>
        <w:drawing>
          <wp:inline distT="0" distB="0" distL="0" distR="0" wp14:anchorId="7E9B2E3A" wp14:editId="640B9E02">
            <wp:extent cx="2019300" cy="540102"/>
            <wp:effectExtent l="0" t="0" r="0" b="0"/>
            <wp:docPr id="1931937062" name="Picture 3" descr="A mathematical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37062" name="Picture 3" descr="A mathematical equation with numbers and symbol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040520" cy="545778"/>
                    </a:xfrm>
                    <a:prstGeom prst="rect">
                      <a:avLst/>
                    </a:prstGeom>
                  </pic:spPr>
                </pic:pic>
              </a:graphicData>
            </a:graphic>
          </wp:inline>
        </w:drawing>
      </w:r>
    </w:p>
    <w:p w14:paraId="685A856D" w14:textId="4D9DD92E" w:rsidR="00563143" w:rsidRPr="00DF2698" w:rsidRDefault="00563143" w:rsidP="00C37984">
      <w:pPr>
        <w:spacing w:line="240" w:lineRule="auto"/>
        <w:jc w:val="center"/>
        <w:rPr>
          <w:b/>
          <w:bCs/>
          <w:sz w:val="20"/>
          <w:szCs w:val="20"/>
        </w:rPr>
      </w:pPr>
      <w:r>
        <w:rPr>
          <w:b/>
          <w:bCs/>
          <w:noProof/>
          <w:sz w:val="20"/>
          <w:szCs w:val="20"/>
        </w:rPr>
        <w:drawing>
          <wp:inline distT="0" distB="0" distL="0" distR="0" wp14:anchorId="3BA18DDB" wp14:editId="39AD217D">
            <wp:extent cx="1612900" cy="469579"/>
            <wp:effectExtent l="0" t="0" r="0" b="0"/>
            <wp:docPr id="1010894194" name="Picture 4" descr="A mathematical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94194" name="Picture 4" descr="A mathematical equation with numbers and symbol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640441" cy="477597"/>
                    </a:xfrm>
                    <a:prstGeom prst="rect">
                      <a:avLst/>
                    </a:prstGeom>
                  </pic:spPr>
                </pic:pic>
              </a:graphicData>
            </a:graphic>
          </wp:inline>
        </w:drawing>
      </w:r>
    </w:p>
    <w:p w14:paraId="5BDE5029" w14:textId="77777777" w:rsidR="00563143" w:rsidRDefault="00563143" w:rsidP="00C37984">
      <w:pPr>
        <w:spacing w:line="240" w:lineRule="auto"/>
        <w:jc w:val="center"/>
        <w:rPr>
          <w:b/>
          <w:bCs/>
          <w:sz w:val="20"/>
          <w:szCs w:val="20"/>
        </w:rPr>
      </w:pPr>
    </w:p>
    <w:p w14:paraId="17B66040" w14:textId="4814AA83" w:rsidR="0062097E" w:rsidRPr="00DF2698" w:rsidRDefault="0062097E" w:rsidP="00C37984">
      <w:pPr>
        <w:spacing w:line="240" w:lineRule="auto"/>
        <w:jc w:val="center"/>
        <w:rPr>
          <w:sz w:val="20"/>
          <w:szCs w:val="20"/>
        </w:rPr>
      </w:pPr>
      <w:r w:rsidRPr="00DF2698">
        <w:rPr>
          <w:b/>
          <w:bCs/>
          <w:sz w:val="20"/>
          <w:szCs w:val="20"/>
        </w:rPr>
        <w:lastRenderedPageBreak/>
        <w:t>Table 7: Validation Metrics Thresholds</w:t>
      </w:r>
    </w:p>
    <w:tbl>
      <w:tblPr>
        <w:tblStyle w:val="GridTable6Colorful-Accent4"/>
        <w:tblW w:w="0" w:type="auto"/>
        <w:tblLook w:val="04A0" w:firstRow="1" w:lastRow="0" w:firstColumn="1" w:lastColumn="0" w:noHBand="0" w:noVBand="1"/>
      </w:tblPr>
      <w:tblGrid>
        <w:gridCol w:w="794"/>
        <w:gridCol w:w="1178"/>
        <w:gridCol w:w="2081"/>
      </w:tblGrid>
      <w:tr w:rsidR="0062097E" w:rsidRPr="00DF2698" w14:paraId="32AA068B"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973883" w14:textId="77777777" w:rsidR="0062097E" w:rsidRPr="00DF2698" w:rsidRDefault="0062097E" w:rsidP="00C37984">
            <w:pPr>
              <w:spacing w:line="240" w:lineRule="auto"/>
              <w:jc w:val="center"/>
              <w:rPr>
                <w:sz w:val="20"/>
                <w:szCs w:val="20"/>
              </w:rPr>
            </w:pPr>
            <w:r w:rsidRPr="00DF2698">
              <w:rPr>
                <w:sz w:val="20"/>
                <w:szCs w:val="20"/>
              </w:rPr>
              <w:t>Metric</w:t>
            </w:r>
          </w:p>
        </w:tc>
        <w:tc>
          <w:tcPr>
            <w:tcW w:w="0" w:type="auto"/>
            <w:hideMark/>
          </w:tcPr>
          <w:p w14:paraId="265FDB73"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Ideal Value</w:t>
            </w:r>
          </w:p>
        </w:tc>
        <w:tc>
          <w:tcPr>
            <w:tcW w:w="0" w:type="auto"/>
            <w:hideMark/>
          </w:tcPr>
          <w:p w14:paraId="467286CB"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Acceptable Threshold</w:t>
            </w:r>
          </w:p>
        </w:tc>
      </w:tr>
      <w:tr w:rsidR="0062097E" w:rsidRPr="00DF2698" w14:paraId="38CA5E84"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C9D272" w14:textId="77777777" w:rsidR="0062097E" w:rsidRPr="00DF2698" w:rsidRDefault="0062097E" w:rsidP="00C37984">
            <w:pPr>
              <w:spacing w:line="240" w:lineRule="auto"/>
              <w:jc w:val="center"/>
              <w:rPr>
                <w:sz w:val="20"/>
                <w:szCs w:val="20"/>
              </w:rPr>
            </w:pPr>
            <w:r w:rsidRPr="00DF2698">
              <w:rPr>
                <w:sz w:val="20"/>
                <w:szCs w:val="20"/>
              </w:rPr>
              <w:t>R²</w:t>
            </w:r>
          </w:p>
        </w:tc>
        <w:tc>
          <w:tcPr>
            <w:tcW w:w="0" w:type="auto"/>
            <w:hideMark/>
          </w:tcPr>
          <w:p w14:paraId="3C9B31FC"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1.00</w:t>
            </w:r>
          </w:p>
        </w:tc>
        <w:tc>
          <w:tcPr>
            <w:tcW w:w="0" w:type="auto"/>
            <w:hideMark/>
          </w:tcPr>
          <w:p w14:paraId="28D970D5"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 0.90</w:t>
            </w:r>
          </w:p>
        </w:tc>
      </w:tr>
      <w:tr w:rsidR="0062097E" w:rsidRPr="00DF2698" w14:paraId="1D68A0B0"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4698BE34" w14:textId="77777777" w:rsidR="0062097E" w:rsidRPr="00DF2698" w:rsidRDefault="0062097E" w:rsidP="00C37984">
            <w:pPr>
              <w:spacing w:line="240" w:lineRule="auto"/>
              <w:jc w:val="center"/>
              <w:rPr>
                <w:sz w:val="20"/>
                <w:szCs w:val="20"/>
              </w:rPr>
            </w:pPr>
            <w:r w:rsidRPr="00DF2698">
              <w:rPr>
                <w:sz w:val="20"/>
                <w:szCs w:val="20"/>
              </w:rPr>
              <w:t>RMSE</w:t>
            </w:r>
          </w:p>
        </w:tc>
        <w:tc>
          <w:tcPr>
            <w:tcW w:w="0" w:type="auto"/>
            <w:hideMark/>
          </w:tcPr>
          <w:p w14:paraId="6CC598F8"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w:t>
            </w:r>
          </w:p>
        </w:tc>
        <w:tc>
          <w:tcPr>
            <w:tcW w:w="0" w:type="auto"/>
            <w:hideMark/>
          </w:tcPr>
          <w:p w14:paraId="738A5841"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 0.05</w:t>
            </w:r>
          </w:p>
        </w:tc>
      </w:tr>
      <w:tr w:rsidR="0062097E" w:rsidRPr="00DF2698" w14:paraId="34B6E78C"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E94924" w14:textId="77777777" w:rsidR="0062097E" w:rsidRPr="00DF2698" w:rsidRDefault="0062097E" w:rsidP="00C37984">
            <w:pPr>
              <w:spacing w:line="240" w:lineRule="auto"/>
              <w:jc w:val="center"/>
              <w:rPr>
                <w:sz w:val="20"/>
                <w:szCs w:val="20"/>
              </w:rPr>
            </w:pPr>
            <w:r w:rsidRPr="00DF2698">
              <w:rPr>
                <w:sz w:val="20"/>
                <w:szCs w:val="20"/>
              </w:rPr>
              <w:t>MAE</w:t>
            </w:r>
          </w:p>
        </w:tc>
        <w:tc>
          <w:tcPr>
            <w:tcW w:w="0" w:type="auto"/>
            <w:hideMark/>
          </w:tcPr>
          <w:p w14:paraId="7DA7D5AC"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0</w:t>
            </w:r>
          </w:p>
        </w:tc>
        <w:tc>
          <w:tcPr>
            <w:tcW w:w="0" w:type="auto"/>
            <w:hideMark/>
          </w:tcPr>
          <w:p w14:paraId="2ABD2165"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 0.03</w:t>
            </w:r>
          </w:p>
        </w:tc>
      </w:tr>
    </w:tbl>
    <w:p w14:paraId="67DDC71D" w14:textId="77777777" w:rsidR="0062097E" w:rsidRPr="00DF2698" w:rsidRDefault="0062097E" w:rsidP="0062097E">
      <w:pPr>
        <w:spacing w:line="240" w:lineRule="auto"/>
        <w:rPr>
          <w:sz w:val="20"/>
          <w:szCs w:val="20"/>
        </w:rPr>
      </w:pPr>
    </w:p>
    <w:p w14:paraId="443F2A98" w14:textId="77777777" w:rsidR="0062097E" w:rsidRPr="00DF2698" w:rsidRDefault="0062097E" w:rsidP="0062097E">
      <w:pPr>
        <w:spacing w:line="240" w:lineRule="auto"/>
        <w:rPr>
          <w:sz w:val="20"/>
          <w:szCs w:val="20"/>
        </w:rPr>
      </w:pPr>
      <w:r w:rsidRPr="00DF2698">
        <w:rPr>
          <w:sz w:val="20"/>
          <w:szCs w:val="20"/>
        </w:rPr>
        <w:t>To further ensure robustness and reproducibility, cross-validation techniques, including k-fold cross-validation, were implemented. The dataset was partitioned into k equal-sized subsamples, with k set to 10 for optimal statistical power and computational efficiency. The model was trained and validated iteratively, ensuring unbiased performance evaluation and enhanced reliability:</w:t>
      </w:r>
    </w:p>
    <w:p w14:paraId="148D5337" w14:textId="73A05377" w:rsidR="00344B4B" w:rsidRDefault="00344B4B" w:rsidP="00344B4B">
      <w:pPr>
        <w:spacing w:line="240" w:lineRule="auto"/>
        <w:jc w:val="center"/>
        <w:rPr>
          <w:sz w:val="20"/>
          <w:szCs w:val="20"/>
        </w:rPr>
      </w:pPr>
      <w:r>
        <w:rPr>
          <w:noProof/>
          <w:sz w:val="20"/>
          <w:szCs w:val="20"/>
        </w:rPr>
        <w:drawing>
          <wp:inline distT="0" distB="0" distL="0" distR="0" wp14:anchorId="68AEFED4" wp14:editId="5A87BB20">
            <wp:extent cx="2571750" cy="1531327"/>
            <wp:effectExtent l="0" t="0" r="0" b="0"/>
            <wp:docPr id="1523385063" name="Picture 5" descr="A white background with black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85063" name="Picture 5" descr="A white background with black text and black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1019" cy="1536846"/>
                    </a:xfrm>
                    <a:prstGeom prst="rect">
                      <a:avLst/>
                    </a:prstGeom>
                  </pic:spPr>
                </pic:pic>
              </a:graphicData>
            </a:graphic>
          </wp:inline>
        </w:drawing>
      </w:r>
    </w:p>
    <w:p w14:paraId="51418004" w14:textId="43725756" w:rsidR="0062097E" w:rsidRPr="00DF2698" w:rsidRDefault="0062097E" w:rsidP="0062097E">
      <w:pPr>
        <w:spacing w:line="240" w:lineRule="auto"/>
        <w:rPr>
          <w:sz w:val="20"/>
          <w:szCs w:val="20"/>
        </w:rPr>
      </w:pPr>
      <w:r w:rsidRPr="00DF2698">
        <w:rPr>
          <w:sz w:val="20"/>
          <w:szCs w:val="20"/>
        </w:rPr>
        <w:t>Additionally, quality assurance protocols were meticulously followed, involving routine sensor calibration, regular system diagnostics, and comprehensive documentation of all experimental procedures and data analyses. Protocol adherence ensured high accuracy in empirical validation and facilitated precise adjustments for model refinement.</w:t>
      </w:r>
    </w:p>
    <w:p w14:paraId="58D9037A" w14:textId="77777777" w:rsidR="0062097E" w:rsidRPr="00DF2698" w:rsidRDefault="0062097E" w:rsidP="0062097E">
      <w:pPr>
        <w:spacing w:line="240" w:lineRule="auto"/>
        <w:rPr>
          <w:sz w:val="20"/>
          <w:szCs w:val="20"/>
        </w:rPr>
      </w:pPr>
      <w:r w:rsidRPr="00DF2698">
        <w:rPr>
          <w:sz w:val="20"/>
          <w:szCs w:val="20"/>
        </w:rPr>
        <w:t>The combination of theoretical modeling, rigorous experimental validation, statistical verification, and strict quality assurance practices ensured that the quasi-quantum photosynthesis technology met the highest standards of scientific accuracy and operational reliability.</w:t>
      </w:r>
    </w:p>
    <w:p w14:paraId="5A53A8B1" w14:textId="77777777" w:rsidR="00CE7548" w:rsidRPr="00B26C1C" w:rsidRDefault="00CE7548" w:rsidP="00A730AA">
      <w:pPr>
        <w:pStyle w:val="Default"/>
        <w:jc w:val="both"/>
        <w:rPr>
          <w:sz w:val="20"/>
          <w:szCs w:val="20"/>
        </w:rPr>
      </w:pPr>
    </w:p>
    <w:p w14:paraId="567B643E" w14:textId="005E963E" w:rsidR="009E2E50" w:rsidRPr="00B26C1C" w:rsidRDefault="001103F4" w:rsidP="006C3A0A">
      <w:pPr>
        <w:pStyle w:val="Heading1"/>
      </w:pPr>
      <w:r w:rsidRPr="00B26C1C">
        <w:t>RESULTS AND DISCUSSIONS</w:t>
      </w:r>
      <w:r w:rsidR="00CC1B6D">
        <w:t xml:space="preserve"> </w:t>
      </w:r>
    </w:p>
    <w:p w14:paraId="191514D4" w14:textId="77777777" w:rsidR="0062097E" w:rsidRPr="002E59B1" w:rsidRDefault="0062097E" w:rsidP="0062097E">
      <w:pPr>
        <w:spacing w:line="240" w:lineRule="auto"/>
        <w:rPr>
          <w:b/>
          <w:bCs/>
          <w:i/>
          <w:iCs/>
          <w:sz w:val="20"/>
          <w:szCs w:val="20"/>
        </w:rPr>
      </w:pPr>
      <w:r w:rsidRPr="002E59B1">
        <w:rPr>
          <w:b/>
          <w:bCs/>
          <w:i/>
          <w:iCs/>
          <w:sz w:val="20"/>
          <w:szCs w:val="20"/>
        </w:rPr>
        <w:t>3.1 Comparative Analysis</w:t>
      </w:r>
    </w:p>
    <w:p w14:paraId="58CCBB37" w14:textId="77777777" w:rsidR="0062097E" w:rsidRPr="00DF2698" w:rsidRDefault="0062097E" w:rsidP="0062097E">
      <w:pPr>
        <w:spacing w:line="240" w:lineRule="auto"/>
        <w:rPr>
          <w:sz w:val="20"/>
          <w:szCs w:val="20"/>
        </w:rPr>
      </w:pPr>
      <w:r w:rsidRPr="00DF2698">
        <w:rPr>
          <w:sz w:val="20"/>
          <w:szCs w:val="20"/>
        </w:rPr>
        <w:t>Extensive experimental analyses were conducted to compare quasi-quantum photosynthesis with traditional water generation technologies such as conventional atmospheric water generators (AWGs), desalination systems, and solar stills. The evaluation focused on multiple critical metrics including cost per litre of water produced, production rates, energy efficiency, scalability, and environmental impact. (IEEE Spectrum, 2022; United Nations, 2020).</w:t>
      </w:r>
    </w:p>
    <w:p w14:paraId="413721A5" w14:textId="77777777" w:rsidR="0062097E" w:rsidRPr="00DF2698" w:rsidRDefault="0062097E" w:rsidP="0062097E">
      <w:pPr>
        <w:spacing w:line="240" w:lineRule="auto"/>
        <w:rPr>
          <w:sz w:val="20"/>
          <w:szCs w:val="20"/>
        </w:rPr>
      </w:pPr>
      <w:r w:rsidRPr="00DF2698">
        <w:rPr>
          <w:sz w:val="20"/>
          <w:szCs w:val="20"/>
        </w:rPr>
        <w:t>Table 8 presents a comprehensive comparative overview of key performance metrics among the evaluated technologies:</w:t>
      </w:r>
    </w:p>
    <w:p w14:paraId="7B1289A9" w14:textId="77777777" w:rsidR="0062097E" w:rsidRDefault="0062097E" w:rsidP="0062097E">
      <w:pPr>
        <w:spacing w:line="240" w:lineRule="auto"/>
        <w:rPr>
          <w:b/>
          <w:bCs/>
          <w:sz w:val="20"/>
          <w:szCs w:val="20"/>
        </w:rPr>
      </w:pPr>
    </w:p>
    <w:p w14:paraId="4EAED96F" w14:textId="77777777" w:rsidR="00344B4B" w:rsidRDefault="00344B4B" w:rsidP="0062097E">
      <w:pPr>
        <w:spacing w:line="240" w:lineRule="auto"/>
        <w:rPr>
          <w:b/>
          <w:bCs/>
          <w:sz w:val="20"/>
          <w:szCs w:val="20"/>
        </w:rPr>
      </w:pPr>
    </w:p>
    <w:p w14:paraId="1AE21C18" w14:textId="77777777" w:rsidR="00344B4B" w:rsidRDefault="00344B4B" w:rsidP="0062097E">
      <w:pPr>
        <w:spacing w:line="240" w:lineRule="auto"/>
        <w:rPr>
          <w:b/>
          <w:bCs/>
          <w:sz w:val="20"/>
          <w:szCs w:val="20"/>
        </w:rPr>
      </w:pPr>
    </w:p>
    <w:p w14:paraId="4C53271E" w14:textId="77777777" w:rsidR="00344B4B" w:rsidRDefault="00344B4B" w:rsidP="0062097E">
      <w:pPr>
        <w:spacing w:line="240" w:lineRule="auto"/>
        <w:rPr>
          <w:b/>
          <w:bCs/>
          <w:sz w:val="20"/>
          <w:szCs w:val="20"/>
        </w:rPr>
      </w:pPr>
    </w:p>
    <w:p w14:paraId="6C86C7BF" w14:textId="77777777" w:rsidR="00344B4B" w:rsidRPr="00DF2698" w:rsidRDefault="00344B4B" w:rsidP="0062097E">
      <w:pPr>
        <w:spacing w:line="240" w:lineRule="auto"/>
        <w:rPr>
          <w:b/>
          <w:bCs/>
          <w:sz w:val="20"/>
          <w:szCs w:val="20"/>
        </w:rPr>
      </w:pPr>
    </w:p>
    <w:p w14:paraId="1138069E" w14:textId="77777777" w:rsidR="0062097E" w:rsidRPr="00DF2698" w:rsidRDefault="0062097E" w:rsidP="00C37984">
      <w:pPr>
        <w:spacing w:line="240" w:lineRule="auto"/>
        <w:jc w:val="center"/>
        <w:rPr>
          <w:sz w:val="20"/>
          <w:szCs w:val="20"/>
        </w:rPr>
      </w:pPr>
      <w:r w:rsidRPr="00DF2698">
        <w:rPr>
          <w:b/>
          <w:bCs/>
          <w:sz w:val="20"/>
          <w:szCs w:val="20"/>
        </w:rPr>
        <w:lastRenderedPageBreak/>
        <w:t>Table 8: Comprehensive Comparison of Atmospheric Water Generation Technologies</w:t>
      </w:r>
    </w:p>
    <w:tbl>
      <w:tblPr>
        <w:tblStyle w:val="GridTable3-Accent5"/>
        <w:tblW w:w="0" w:type="auto"/>
        <w:tblLook w:val="04A0" w:firstRow="1" w:lastRow="0" w:firstColumn="1" w:lastColumn="0" w:noHBand="0" w:noVBand="1"/>
      </w:tblPr>
      <w:tblGrid>
        <w:gridCol w:w="2069"/>
        <w:gridCol w:w="1186"/>
        <w:gridCol w:w="1852"/>
        <w:gridCol w:w="1149"/>
        <w:gridCol w:w="1869"/>
        <w:gridCol w:w="1117"/>
      </w:tblGrid>
      <w:tr w:rsidR="0062097E" w:rsidRPr="00DF2698" w14:paraId="7D040B90"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D62965E" w14:textId="77777777" w:rsidR="0062097E" w:rsidRPr="00DF2698" w:rsidRDefault="0062097E" w:rsidP="00C37984">
            <w:pPr>
              <w:spacing w:line="240" w:lineRule="auto"/>
              <w:jc w:val="center"/>
              <w:rPr>
                <w:sz w:val="20"/>
                <w:szCs w:val="20"/>
              </w:rPr>
            </w:pPr>
            <w:r w:rsidRPr="00DF2698">
              <w:rPr>
                <w:sz w:val="20"/>
                <w:szCs w:val="20"/>
              </w:rPr>
              <w:t>Technology</w:t>
            </w:r>
          </w:p>
        </w:tc>
        <w:tc>
          <w:tcPr>
            <w:tcW w:w="0" w:type="auto"/>
            <w:hideMark/>
          </w:tcPr>
          <w:p w14:paraId="3A2F6C1D"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Cost per litre ($)</w:t>
            </w:r>
          </w:p>
        </w:tc>
        <w:tc>
          <w:tcPr>
            <w:tcW w:w="0" w:type="auto"/>
            <w:hideMark/>
          </w:tcPr>
          <w:p w14:paraId="485377D1"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Production Rate (L/kg/day)</w:t>
            </w:r>
          </w:p>
        </w:tc>
        <w:tc>
          <w:tcPr>
            <w:tcW w:w="0" w:type="auto"/>
            <w:hideMark/>
          </w:tcPr>
          <w:p w14:paraId="45285A40"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Energy Source</w:t>
            </w:r>
          </w:p>
        </w:tc>
        <w:tc>
          <w:tcPr>
            <w:tcW w:w="0" w:type="auto"/>
            <w:hideMark/>
          </w:tcPr>
          <w:p w14:paraId="381B3479"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Carbon Footprint (kg CO₂/L)</w:t>
            </w:r>
          </w:p>
        </w:tc>
        <w:tc>
          <w:tcPr>
            <w:tcW w:w="0" w:type="auto"/>
            <w:hideMark/>
          </w:tcPr>
          <w:p w14:paraId="06B8DD07"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Scalability</w:t>
            </w:r>
          </w:p>
        </w:tc>
      </w:tr>
      <w:tr w:rsidR="0062097E" w:rsidRPr="00DF2698" w14:paraId="283B0D9C"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3C9218" w14:textId="77777777" w:rsidR="0062097E" w:rsidRPr="00DF2698" w:rsidRDefault="0062097E" w:rsidP="00C37984">
            <w:pPr>
              <w:spacing w:line="240" w:lineRule="auto"/>
              <w:jc w:val="center"/>
              <w:rPr>
                <w:sz w:val="20"/>
                <w:szCs w:val="20"/>
              </w:rPr>
            </w:pPr>
            <w:r w:rsidRPr="00DF2698">
              <w:rPr>
                <w:sz w:val="20"/>
                <w:szCs w:val="20"/>
              </w:rPr>
              <w:t>Quasi-Quantum Photosynthesis</w:t>
            </w:r>
          </w:p>
        </w:tc>
        <w:tc>
          <w:tcPr>
            <w:tcW w:w="0" w:type="auto"/>
            <w:hideMark/>
          </w:tcPr>
          <w:p w14:paraId="71BD6314"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0.01</w:t>
            </w:r>
          </w:p>
        </w:tc>
        <w:tc>
          <w:tcPr>
            <w:tcW w:w="0" w:type="auto"/>
            <w:hideMark/>
          </w:tcPr>
          <w:p w14:paraId="098EF798"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14+</w:t>
            </w:r>
          </w:p>
        </w:tc>
        <w:tc>
          <w:tcPr>
            <w:tcW w:w="0" w:type="auto"/>
            <w:hideMark/>
          </w:tcPr>
          <w:p w14:paraId="4CBD497A"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Solar</w:t>
            </w:r>
          </w:p>
        </w:tc>
        <w:tc>
          <w:tcPr>
            <w:tcW w:w="0" w:type="auto"/>
            <w:hideMark/>
          </w:tcPr>
          <w:p w14:paraId="14B89D32"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&lt;0.001</w:t>
            </w:r>
          </w:p>
        </w:tc>
        <w:tc>
          <w:tcPr>
            <w:tcW w:w="0" w:type="auto"/>
            <w:hideMark/>
          </w:tcPr>
          <w:p w14:paraId="097352C5"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High</w:t>
            </w:r>
          </w:p>
        </w:tc>
      </w:tr>
      <w:tr w:rsidR="0062097E" w:rsidRPr="00DF2698" w14:paraId="0A1BBF35"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7C85DC6E" w14:textId="77777777" w:rsidR="0062097E" w:rsidRPr="00DF2698" w:rsidRDefault="0062097E" w:rsidP="00C37984">
            <w:pPr>
              <w:spacing w:line="240" w:lineRule="auto"/>
              <w:jc w:val="center"/>
              <w:rPr>
                <w:sz w:val="20"/>
                <w:szCs w:val="20"/>
              </w:rPr>
            </w:pPr>
            <w:r w:rsidRPr="00DF2698">
              <w:rPr>
                <w:sz w:val="20"/>
                <w:szCs w:val="20"/>
              </w:rPr>
              <w:t>Conventional AWG</w:t>
            </w:r>
          </w:p>
        </w:tc>
        <w:tc>
          <w:tcPr>
            <w:tcW w:w="0" w:type="auto"/>
            <w:hideMark/>
          </w:tcPr>
          <w:p w14:paraId="36666218"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0.07–0.15</w:t>
            </w:r>
          </w:p>
        </w:tc>
        <w:tc>
          <w:tcPr>
            <w:tcW w:w="0" w:type="auto"/>
            <w:hideMark/>
          </w:tcPr>
          <w:p w14:paraId="10CE0F8F"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2–5</w:t>
            </w:r>
          </w:p>
        </w:tc>
        <w:tc>
          <w:tcPr>
            <w:tcW w:w="0" w:type="auto"/>
            <w:hideMark/>
          </w:tcPr>
          <w:p w14:paraId="4C379673"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Electric</w:t>
            </w:r>
          </w:p>
        </w:tc>
        <w:tc>
          <w:tcPr>
            <w:tcW w:w="0" w:type="auto"/>
            <w:hideMark/>
          </w:tcPr>
          <w:p w14:paraId="0B9387C8"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0.2–0.5</w:t>
            </w:r>
          </w:p>
        </w:tc>
        <w:tc>
          <w:tcPr>
            <w:tcW w:w="0" w:type="auto"/>
            <w:hideMark/>
          </w:tcPr>
          <w:p w14:paraId="35CCBA81"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Medium</w:t>
            </w:r>
          </w:p>
        </w:tc>
      </w:tr>
      <w:tr w:rsidR="0062097E" w:rsidRPr="00DF2698" w14:paraId="0F7505B6" w14:textId="77777777" w:rsidTr="0061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830DA6" w14:textId="77777777" w:rsidR="0062097E" w:rsidRPr="00DF2698" w:rsidRDefault="0062097E" w:rsidP="00C37984">
            <w:pPr>
              <w:spacing w:line="240" w:lineRule="auto"/>
              <w:jc w:val="center"/>
              <w:rPr>
                <w:sz w:val="20"/>
                <w:szCs w:val="20"/>
              </w:rPr>
            </w:pPr>
            <w:r w:rsidRPr="00DF2698">
              <w:rPr>
                <w:sz w:val="20"/>
                <w:szCs w:val="20"/>
              </w:rPr>
              <w:t>Desalination</w:t>
            </w:r>
          </w:p>
        </w:tc>
        <w:tc>
          <w:tcPr>
            <w:tcW w:w="0" w:type="auto"/>
            <w:hideMark/>
          </w:tcPr>
          <w:p w14:paraId="6FAF7863"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0.0005</w:t>
            </w:r>
          </w:p>
        </w:tc>
        <w:tc>
          <w:tcPr>
            <w:tcW w:w="0" w:type="auto"/>
            <w:hideMark/>
          </w:tcPr>
          <w:p w14:paraId="39AA5B10"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N/A</w:t>
            </w:r>
          </w:p>
        </w:tc>
        <w:tc>
          <w:tcPr>
            <w:tcW w:w="0" w:type="auto"/>
            <w:hideMark/>
          </w:tcPr>
          <w:p w14:paraId="57743A45"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Electric</w:t>
            </w:r>
          </w:p>
        </w:tc>
        <w:tc>
          <w:tcPr>
            <w:tcW w:w="0" w:type="auto"/>
            <w:hideMark/>
          </w:tcPr>
          <w:p w14:paraId="20EC5185"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0.7–1.5</w:t>
            </w:r>
          </w:p>
        </w:tc>
        <w:tc>
          <w:tcPr>
            <w:tcW w:w="0" w:type="auto"/>
            <w:hideMark/>
          </w:tcPr>
          <w:p w14:paraId="250016BD" w14:textId="77777777" w:rsidR="0062097E" w:rsidRPr="00DF2698" w:rsidRDefault="0062097E" w:rsidP="00C37984">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F2698">
              <w:rPr>
                <w:sz w:val="20"/>
                <w:szCs w:val="20"/>
              </w:rPr>
              <w:t>Low</w:t>
            </w:r>
          </w:p>
        </w:tc>
      </w:tr>
      <w:tr w:rsidR="0062097E" w:rsidRPr="00DF2698" w14:paraId="0F9980AA"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1768E1AC" w14:textId="77777777" w:rsidR="0062097E" w:rsidRPr="00DF2698" w:rsidRDefault="0062097E" w:rsidP="00C37984">
            <w:pPr>
              <w:spacing w:line="240" w:lineRule="auto"/>
              <w:jc w:val="center"/>
              <w:rPr>
                <w:sz w:val="20"/>
                <w:szCs w:val="20"/>
              </w:rPr>
            </w:pPr>
            <w:r w:rsidRPr="00DF2698">
              <w:rPr>
                <w:sz w:val="20"/>
                <w:szCs w:val="20"/>
              </w:rPr>
              <w:t>Solar Stills</w:t>
            </w:r>
          </w:p>
        </w:tc>
        <w:tc>
          <w:tcPr>
            <w:tcW w:w="0" w:type="auto"/>
            <w:hideMark/>
          </w:tcPr>
          <w:p w14:paraId="2DA6530F"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0.02–0.04</w:t>
            </w:r>
          </w:p>
        </w:tc>
        <w:tc>
          <w:tcPr>
            <w:tcW w:w="0" w:type="auto"/>
            <w:hideMark/>
          </w:tcPr>
          <w:p w14:paraId="60CD3C8A"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1–3</w:t>
            </w:r>
          </w:p>
        </w:tc>
        <w:tc>
          <w:tcPr>
            <w:tcW w:w="0" w:type="auto"/>
            <w:hideMark/>
          </w:tcPr>
          <w:p w14:paraId="3C986F05"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Solar</w:t>
            </w:r>
          </w:p>
        </w:tc>
        <w:tc>
          <w:tcPr>
            <w:tcW w:w="0" w:type="auto"/>
            <w:hideMark/>
          </w:tcPr>
          <w:p w14:paraId="3EE7FA71"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&lt;0.01</w:t>
            </w:r>
          </w:p>
        </w:tc>
        <w:tc>
          <w:tcPr>
            <w:tcW w:w="0" w:type="auto"/>
            <w:hideMark/>
          </w:tcPr>
          <w:p w14:paraId="647FA2E8"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Medium</w:t>
            </w:r>
          </w:p>
        </w:tc>
      </w:tr>
    </w:tbl>
    <w:p w14:paraId="0EE9C032" w14:textId="77777777" w:rsidR="0062097E" w:rsidRPr="00DF2698" w:rsidRDefault="0062097E" w:rsidP="00C37984">
      <w:pPr>
        <w:spacing w:line="240" w:lineRule="auto"/>
        <w:jc w:val="center"/>
        <w:rPr>
          <w:sz w:val="20"/>
          <w:szCs w:val="20"/>
        </w:rPr>
      </w:pPr>
      <w:r w:rsidRPr="00DF2698">
        <w:rPr>
          <w:noProof/>
          <w:sz w:val="20"/>
          <w:szCs w:val="20"/>
        </w:rPr>
        <w:drawing>
          <wp:inline distT="0" distB="0" distL="0" distR="0" wp14:anchorId="27BA661B" wp14:editId="34EBEFFA">
            <wp:extent cx="5731510" cy="3417570"/>
            <wp:effectExtent l="0" t="0" r="2540" b="0"/>
            <wp:docPr id="815730711" name="Picture 8" descr="A graph of energy effici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30711" name="Picture 8" descr="A graph of energy efficienc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17570"/>
                    </a:xfrm>
                    <a:prstGeom prst="rect">
                      <a:avLst/>
                    </a:prstGeom>
                  </pic:spPr>
                </pic:pic>
              </a:graphicData>
            </a:graphic>
          </wp:inline>
        </w:drawing>
      </w:r>
    </w:p>
    <w:p w14:paraId="387EE7C0" w14:textId="77777777" w:rsidR="0062097E" w:rsidRPr="00DF2698" w:rsidRDefault="0062097E" w:rsidP="0062097E">
      <w:pPr>
        <w:spacing w:line="240" w:lineRule="auto"/>
        <w:rPr>
          <w:sz w:val="20"/>
          <w:szCs w:val="20"/>
        </w:rPr>
      </w:pPr>
    </w:p>
    <w:p w14:paraId="778D8351" w14:textId="77777777" w:rsidR="0062097E" w:rsidRPr="00DF2698" w:rsidRDefault="0062097E" w:rsidP="0062097E">
      <w:pPr>
        <w:spacing w:line="240" w:lineRule="auto"/>
        <w:rPr>
          <w:sz w:val="20"/>
          <w:szCs w:val="20"/>
        </w:rPr>
      </w:pPr>
      <w:r w:rsidRPr="00DF2698">
        <w:rPr>
          <w:sz w:val="20"/>
          <w:szCs w:val="20"/>
        </w:rPr>
        <w:t>The experimental outcomes demonstrated that quasi-quantum photosynthesis outperformed conventional AWGs notably in terms of operational cost and production efficiency. Specifically, quasi-quantum photosynthesis achieved an unprecedented operational cost of approximately $0.01 per litre, significantly lower compared to conventional AWGs, which ranged from $0.07 to $0.15 per litre, largely due to their high electrical consumption. This substantial cost reduction is attributable to the integration of quantum-inspired optimization algorithms, highly efficient nanoporous materials, and the use of renewable solar thermal energy.</w:t>
      </w:r>
    </w:p>
    <w:p w14:paraId="0AF3C113" w14:textId="77777777" w:rsidR="0062097E" w:rsidRPr="00DF2698" w:rsidRDefault="0062097E" w:rsidP="0062097E">
      <w:pPr>
        <w:spacing w:line="240" w:lineRule="auto"/>
        <w:rPr>
          <w:sz w:val="20"/>
          <w:szCs w:val="20"/>
        </w:rPr>
      </w:pPr>
      <w:r w:rsidRPr="00DF2698">
        <w:rPr>
          <w:sz w:val="20"/>
          <w:szCs w:val="20"/>
        </w:rPr>
        <w:t>Production rates further highlighted the superiority of quasi-quantum photosynthesis, achieving consistent yields exceeding 14 litres per kilogram daily, markedly surpassing the production rates of traditional AWGs and solar stills (typically ranging between 1 and 5 litres per kilogram per day). This increased yield is largely due to the optimized nanoporous material's enhanced adsorption and desorption efficiency, precisely controlled via quantum-inspired computational methodologies.</w:t>
      </w:r>
    </w:p>
    <w:p w14:paraId="4442B91D" w14:textId="77777777" w:rsidR="0062097E" w:rsidRPr="00DF2698" w:rsidRDefault="0062097E" w:rsidP="0062097E">
      <w:pPr>
        <w:spacing w:line="240" w:lineRule="auto"/>
        <w:rPr>
          <w:sz w:val="20"/>
          <w:szCs w:val="20"/>
        </w:rPr>
      </w:pPr>
      <w:r w:rsidRPr="00DF2698">
        <w:rPr>
          <w:sz w:val="20"/>
          <w:szCs w:val="20"/>
        </w:rPr>
        <w:t>Energy efficiency analysis revealed significant advantages, with quasi-quantum photosynthesis consuming minimal operational energy derived exclusively from solar thermal sources. Conventional AWGs, reliant on electric refrigeration cycles, showed substantially higher energy consumption and corresponding environmental impacts. Desalination systems, despite their relatively low cost per litre at large scales, presented significant environmental drawbacks including high energy usage and associated carbon emissions.</w:t>
      </w:r>
    </w:p>
    <w:p w14:paraId="4EC464C0" w14:textId="77777777" w:rsidR="0062097E" w:rsidRPr="00DF2698" w:rsidRDefault="0062097E" w:rsidP="0062097E">
      <w:pPr>
        <w:spacing w:line="240" w:lineRule="auto"/>
        <w:rPr>
          <w:sz w:val="20"/>
          <w:szCs w:val="20"/>
        </w:rPr>
      </w:pPr>
      <w:r w:rsidRPr="00DF2698">
        <w:rPr>
          <w:sz w:val="20"/>
          <w:szCs w:val="20"/>
        </w:rPr>
        <w:lastRenderedPageBreak/>
        <w:t>Figure 7 graphically illustrates the comparative energy efficiencies and carbon footprints of each technology, clearly demonstrating the minimal environmental impact of quasi-quantum photosynthesis (Insert detailed graphical comparison here).</w:t>
      </w:r>
    </w:p>
    <w:p w14:paraId="5F5A0412" w14:textId="77777777" w:rsidR="0062097E" w:rsidRPr="00DF2698" w:rsidRDefault="0062097E" w:rsidP="0062097E">
      <w:pPr>
        <w:spacing w:line="240" w:lineRule="auto"/>
        <w:rPr>
          <w:sz w:val="20"/>
          <w:szCs w:val="20"/>
        </w:rPr>
      </w:pPr>
      <w:r w:rsidRPr="00DF2698">
        <w:rPr>
          <w:sz w:val="20"/>
          <w:szCs w:val="20"/>
        </w:rPr>
        <w:t>Environmental impact assessments further underscored the substantial ecological advantages of quasi-quantum photosynthesis. This technology exhibited an extremely low carbon footprint (&lt;0.001 kg CO₂/L), substantially less than traditional AWG methods (0.2-0.5 kg CO₂/L) and significantly lower than desalination processes (0.7-1.5 kg CO₂/L), emphasizing its potential for sustainable large-scale implementation.</w:t>
      </w:r>
    </w:p>
    <w:p w14:paraId="1B5B1D14" w14:textId="77777777" w:rsidR="0062097E" w:rsidRPr="00DF2698" w:rsidRDefault="0062097E" w:rsidP="0062097E">
      <w:pPr>
        <w:spacing w:line="240" w:lineRule="auto"/>
        <w:rPr>
          <w:sz w:val="20"/>
          <w:szCs w:val="20"/>
        </w:rPr>
      </w:pPr>
      <w:r w:rsidRPr="00DF2698">
        <w:rPr>
          <w:sz w:val="20"/>
          <w:szCs w:val="20"/>
        </w:rPr>
        <w:t>Scalability analyses confirmed the versatility and ease of deployment of quasi-quantum photosynthesis across diverse geographic and climatic scenarios. Unlike desalination, which demands extensive infrastructure investments, quasi-quantum photosynthesis systems are modular and adaptable, facilitating straightforward scaling and deployment in decentralized settings, from rural communities to urban applications.</w:t>
      </w:r>
    </w:p>
    <w:p w14:paraId="11774962" w14:textId="77777777" w:rsidR="0062097E" w:rsidRPr="00DF2698" w:rsidRDefault="0062097E" w:rsidP="0062097E">
      <w:pPr>
        <w:spacing w:line="240" w:lineRule="auto"/>
        <w:rPr>
          <w:sz w:val="20"/>
          <w:szCs w:val="20"/>
        </w:rPr>
      </w:pPr>
      <w:r w:rsidRPr="00DF2698">
        <w:rPr>
          <w:sz w:val="20"/>
          <w:szCs w:val="20"/>
        </w:rPr>
        <w:t>Overall, the detailed comparative analysis strongly supports the superior performance of quasi-quantum photosynthesis over existing atmospheric water generation technologies, particularly in the critical areas of efficiency, cost, environmental sustainability, and scalability, highlighting its potential as a transformative solution to global water scarcity challenges.</w:t>
      </w:r>
    </w:p>
    <w:p w14:paraId="2846E229" w14:textId="77777777" w:rsidR="0062097E" w:rsidRPr="002E59B1" w:rsidRDefault="0062097E" w:rsidP="0062097E">
      <w:pPr>
        <w:spacing w:line="240" w:lineRule="auto"/>
        <w:rPr>
          <w:b/>
          <w:bCs/>
          <w:i/>
          <w:iCs/>
          <w:sz w:val="20"/>
          <w:szCs w:val="20"/>
        </w:rPr>
      </w:pPr>
      <w:r w:rsidRPr="002E59B1">
        <w:rPr>
          <w:b/>
          <w:bCs/>
          <w:i/>
          <w:iCs/>
          <w:sz w:val="20"/>
          <w:szCs w:val="20"/>
        </w:rPr>
        <w:t>3.2 Operational Stability</w:t>
      </w:r>
    </w:p>
    <w:p w14:paraId="425F0328" w14:textId="77777777" w:rsidR="0062097E" w:rsidRPr="00DF2698" w:rsidRDefault="0062097E" w:rsidP="0062097E">
      <w:pPr>
        <w:spacing w:line="240" w:lineRule="auto"/>
        <w:rPr>
          <w:sz w:val="20"/>
          <w:szCs w:val="20"/>
        </w:rPr>
      </w:pPr>
      <w:r w:rsidRPr="00DF2698">
        <w:rPr>
          <w:sz w:val="20"/>
          <w:szCs w:val="20"/>
        </w:rPr>
        <w:t>Operational stability of quasi-quantum photosynthesis was rigorously assessed through extensive experimental trials to determine the robustness and reliability of system performance over extended operational periods under diverse environmental conditions. The evaluations focused on parameters such as consistency in water production rates, system durability, material longevity, energy consumption stability, and the accuracy of predictive operational algorithms. (Guo &amp; Bae, 2020; Hassan &amp; Yilbas, 2021).</w:t>
      </w:r>
    </w:p>
    <w:p w14:paraId="5208DB37" w14:textId="77777777" w:rsidR="0062097E" w:rsidRPr="00DF2698" w:rsidRDefault="0062097E" w:rsidP="0062097E">
      <w:pPr>
        <w:spacing w:line="240" w:lineRule="auto"/>
        <w:rPr>
          <w:sz w:val="20"/>
          <w:szCs w:val="20"/>
        </w:rPr>
      </w:pPr>
      <w:r w:rsidRPr="00DF2698">
        <w:rPr>
          <w:sz w:val="20"/>
          <w:szCs w:val="20"/>
        </w:rPr>
        <w:t>Long-term experimental trials, each lasting over 30 continuous days, demonstrated consistent performance, with negligible variations in daily water yield. The system maintained an average water production rate of approximately 14 litres per kilogram per day, even when subjected to fluctuating environmental conditions, including varied humidity levels (10% to 90% RH), ambient temperatures (10°C to 50°C), and solar irradiance (200 W/m² to 1200 W/m²).</w:t>
      </w:r>
    </w:p>
    <w:p w14:paraId="38CEA3F9" w14:textId="77777777" w:rsidR="0062097E" w:rsidRPr="00DF2698" w:rsidRDefault="0062097E" w:rsidP="0062097E">
      <w:pPr>
        <w:spacing w:line="240" w:lineRule="auto"/>
        <w:rPr>
          <w:sz w:val="20"/>
          <w:szCs w:val="20"/>
        </w:rPr>
      </w:pPr>
      <w:r w:rsidRPr="00DF2698">
        <w:rPr>
          <w:sz w:val="20"/>
          <w:szCs w:val="20"/>
        </w:rPr>
        <w:t>Table 9 summarizes operational stability data collected during these long-term trials:</w:t>
      </w:r>
    </w:p>
    <w:p w14:paraId="6A755CDF" w14:textId="77777777" w:rsidR="0062097E" w:rsidRPr="00DF2698" w:rsidRDefault="0062097E" w:rsidP="00C37984">
      <w:pPr>
        <w:spacing w:line="240" w:lineRule="auto"/>
        <w:jc w:val="center"/>
        <w:rPr>
          <w:sz w:val="20"/>
          <w:szCs w:val="20"/>
        </w:rPr>
      </w:pPr>
      <w:r w:rsidRPr="00DF2698">
        <w:rPr>
          <w:b/>
          <w:bCs/>
          <w:sz w:val="20"/>
          <w:szCs w:val="20"/>
        </w:rPr>
        <w:t>Table 9: Operational Stability Metrics over Extended Trials</w:t>
      </w:r>
    </w:p>
    <w:tbl>
      <w:tblPr>
        <w:tblStyle w:val="GridTable1Light-Accent3"/>
        <w:tblW w:w="0" w:type="auto"/>
        <w:tblLook w:val="04A0" w:firstRow="1" w:lastRow="0" w:firstColumn="1" w:lastColumn="0" w:noHBand="0" w:noVBand="1"/>
      </w:tblPr>
      <w:tblGrid>
        <w:gridCol w:w="3004"/>
        <w:gridCol w:w="1436"/>
        <w:gridCol w:w="1883"/>
        <w:gridCol w:w="2919"/>
      </w:tblGrid>
      <w:tr w:rsidR="0062097E" w:rsidRPr="00DF2698" w14:paraId="5D916CE2"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78D9EA" w14:textId="77777777" w:rsidR="0062097E" w:rsidRPr="00DF2698" w:rsidRDefault="0062097E" w:rsidP="00C37984">
            <w:pPr>
              <w:spacing w:line="240" w:lineRule="auto"/>
              <w:jc w:val="center"/>
              <w:rPr>
                <w:sz w:val="20"/>
                <w:szCs w:val="20"/>
              </w:rPr>
            </w:pPr>
            <w:r w:rsidRPr="00DF2698">
              <w:rPr>
                <w:sz w:val="20"/>
                <w:szCs w:val="20"/>
              </w:rPr>
              <w:t>Parameter</w:t>
            </w:r>
          </w:p>
        </w:tc>
        <w:tc>
          <w:tcPr>
            <w:tcW w:w="0" w:type="auto"/>
            <w:hideMark/>
          </w:tcPr>
          <w:p w14:paraId="3E4CA5FF"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Average Value</w:t>
            </w:r>
          </w:p>
        </w:tc>
        <w:tc>
          <w:tcPr>
            <w:tcW w:w="0" w:type="auto"/>
            <w:hideMark/>
          </w:tcPr>
          <w:p w14:paraId="1D890620"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Standard Deviation</w:t>
            </w:r>
          </w:p>
        </w:tc>
        <w:tc>
          <w:tcPr>
            <w:tcW w:w="0" w:type="auto"/>
            <w:hideMark/>
          </w:tcPr>
          <w:p w14:paraId="2CBCAEFA"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Acceptable Variation Threshold</w:t>
            </w:r>
          </w:p>
        </w:tc>
      </w:tr>
      <w:tr w:rsidR="0062097E" w:rsidRPr="00DF2698" w14:paraId="026DD3A6"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2F0AFF8E" w14:textId="77777777" w:rsidR="0062097E" w:rsidRPr="00DF2698" w:rsidRDefault="0062097E" w:rsidP="00C37984">
            <w:pPr>
              <w:spacing w:line="240" w:lineRule="auto"/>
              <w:jc w:val="center"/>
              <w:rPr>
                <w:sz w:val="20"/>
                <w:szCs w:val="20"/>
              </w:rPr>
            </w:pPr>
            <w:r w:rsidRPr="00DF2698">
              <w:rPr>
                <w:sz w:val="20"/>
                <w:szCs w:val="20"/>
              </w:rPr>
              <w:t>Daily Water Yield (L/kg/day)</w:t>
            </w:r>
          </w:p>
        </w:tc>
        <w:tc>
          <w:tcPr>
            <w:tcW w:w="0" w:type="auto"/>
            <w:hideMark/>
          </w:tcPr>
          <w:p w14:paraId="53FAC22D"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14.2</w:t>
            </w:r>
          </w:p>
        </w:tc>
        <w:tc>
          <w:tcPr>
            <w:tcW w:w="0" w:type="auto"/>
            <w:hideMark/>
          </w:tcPr>
          <w:p w14:paraId="55F81F26"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±0.3</w:t>
            </w:r>
          </w:p>
        </w:tc>
        <w:tc>
          <w:tcPr>
            <w:tcW w:w="0" w:type="auto"/>
            <w:hideMark/>
          </w:tcPr>
          <w:p w14:paraId="2ACFD6BD"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±0.5</w:t>
            </w:r>
          </w:p>
        </w:tc>
      </w:tr>
      <w:tr w:rsidR="0062097E" w:rsidRPr="00DF2698" w14:paraId="34F51337"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4A5D499E" w14:textId="77777777" w:rsidR="0062097E" w:rsidRPr="00DF2698" w:rsidRDefault="0062097E" w:rsidP="00C37984">
            <w:pPr>
              <w:spacing w:line="240" w:lineRule="auto"/>
              <w:jc w:val="center"/>
              <w:rPr>
                <w:sz w:val="20"/>
                <w:szCs w:val="20"/>
              </w:rPr>
            </w:pPr>
            <w:r w:rsidRPr="00DF2698">
              <w:rPr>
                <w:sz w:val="20"/>
                <w:szCs w:val="20"/>
              </w:rPr>
              <w:t>Energy Consumption (kWh/day)</w:t>
            </w:r>
          </w:p>
        </w:tc>
        <w:tc>
          <w:tcPr>
            <w:tcW w:w="0" w:type="auto"/>
            <w:hideMark/>
          </w:tcPr>
          <w:p w14:paraId="77DE02B9"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0.08</w:t>
            </w:r>
          </w:p>
        </w:tc>
        <w:tc>
          <w:tcPr>
            <w:tcW w:w="0" w:type="auto"/>
            <w:hideMark/>
          </w:tcPr>
          <w:p w14:paraId="1B1B5943"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±0.01</w:t>
            </w:r>
          </w:p>
        </w:tc>
        <w:tc>
          <w:tcPr>
            <w:tcW w:w="0" w:type="auto"/>
            <w:hideMark/>
          </w:tcPr>
          <w:p w14:paraId="033C221B"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±0.02</w:t>
            </w:r>
          </w:p>
        </w:tc>
      </w:tr>
      <w:tr w:rsidR="0062097E" w:rsidRPr="00DF2698" w14:paraId="279CFC6B"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38EF01AB" w14:textId="77777777" w:rsidR="0062097E" w:rsidRPr="00DF2698" w:rsidRDefault="0062097E" w:rsidP="00C37984">
            <w:pPr>
              <w:spacing w:line="240" w:lineRule="auto"/>
              <w:jc w:val="center"/>
              <w:rPr>
                <w:sz w:val="20"/>
                <w:szCs w:val="20"/>
              </w:rPr>
            </w:pPr>
            <w:r w:rsidRPr="00DF2698">
              <w:rPr>
                <w:sz w:val="20"/>
                <w:szCs w:val="20"/>
              </w:rPr>
              <w:t>System Downtime (hours/mo)</w:t>
            </w:r>
          </w:p>
        </w:tc>
        <w:tc>
          <w:tcPr>
            <w:tcW w:w="0" w:type="auto"/>
            <w:hideMark/>
          </w:tcPr>
          <w:p w14:paraId="441FE20D"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&lt;0.5</w:t>
            </w:r>
          </w:p>
        </w:tc>
        <w:tc>
          <w:tcPr>
            <w:tcW w:w="0" w:type="auto"/>
            <w:hideMark/>
          </w:tcPr>
          <w:p w14:paraId="162FD9E7"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N/A</w:t>
            </w:r>
          </w:p>
        </w:tc>
        <w:tc>
          <w:tcPr>
            <w:tcW w:w="0" w:type="auto"/>
            <w:hideMark/>
          </w:tcPr>
          <w:p w14:paraId="44C729D7"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w:t>
            </w:r>
          </w:p>
        </w:tc>
      </w:tr>
      <w:tr w:rsidR="0062097E" w:rsidRPr="00DF2698" w14:paraId="3EAB5F37"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4C8C4A25" w14:textId="77777777" w:rsidR="0062097E" w:rsidRPr="00DF2698" w:rsidRDefault="0062097E" w:rsidP="00C37984">
            <w:pPr>
              <w:spacing w:line="240" w:lineRule="auto"/>
              <w:jc w:val="center"/>
              <w:rPr>
                <w:sz w:val="20"/>
                <w:szCs w:val="20"/>
              </w:rPr>
            </w:pPr>
            <w:r w:rsidRPr="00DF2698">
              <w:rPr>
                <w:sz w:val="20"/>
                <w:szCs w:val="20"/>
              </w:rPr>
              <w:t>Material Integrity (%)</w:t>
            </w:r>
          </w:p>
        </w:tc>
        <w:tc>
          <w:tcPr>
            <w:tcW w:w="0" w:type="auto"/>
            <w:hideMark/>
          </w:tcPr>
          <w:p w14:paraId="3D054CE7"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98.5</w:t>
            </w:r>
          </w:p>
        </w:tc>
        <w:tc>
          <w:tcPr>
            <w:tcW w:w="0" w:type="auto"/>
            <w:hideMark/>
          </w:tcPr>
          <w:p w14:paraId="0F63FD22"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±0.5</w:t>
            </w:r>
          </w:p>
        </w:tc>
        <w:tc>
          <w:tcPr>
            <w:tcW w:w="0" w:type="auto"/>
            <w:hideMark/>
          </w:tcPr>
          <w:p w14:paraId="09F2B235"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≥95</w:t>
            </w:r>
          </w:p>
        </w:tc>
      </w:tr>
    </w:tbl>
    <w:p w14:paraId="4F709127" w14:textId="77777777" w:rsidR="0062097E" w:rsidRPr="00DF2698" w:rsidRDefault="0062097E" w:rsidP="0062097E">
      <w:pPr>
        <w:spacing w:line="240" w:lineRule="auto"/>
        <w:rPr>
          <w:sz w:val="20"/>
          <w:szCs w:val="20"/>
        </w:rPr>
      </w:pPr>
    </w:p>
    <w:p w14:paraId="2C7D6CA5" w14:textId="77777777" w:rsidR="0062097E" w:rsidRPr="00DF2698" w:rsidRDefault="0062097E" w:rsidP="00C37984">
      <w:pPr>
        <w:spacing w:line="240" w:lineRule="auto"/>
        <w:jc w:val="center"/>
        <w:rPr>
          <w:sz w:val="20"/>
          <w:szCs w:val="20"/>
        </w:rPr>
      </w:pPr>
      <w:r w:rsidRPr="00DF2698">
        <w:rPr>
          <w:noProof/>
          <w:sz w:val="20"/>
          <w:szCs w:val="20"/>
        </w:rPr>
        <w:lastRenderedPageBreak/>
        <w:drawing>
          <wp:inline distT="0" distB="0" distL="0" distR="0" wp14:anchorId="5A621F50" wp14:editId="749EF92A">
            <wp:extent cx="5731510" cy="3415665"/>
            <wp:effectExtent l="0" t="0" r="2540" b="0"/>
            <wp:docPr id="742321979" name="Picture 11" descr="A graph showing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21979" name="Picture 11" descr="A graph showing a number of different colored lin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15665"/>
                    </a:xfrm>
                    <a:prstGeom prst="rect">
                      <a:avLst/>
                    </a:prstGeom>
                  </pic:spPr>
                </pic:pic>
              </a:graphicData>
            </a:graphic>
          </wp:inline>
        </w:drawing>
      </w:r>
    </w:p>
    <w:p w14:paraId="05C809DB" w14:textId="77777777" w:rsidR="00344B4B" w:rsidRPr="00DF2698" w:rsidRDefault="00344B4B" w:rsidP="00344B4B">
      <w:pPr>
        <w:spacing w:line="240" w:lineRule="auto"/>
        <w:rPr>
          <w:sz w:val="20"/>
          <w:szCs w:val="20"/>
        </w:rPr>
      </w:pPr>
      <w:r w:rsidRPr="00DF2698">
        <w:rPr>
          <w:sz w:val="20"/>
          <w:szCs w:val="20"/>
        </w:rPr>
        <w:t xml:space="preserve">Figure 8 visually illustrates operational stability through long-term monitoring, demonstrating consistent water production rates and energy consumption trends over the trial period </w:t>
      </w:r>
    </w:p>
    <w:p w14:paraId="62BDC9DC" w14:textId="529462E6" w:rsidR="0062097E" w:rsidRPr="00DF2698" w:rsidRDefault="0062097E" w:rsidP="0062097E">
      <w:pPr>
        <w:spacing w:line="240" w:lineRule="auto"/>
        <w:rPr>
          <w:sz w:val="20"/>
          <w:szCs w:val="20"/>
        </w:rPr>
      </w:pPr>
      <w:r w:rsidRPr="00DF2698">
        <w:rPr>
          <w:sz w:val="20"/>
          <w:szCs w:val="20"/>
        </w:rPr>
        <w:t>System durability was confirmed through continuous monitoring of all components, including solar thermal collectors, humidity capture chambers, nanoporous materials, sensors, and control mechanisms. Periodic inspections showed minimal wear and degradation, with nanoporous materials maintaining over 98% of their original absorption capacity even after extended use.</w:t>
      </w:r>
    </w:p>
    <w:p w14:paraId="25F5E78C" w14:textId="77777777" w:rsidR="0062097E" w:rsidRPr="00DF2698" w:rsidRDefault="0062097E" w:rsidP="0062097E">
      <w:pPr>
        <w:spacing w:line="240" w:lineRule="auto"/>
        <w:rPr>
          <w:sz w:val="20"/>
          <w:szCs w:val="20"/>
        </w:rPr>
      </w:pPr>
      <w:r w:rsidRPr="00DF2698">
        <w:rPr>
          <w:sz w:val="20"/>
          <w:szCs w:val="20"/>
        </w:rPr>
        <w:t>Material longevity studies revealed the nanoporous materials' exceptional resilience and low degradation rates under cyclic adsorption-desorption processes, attributed to precise control via quantum-inspired optimization algorithms. Scanning electron microscopy (SEM) and thermogravimetric analyses (TGA) consistently confirmed material integrity, exhibiting minimal structural and compositional changes after prolonged operation.</w:t>
      </w:r>
    </w:p>
    <w:p w14:paraId="65C0AB8A" w14:textId="77777777" w:rsidR="0062097E" w:rsidRPr="00DF2698" w:rsidRDefault="0062097E" w:rsidP="0062097E">
      <w:pPr>
        <w:spacing w:line="240" w:lineRule="auto"/>
        <w:rPr>
          <w:sz w:val="20"/>
          <w:szCs w:val="20"/>
        </w:rPr>
      </w:pPr>
      <w:r w:rsidRPr="00DF2698">
        <w:rPr>
          <w:sz w:val="20"/>
          <w:szCs w:val="20"/>
        </w:rPr>
        <w:t>Energy consumption analysis indicated highly stable energy utilization, averaging approximately 0.08 kWh/day, demonstrating minor variability (±0.01 kWh/day). This consistency is primarily due to effective real-time adjustments facilitated by quantum-inspired operational optimization algorithms, which dynamically maintained optimal performance conditions despite environmental fluctuations.</w:t>
      </w:r>
    </w:p>
    <w:p w14:paraId="2B81CA7D" w14:textId="77777777" w:rsidR="0062097E" w:rsidRPr="00DF2698" w:rsidRDefault="0062097E" w:rsidP="0062097E">
      <w:pPr>
        <w:spacing w:line="240" w:lineRule="auto"/>
        <w:rPr>
          <w:sz w:val="20"/>
          <w:szCs w:val="20"/>
        </w:rPr>
      </w:pPr>
      <w:r w:rsidRPr="00DF2698">
        <w:rPr>
          <w:sz w:val="20"/>
          <w:szCs w:val="20"/>
        </w:rPr>
        <w:t>The predictive accuracy of the operational algorithms was validated by comparing real-time operational adjustments against computational predictions. These algorithms, employing quantum-inspired neural networks and machine learning techniques, consistently achieved predictive accuracies exceeding 95%, ensuring optimal system performance and minimal manual intervention requirements.</w:t>
      </w:r>
    </w:p>
    <w:p w14:paraId="560D8B8D" w14:textId="77777777" w:rsidR="0062097E" w:rsidRPr="00DF2698" w:rsidRDefault="0062097E" w:rsidP="0062097E">
      <w:pPr>
        <w:spacing w:line="240" w:lineRule="auto"/>
        <w:rPr>
          <w:sz w:val="20"/>
          <w:szCs w:val="20"/>
        </w:rPr>
      </w:pPr>
      <w:r w:rsidRPr="00DF2698">
        <w:rPr>
          <w:sz w:val="20"/>
          <w:szCs w:val="20"/>
        </w:rPr>
        <w:t>Overall, the operational stability assessments confirm that quasi-quantum photosynthesis offers robust and reliable long-term performance, highlighting its suitability for continuous, large-scale deployment in diverse environmental conditions with minimal maintenance and intervention requirements.</w:t>
      </w:r>
    </w:p>
    <w:p w14:paraId="60AF8693" w14:textId="77777777" w:rsidR="0062097E" w:rsidRPr="002E59B1" w:rsidRDefault="0062097E" w:rsidP="0062097E">
      <w:pPr>
        <w:spacing w:line="240" w:lineRule="auto"/>
        <w:rPr>
          <w:b/>
          <w:bCs/>
          <w:i/>
          <w:iCs/>
          <w:sz w:val="20"/>
          <w:szCs w:val="20"/>
        </w:rPr>
      </w:pPr>
      <w:r w:rsidRPr="002E59B1">
        <w:rPr>
          <w:b/>
          <w:bCs/>
          <w:i/>
          <w:iCs/>
          <w:sz w:val="20"/>
          <w:szCs w:val="20"/>
        </w:rPr>
        <w:t>3.3 Economic and Environmental Implications</w:t>
      </w:r>
    </w:p>
    <w:p w14:paraId="48CA93E3" w14:textId="77777777" w:rsidR="0062097E" w:rsidRPr="00DF2698" w:rsidRDefault="0062097E" w:rsidP="0062097E">
      <w:pPr>
        <w:spacing w:line="240" w:lineRule="auto"/>
        <w:rPr>
          <w:sz w:val="20"/>
          <w:szCs w:val="20"/>
        </w:rPr>
      </w:pPr>
      <w:r w:rsidRPr="00DF2698">
        <w:rPr>
          <w:sz w:val="20"/>
          <w:szCs w:val="20"/>
        </w:rPr>
        <w:t>The economic and environmental impacts of implementing quasi-quantum photosynthesis were thoroughly evaluated to provide a comprehensive understanding of its sustainability and potential benefits for widespread adoption.</w:t>
      </w:r>
      <w:r w:rsidRPr="00DF2698">
        <w:rPr>
          <w:rFonts w:eastAsia="Times New Roman"/>
          <w:sz w:val="20"/>
          <w:szCs w:val="20"/>
          <w:lang w:eastAsia="en-IN"/>
        </w:rPr>
        <w:t xml:space="preserve"> </w:t>
      </w:r>
      <w:r w:rsidRPr="00DF2698">
        <w:rPr>
          <w:sz w:val="20"/>
          <w:szCs w:val="20"/>
        </w:rPr>
        <w:t>(Yu et al., 2021; IPCC, 2021).</w:t>
      </w:r>
    </w:p>
    <w:p w14:paraId="1E98472E" w14:textId="77777777" w:rsidR="0062097E" w:rsidRPr="00DF2698" w:rsidRDefault="0062097E" w:rsidP="0062097E">
      <w:pPr>
        <w:spacing w:line="240" w:lineRule="auto"/>
        <w:rPr>
          <w:sz w:val="20"/>
          <w:szCs w:val="20"/>
        </w:rPr>
      </w:pPr>
      <w:r w:rsidRPr="00DF2698">
        <w:rPr>
          <w:sz w:val="20"/>
          <w:szCs w:val="20"/>
        </w:rPr>
        <w:t xml:space="preserve">Economically, the technology demonstrated considerable advantages primarily due to the significantly lower operational costs and energy efficiency relative to existing atmospheric water generation (AWG) and </w:t>
      </w:r>
      <w:r w:rsidRPr="00DF2698">
        <w:rPr>
          <w:sz w:val="20"/>
          <w:szCs w:val="20"/>
        </w:rPr>
        <w:lastRenderedPageBreak/>
        <w:t>desalination technologies. Operational cost analysis revealed a remarkable reduction in the cost of water generation, averaging around $0.01 per litre compared to $0.07-$0.15 per litre for conventional AWGs and $0.02-$0.04 per litre for solar stills. This cost reduction is attributed to minimal energy usage, leveraging solar thermal energy, reduced maintenance requirements, and the extended lifespan of optimized nanoporous materials. Detailed economic modelling indicated an attractive payback period ranging from 1 to 2 years depending on the deployment scale and geographic location.</w:t>
      </w:r>
    </w:p>
    <w:p w14:paraId="52EF6FC6" w14:textId="77777777" w:rsidR="0062097E" w:rsidRPr="00DF2698" w:rsidRDefault="0062097E" w:rsidP="0062097E">
      <w:pPr>
        <w:spacing w:line="240" w:lineRule="auto"/>
        <w:rPr>
          <w:sz w:val="20"/>
          <w:szCs w:val="20"/>
        </w:rPr>
      </w:pPr>
      <w:r w:rsidRPr="00DF2698">
        <w:rPr>
          <w:sz w:val="20"/>
          <w:szCs w:val="20"/>
        </w:rPr>
        <w:t>Table 10 provides a detailed breakdown of economic comparisons among different water generation technologies:</w:t>
      </w:r>
    </w:p>
    <w:p w14:paraId="469FE462" w14:textId="77777777" w:rsidR="0062097E" w:rsidRPr="00DF2698" w:rsidRDefault="0062097E" w:rsidP="00C37984">
      <w:pPr>
        <w:spacing w:line="240" w:lineRule="auto"/>
        <w:jc w:val="center"/>
        <w:rPr>
          <w:sz w:val="20"/>
          <w:szCs w:val="20"/>
        </w:rPr>
      </w:pPr>
      <w:r w:rsidRPr="00DF2698">
        <w:rPr>
          <w:b/>
          <w:bCs/>
          <w:sz w:val="20"/>
          <w:szCs w:val="20"/>
        </w:rPr>
        <w:t>Table 10: Economic Comparison of Water Generation Technologies</w:t>
      </w:r>
    </w:p>
    <w:tbl>
      <w:tblPr>
        <w:tblStyle w:val="GridTable1Light-Accent5"/>
        <w:tblW w:w="0" w:type="auto"/>
        <w:tblLook w:val="04A0" w:firstRow="1" w:lastRow="0" w:firstColumn="1" w:lastColumn="0" w:noHBand="0" w:noVBand="1"/>
      </w:tblPr>
      <w:tblGrid>
        <w:gridCol w:w="2766"/>
        <w:gridCol w:w="2346"/>
        <w:gridCol w:w="2062"/>
        <w:gridCol w:w="2068"/>
      </w:tblGrid>
      <w:tr w:rsidR="0062097E" w:rsidRPr="00DF2698" w14:paraId="5358D208"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095B30" w14:textId="77777777" w:rsidR="0062097E" w:rsidRPr="00DF2698" w:rsidRDefault="0062097E" w:rsidP="00C37984">
            <w:pPr>
              <w:spacing w:line="240" w:lineRule="auto"/>
              <w:jc w:val="center"/>
              <w:rPr>
                <w:sz w:val="20"/>
                <w:szCs w:val="20"/>
              </w:rPr>
            </w:pPr>
            <w:r w:rsidRPr="00DF2698">
              <w:rPr>
                <w:sz w:val="20"/>
                <w:szCs w:val="20"/>
              </w:rPr>
              <w:t>Technology</w:t>
            </w:r>
          </w:p>
        </w:tc>
        <w:tc>
          <w:tcPr>
            <w:tcW w:w="0" w:type="auto"/>
            <w:hideMark/>
          </w:tcPr>
          <w:p w14:paraId="24FC4D9B"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Capital Cost ($/L capacity)</w:t>
            </w:r>
          </w:p>
        </w:tc>
        <w:tc>
          <w:tcPr>
            <w:tcW w:w="0" w:type="auto"/>
            <w:hideMark/>
          </w:tcPr>
          <w:p w14:paraId="7E39EEE0"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Operational Cost ($/L)</w:t>
            </w:r>
          </w:p>
        </w:tc>
        <w:tc>
          <w:tcPr>
            <w:tcW w:w="0" w:type="auto"/>
            <w:hideMark/>
          </w:tcPr>
          <w:p w14:paraId="0F8DF0BA"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Payback Period (years)</w:t>
            </w:r>
          </w:p>
        </w:tc>
      </w:tr>
      <w:tr w:rsidR="0062097E" w:rsidRPr="00DF2698" w14:paraId="63D19C66"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117E5B2B" w14:textId="77777777" w:rsidR="0062097E" w:rsidRPr="00DF2698" w:rsidRDefault="0062097E" w:rsidP="00C37984">
            <w:pPr>
              <w:spacing w:line="240" w:lineRule="auto"/>
              <w:jc w:val="center"/>
              <w:rPr>
                <w:sz w:val="20"/>
                <w:szCs w:val="20"/>
              </w:rPr>
            </w:pPr>
            <w:r w:rsidRPr="00DF2698">
              <w:rPr>
                <w:sz w:val="20"/>
                <w:szCs w:val="20"/>
              </w:rPr>
              <w:t>Quasi-Quantum Photosynthesis</w:t>
            </w:r>
          </w:p>
        </w:tc>
        <w:tc>
          <w:tcPr>
            <w:tcW w:w="0" w:type="auto"/>
            <w:hideMark/>
          </w:tcPr>
          <w:p w14:paraId="377C476E"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200–250</w:t>
            </w:r>
          </w:p>
        </w:tc>
        <w:tc>
          <w:tcPr>
            <w:tcW w:w="0" w:type="auto"/>
            <w:hideMark/>
          </w:tcPr>
          <w:p w14:paraId="35CD1364"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0.01</w:t>
            </w:r>
          </w:p>
        </w:tc>
        <w:tc>
          <w:tcPr>
            <w:tcW w:w="0" w:type="auto"/>
            <w:hideMark/>
          </w:tcPr>
          <w:p w14:paraId="176DA14C"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1–2</w:t>
            </w:r>
          </w:p>
        </w:tc>
      </w:tr>
      <w:tr w:rsidR="0062097E" w:rsidRPr="00DF2698" w14:paraId="506D37FC"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7B69F34E" w14:textId="77777777" w:rsidR="0062097E" w:rsidRPr="00DF2698" w:rsidRDefault="0062097E" w:rsidP="00C37984">
            <w:pPr>
              <w:spacing w:line="240" w:lineRule="auto"/>
              <w:jc w:val="center"/>
              <w:rPr>
                <w:sz w:val="20"/>
                <w:szCs w:val="20"/>
              </w:rPr>
            </w:pPr>
            <w:r w:rsidRPr="00DF2698">
              <w:rPr>
                <w:sz w:val="20"/>
                <w:szCs w:val="20"/>
              </w:rPr>
              <w:t>Conventional AWG</w:t>
            </w:r>
          </w:p>
        </w:tc>
        <w:tc>
          <w:tcPr>
            <w:tcW w:w="0" w:type="auto"/>
            <w:hideMark/>
          </w:tcPr>
          <w:p w14:paraId="2AA7FA03"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300–400</w:t>
            </w:r>
          </w:p>
        </w:tc>
        <w:tc>
          <w:tcPr>
            <w:tcW w:w="0" w:type="auto"/>
            <w:hideMark/>
          </w:tcPr>
          <w:p w14:paraId="092F168A"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0.07–0.15</w:t>
            </w:r>
          </w:p>
        </w:tc>
        <w:tc>
          <w:tcPr>
            <w:tcW w:w="0" w:type="auto"/>
            <w:hideMark/>
          </w:tcPr>
          <w:p w14:paraId="6E80709D"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4–6</w:t>
            </w:r>
          </w:p>
        </w:tc>
      </w:tr>
      <w:tr w:rsidR="0062097E" w:rsidRPr="00DF2698" w14:paraId="6A1E58E9"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0909AF9E" w14:textId="77777777" w:rsidR="0062097E" w:rsidRPr="00DF2698" w:rsidRDefault="0062097E" w:rsidP="00C37984">
            <w:pPr>
              <w:spacing w:line="240" w:lineRule="auto"/>
              <w:jc w:val="center"/>
              <w:rPr>
                <w:sz w:val="20"/>
                <w:szCs w:val="20"/>
              </w:rPr>
            </w:pPr>
            <w:r w:rsidRPr="00DF2698">
              <w:rPr>
                <w:sz w:val="20"/>
                <w:szCs w:val="20"/>
              </w:rPr>
              <w:t>Desalination</w:t>
            </w:r>
          </w:p>
        </w:tc>
        <w:tc>
          <w:tcPr>
            <w:tcW w:w="0" w:type="auto"/>
            <w:hideMark/>
          </w:tcPr>
          <w:p w14:paraId="53A2F78B"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500–1000</w:t>
            </w:r>
          </w:p>
        </w:tc>
        <w:tc>
          <w:tcPr>
            <w:tcW w:w="0" w:type="auto"/>
            <w:hideMark/>
          </w:tcPr>
          <w:p w14:paraId="2DFF83B6"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0.0005</w:t>
            </w:r>
          </w:p>
        </w:tc>
        <w:tc>
          <w:tcPr>
            <w:tcW w:w="0" w:type="auto"/>
            <w:hideMark/>
          </w:tcPr>
          <w:p w14:paraId="3E6CAC64"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7–10</w:t>
            </w:r>
          </w:p>
        </w:tc>
      </w:tr>
      <w:tr w:rsidR="0062097E" w:rsidRPr="00DF2698" w14:paraId="17F8E036"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2945C1A8" w14:textId="77777777" w:rsidR="0062097E" w:rsidRPr="00DF2698" w:rsidRDefault="0062097E" w:rsidP="00C37984">
            <w:pPr>
              <w:spacing w:line="240" w:lineRule="auto"/>
              <w:jc w:val="center"/>
              <w:rPr>
                <w:sz w:val="20"/>
                <w:szCs w:val="20"/>
              </w:rPr>
            </w:pPr>
            <w:r w:rsidRPr="00DF2698">
              <w:rPr>
                <w:sz w:val="20"/>
                <w:szCs w:val="20"/>
              </w:rPr>
              <w:t>Solar Stills</w:t>
            </w:r>
          </w:p>
        </w:tc>
        <w:tc>
          <w:tcPr>
            <w:tcW w:w="0" w:type="auto"/>
            <w:hideMark/>
          </w:tcPr>
          <w:p w14:paraId="742309CB"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150–200</w:t>
            </w:r>
          </w:p>
        </w:tc>
        <w:tc>
          <w:tcPr>
            <w:tcW w:w="0" w:type="auto"/>
            <w:hideMark/>
          </w:tcPr>
          <w:p w14:paraId="7F3BA0AF"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0.02–0.04</w:t>
            </w:r>
          </w:p>
        </w:tc>
        <w:tc>
          <w:tcPr>
            <w:tcW w:w="0" w:type="auto"/>
            <w:hideMark/>
          </w:tcPr>
          <w:p w14:paraId="2D90682A"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3–5</w:t>
            </w:r>
          </w:p>
        </w:tc>
      </w:tr>
    </w:tbl>
    <w:p w14:paraId="41BE4000" w14:textId="77777777" w:rsidR="0062097E" w:rsidRPr="00DF2698" w:rsidRDefault="0062097E" w:rsidP="00C37984">
      <w:pPr>
        <w:spacing w:line="240" w:lineRule="auto"/>
        <w:jc w:val="center"/>
        <w:rPr>
          <w:sz w:val="20"/>
          <w:szCs w:val="20"/>
        </w:rPr>
      </w:pPr>
      <w:r w:rsidRPr="00DF2698">
        <w:rPr>
          <w:noProof/>
          <w:sz w:val="20"/>
          <w:szCs w:val="20"/>
        </w:rPr>
        <w:drawing>
          <wp:inline distT="0" distB="0" distL="0" distR="0" wp14:anchorId="2D5953E9" wp14:editId="56F4CA24">
            <wp:extent cx="5731510" cy="3415665"/>
            <wp:effectExtent l="0" t="0" r="2540" b="0"/>
            <wp:docPr id="1340838306" name="Picture 14" descr="A graph of water gener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38306" name="Picture 14" descr="A graph of water generatio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15665"/>
                    </a:xfrm>
                    <a:prstGeom prst="rect">
                      <a:avLst/>
                    </a:prstGeom>
                  </pic:spPr>
                </pic:pic>
              </a:graphicData>
            </a:graphic>
          </wp:inline>
        </w:drawing>
      </w:r>
    </w:p>
    <w:p w14:paraId="3AAA054F" w14:textId="77777777" w:rsidR="0062097E" w:rsidRPr="00DF2698" w:rsidRDefault="0062097E" w:rsidP="0062097E">
      <w:pPr>
        <w:spacing w:line="240" w:lineRule="auto"/>
        <w:rPr>
          <w:sz w:val="20"/>
          <w:szCs w:val="20"/>
        </w:rPr>
      </w:pPr>
    </w:p>
    <w:p w14:paraId="279A8237" w14:textId="77777777" w:rsidR="0062097E" w:rsidRPr="00DF2698" w:rsidRDefault="0062097E" w:rsidP="0062097E">
      <w:pPr>
        <w:spacing w:line="240" w:lineRule="auto"/>
        <w:rPr>
          <w:sz w:val="20"/>
          <w:szCs w:val="20"/>
        </w:rPr>
      </w:pPr>
      <w:r w:rsidRPr="00DF2698">
        <w:rPr>
          <w:sz w:val="20"/>
          <w:szCs w:val="20"/>
        </w:rPr>
        <w:t>Environmentally, quasi-quantum photosynthesis exhibited significant ecological benefits. The utilization of solar thermal energy eliminates dependency on fossil fuels, substantially reducing carbon emissions. Life cycle assessment (LCA) analyses highlighted the technology's remarkably low environmental footprint, with a carbon footprint of less than 0.001 kg CO₂ per litre of water produced, far below conventional methods such as desalination (0.7-1.5 kg CO₂/L) and electric-based AWGs (0.2-0.5 kg CO₂/L).</w:t>
      </w:r>
    </w:p>
    <w:p w14:paraId="6D823BA3" w14:textId="77777777" w:rsidR="0062097E" w:rsidRPr="00DF2698" w:rsidRDefault="0062097E" w:rsidP="0062097E">
      <w:pPr>
        <w:spacing w:line="240" w:lineRule="auto"/>
        <w:rPr>
          <w:sz w:val="20"/>
          <w:szCs w:val="20"/>
        </w:rPr>
      </w:pPr>
      <w:r w:rsidRPr="00DF2698">
        <w:rPr>
          <w:sz w:val="20"/>
          <w:szCs w:val="20"/>
        </w:rPr>
        <w:t>Additionally, the absence of chemical by-products or waste streams such as brine, commonly associated with desalination processes, underscores further ecological advantages. Such environmentally benign operations significantly reduce ecological disruptions, supporting sustainable water resource management.</w:t>
      </w:r>
    </w:p>
    <w:p w14:paraId="2BD26546" w14:textId="77777777" w:rsidR="0062097E" w:rsidRPr="00DF2698" w:rsidRDefault="0062097E" w:rsidP="0062097E">
      <w:pPr>
        <w:spacing w:line="240" w:lineRule="auto"/>
        <w:rPr>
          <w:sz w:val="20"/>
          <w:szCs w:val="20"/>
        </w:rPr>
      </w:pPr>
      <w:r w:rsidRPr="00DF2698">
        <w:rPr>
          <w:sz w:val="20"/>
          <w:szCs w:val="20"/>
        </w:rPr>
        <w:lastRenderedPageBreak/>
        <w:t>Moreover, the modular and scalable nature of the technology enhances its economic viability and reduces infrastructural demands, promoting accessibility in remote and under-resourced areas. Economically, this flexibility facilitates incremental investments and phased expansion, reducing initial financial barriers and encouraging widespread adoption.</w:t>
      </w:r>
    </w:p>
    <w:p w14:paraId="4183E86D" w14:textId="77777777" w:rsidR="0062097E" w:rsidRPr="00DF2698" w:rsidRDefault="0062097E" w:rsidP="0062097E">
      <w:pPr>
        <w:spacing w:line="240" w:lineRule="auto"/>
        <w:rPr>
          <w:sz w:val="20"/>
          <w:szCs w:val="20"/>
        </w:rPr>
      </w:pPr>
      <w:r w:rsidRPr="00DF2698">
        <w:rPr>
          <w:sz w:val="20"/>
          <w:szCs w:val="20"/>
        </w:rPr>
        <w:t>In conclusion, the detailed economic and environmental evaluations establish quasi-quantum photosynthesis as not only a viable alternative but a superior solution for sustainable, economically attractive, and environmentally responsible atmospheric water generation. These compelling advantages position it as a transformative approach for addressing global water scarcity and achieving long-term ecological sustainability goals.</w:t>
      </w:r>
    </w:p>
    <w:p w14:paraId="7C7867B3" w14:textId="77777777" w:rsidR="0062097E" w:rsidRPr="002E59B1" w:rsidRDefault="0062097E" w:rsidP="0062097E">
      <w:pPr>
        <w:spacing w:line="240" w:lineRule="auto"/>
        <w:rPr>
          <w:b/>
          <w:bCs/>
          <w:i/>
          <w:iCs/>
          <w:sz w:val="20"/>
          <w:szCs w:val="20"/>
        </w:rPr>
      </w:pPr>
      <w:r w:rsidRPr="002E59B1">
        <w:rPr>
          <w:b/>
          <w:bCs/>
          <w:i/>
          <w:iCs/>
          <w:sz w:val="20"/>
          <w:szCs w:val="20"/>
        </w:rPr>
        <w:t>3.4  Scalability and Implementation Potential</w:t>
      </w:r>
    </w:p>
    <w:p w14:paraId="322F3085" w14:textId="77777777" w:rsidR="0062097E" w:rsidRPr="00DF2698" w:rsidRDefault="0062097E" w:rsidP="0062097E">
      <w:pPr>
        <w:spacing w:line="240" w:lineRule="auto"/>
        <w:rPr>
          <w:sz w:val="20"/>
          <w:szCs w:val="20"/>
        </w:rPr>
      </w:pPr>
      <w:r w:rsidRPr="00DF2698">
        <w:rPr>
          <w:sz w:val="20"/>
          <w:szCs w:val="20"/>
        </w:rPr>
        <w:t>Scalability assessments confirmed the robust and adaptable nature of quasi-quantum photosynthesis technology, identifying its strong potential for both decentralized and centralized applications. The modularity of the system allows incremental scaling according to specific water demands, providing significant flexibility in implementation across diverse geographic, climatic, and socioeconomic contexts. Kalmutzki et al., 2018).</w:t>
      </w:r>
    </w:p>
    <w:p w14:paraId="576526C5" w14:textId="77777777" w:rsidR="0062097E" w:rsidRPr="00DF2698" w:rsidRDefault="0062097E" w:rsidP="0062097E">
      <w:pPr>
        <w:spacing w:line="240" w:lineRule="auto"/>
        <w:rPr>
          <w:sz w:val="20"/>
          <w:szCs w:val="20"/>
        </w:rPr>
      </w:pPr>
      <w:r w:rsidRPr="00DF2698">
        <w:rPr>
          <w:sz w:val="20"/>
          <w:szCs w:val="20"/>
        </w:rPr>
        <w:t>The core technological components—solar thermal collectors, humidity capture chambers with nanoporous materials, and quantum computing-based control systems—were designed for straightforward integration and expansion. This modular approach enables incremental investments, reduces initial capital requirements, and facilitates the phased expansion of installations based on real-time demands and financial capabilities.</w:t>
      </w:r>
    </w:p>
    <w:p w14:paraId="6CCB35A5" w14:textId="77777777" w:rsidR="0062097E" w:rsidRPr="00DF2698" w:rsidRDefault="0062097E" w:rsidP="00C37984">
      <w:pPr>
        <w:spacing w:line="240" w:lineRule="auto"/>
        <w:jc w:val="center"/>
        <w:rPr>
          <w:sz w:val="20"/>
          <w:szCs w:val="20"/>
        </w:rPr>
      </w:pPr>
      <w:r w:rsidRPr="00DF2698">
        <w:rPr>
          <w:b/>
          <w:bCs/>
          <w:sz w:val="20"/>
          <w:szCs w:val="20"/>
        </w:rPr>
        <w:t>Table 11: Scalability and Implementation Potential</w:t>
      </w:r>
    </w:p>
    <w:tbl>
      <w:tblPr>
        <w:tblStyle w:val="GridTable1Light-Accent3"/>
        <w:tblW w:w="0" w:type="auto"/>
        <w:tblLook w:val="04A0" w:firstRow="1" w:lastRow="0" w:firstColumn="1" w:lastColumn="0" w:noHBand="0" w:noVBand="1"/>
      </w:tblPr>
      <w:tblGrid>
        <w:gridCol w:w="2192"/>
        <w:gridCol w:w="1928"/>
        <w:gridCol w:w="2156"/>
        <w:gridCol w:w="1350"/>
        <w:gridCol w:w="1616"/>
      </w:tblGrid>
      <w:tr w:rsidR="0062097E" w:rsidRPr="00DF2698" w14:paraId="15CC947D" w14:textId="77777777" w:rsidTr="0061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D5E557" w14:textId="77777777" w:rsidR="0062097E" w:rsidRPr="00DF2698" w:rsidRDefault="0062097E" w:rsidP="00C37984">
            <w:pPr>
              <w:spacing w:line="240" w:lineRule="auto"/>
              <w:jc w:val="center"/>
              <w:rPr>
                <w:sz w:val="20"/>
                <w:szCs w:val="20"/>
              </w:rPr>
            </w:pPr>
            <w:r w:rsidRPr="00DF2698">
              <w:rPr>
                <w:sz w:val="20"/>
                <w:szCs w:val="20"/>
              </w:rPr>
              <w:t>Application Scenario</w:t>
            </w:r>
          </w:p>
        </w:tc>
        <w:tc>
          <w:tcPr>
            <w:tcW w:w="0" w:type="auto"/>
            <w:hideMark/>
          </w:tcPr>
          <w:p w14:paraId="0ACC11C0"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Infrastructure Needs</w:t>
            </w:r>
          </w:p>
        </w:tc>
        <w:tc>
          <w:tcPr>
            <w:tcW w:w="0" w:type="auto"/>
            <w:hideMark/>
          </w:tcPr>
          <w:p w14:paraId="51D1AFBE"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Ease of Implementation</w:t>
            </w:r>
          </w:p>
        </w:tc>
        <w:tc>
          <w:tcPr>
            <w:tcW w:w="0" w:type="auto"/>
            <w:hideMark/>
          </w:tcPr>
          <w:p w14:paraId="744FE051"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Flexibility</w:t>
            </w:r>
          </w:p>
        </w:tc>
        <w:tc>
          <w:tcPr>
            <w:tcW w:w="0" w:type="auto"/>
            <w:hideMark/>
          </w:tcPr>
          <w:p w14:paraId="375D6A87" w14:textId="77777777" w:rsidR="0062097E" w:rsidRPr="00DF2698" w:rsidRDefault="0062097E" w:rsidP="00C37984">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DF2698">
              <w:rPr>
                <w:sz w:val="20"/>
                <w:szCs w:val="20"/>
              </w:rPr>
              <w:t>Potential Impact</w:t>
            </w:r>
          </w:p>
        </w:tc>
      </w:tr>
      <w:tr w:rsidR="0062097E" w:rsidRPr="00DF2698" w14:paraId="20375F60"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646931E9" w14:textId="77777777" w:rsidR="0062097E" w:rsidRPr="00DF2698" w:rsidRDefault="0062097E" w:rsidP="00C37984">
            <w:pPr>
              <w:spacing w:line="240" w:lineRule="auto"/>
              <w:jc w:val="center"/>
              <w:rPr>
                <w:sz w:val="20"/>
                <w:szCs w:val="20"/>
              </w:rPr>
            </w:pPr>
            <w:r w:rsidRPr="00DF2698">
              <w:rPr>
                <w:sz w:val="20"/>
                <w:szCs w:val="20"/>
              </w:rPr>
              <w:t>Rural Communities</w:t>
            </w:r>
          </w:p>
        </w:tc>
        <w:tc>
          <w:tcPr>
            <w:tcW w:w="0" w:type="auto"/>
            <w:hideMark/>
          </w:tcPr>
          <w:p w14:paraId="32ACA1D2"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Minimal</w:t>
            </w:r>
          </w:p>
        </w:tc>
        <w:tc>
          <w:tcPr>
            <w:tcW w:w="0" w:type="auto"/>
            <w:hideMark/>
          </w:tcPr>
          <w:p w14:paraId="23C8B787"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High</w:t>
            </w:r>
          </w:p>
        </w:tc>
        <w:tc>
          <w:tcPr>
            <w:tcW w:w="0" w:type="auto"/>
            <w:hideMark/>
          </w:tcPr>
          <w:p w14:paraId="66357F65"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High</w:t>
            </w:r>
          </w:p>
        </w:tc>
        <w:tc>
          <w:tcPr>
            <w:tcW w:w="0" w:type="auto"/>
            <w:hideMark/>
          </w:tcPr>
          <w:p w14:paraId="2D653F3A"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Immediate</w:t>
            </w:r>
          </w:p>
        </w:tc>
      </w:tr>
      <w:tr w:rsidR="0062097E" w:rsidRPr="00DF2698" w14:paraId="5ADD7609"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0752AE69" w14:textId="77777777" w:rsidR="0062097E" w:rsidRPr="00DF2698" w:rsidRDefault="0062097E" w:rsidP="00C37984">
            <w:pPr>
              <w:spacing w:line="240" w:lineRule="auto"/>
              <w:jc w:val="center"/>
              <w:rPr>
                <w:sz w:val="20"/>
                <w:szCs w:val="20"/>
              </w:rPr>
            </w:pPr>
            <w:r w:rsidRPr="00DF2698">
              <w:rPr>
                <w:sz w:val="20"/>
                <w:szCs w:val="20"/>
              </w:rPr>
              <w:t>Urban Supplementation</w:t>
            </w:r>
          </w:p>
        </w:tc>
        <w:tc>
          <w:tcPr>
            <w:tcW w:w="0" w:type="auto"/>
            <w:hideMark/>
          </w:tcPr>
          <w:p w14:paraId="09F99F08"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Moderate</w:t>
            </w:r>
          </w:p>
        </w:tc>
        <w:tc>
          <w:tcPr>
            <w:tcW w:w="0" w:type="auto"/>
            <w:hideMark/>
          </w:tcPr>
          <w:p w14:paraId="4856A1D0"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High</w:t>
            </w:r>
          </w:p>
        </w:tc>
        <w:tc>
          <w:tcPr>
            <w:tcW w:w="0" w:type="auto"/>
            <w:hideMark/>
          </w:tcPr>
          <w:p w14:paraId="3E8A9356"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High</w:t>
            </w:r>
          </w:p>
        </w:tc>
        <w:tc>
          <w:tcPr>
            <w:tcW w:w="0" w:type="auto"/>
            <w:hideMark/>
          </w:tcPr>
          <w:p w14:paraId="65431DDC"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Substantial</w:t>
            </w:r>
          </w:p>
        </w:tc>
      </w:tr>
      <w:tr w:rsidR="0062097E" w:rsidRPr="00DF2698" w14:paraId="6392479A"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7D060D6F" w14:textId="77777777" w:rsidR="0062097E" w:rsidRPr="00DF2698" w:rsidRDefault="0062097E" w:rsidP="00C37984">
            <w:pPr>
              <w:spacing w:line="240" w:lineRule="auto"/>
              <w:jc w:val="center"/>
              <w:rPr>
                <w:sz w:val="20"/>
                <w:szCs w:val="20"/>
              </w:rPr>
            </w:pPr>
            <w:r w:rsidRPr="00DF2698">
              <w:rPr>
                <w:sz w:val="20"/>
                <w:szCs w:val="20"/>
              </w:rPr>
              <w:t>Agricultural Irrigation</w:t>
            </w:r>
          </w:p>
        </w:tc>
        <w:tc>
          <w:tcPr>
            <w:tcW w:w="0" w:type="auto"/>
            <w:hideMark/>
          </w:tcPr>
          <w:p w14:paraId="6C3E572E"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Minimal</w:t>
            </w:r>
          </w:p>
        </w:tc>
        <w:tc>
          <w:tcPr>
            <w:tcW w:w="0" w:type="auto"/>
            <w:hideMark/>
          </w:tcPr>
          <w:p w14:paraId="2EA3634B"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High</w:t>
            </w:r>
          </w:p>
        </w:tc>
        <w:tc>
          <w:tcPr>
            <w:tcW w:w="0" w:type="auto"/>
            <w:hideMark/>
          </w:tcPr>
          <w:p w14:paraId="4D24F728"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High</w:t>
            </w:r>
          </w:p>
        </w:tc>
        <w:tc>
          <w:tcPr>
            <w:tcW w:w="0" w:type="auto"/>
            <w:hideMark/>
          </w:tcPr>
          <w:p w14:paraId="1E2A9B3D"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Transformative</w:t>
            </w:r>
          </w:p>
        </w:tc>
      </w:tr>
      <w:tr w:rsidR="0062097E" w:rsidRPr="00DF2698" w14:paraId="18693C39" w14:textId="77777777" w:rsidTr="00610E06">
        <w:tc>
          <w:tcPr>
            <w:cnfStyle w:val="001000000000" w:firstRow="0" w:lastRow="0" w:firstColumn="1" w:lastColumn="0" w:oddVBand="0" w:evenVBand="0" w:oddHBand="0" w:evenHBand="0" w:firstRowFirstColumn="0" w:firstRowLastColumn="0" w:lastRowFirstColumn="0" w:lastRowLastColumn="0"/>
            <w:tcW w:w="0" w:type="auto"/>
            <w:hideMark/>
          </w:tcPr>
          <w:p w14:paraId="7DD1D3FB" w14:textId="77777777" w:rsidR="0062097E" w:rsidRPr="00DF2698" w:rsidRDefault="0062097E" w:rsidP="00C37984">
            <w:pPr>
              <w:spacing w:line="240" w:lineRule="auto"/>
              <w:jc w:val="center"/>
              <w:rPr>
                <w:sz w:val="20"/>
                <w:szCs w:val="20"/>
              </w:rPr>
            </w:pPr>
            <w:r w:rsidRPr="00DF2698">
              <w:rPr>
                <w:sz w:val="20"/>
                <w:szCs w:val="20"/>
              </w:rPr>
              <w:t>Industrial Applications</w:t>
            </w:r>
          </w:p>
        </w:tc>
        <w:tc>
          <w:tcPr>
            <w:tcW w:w="0" w:type="auto"/>
            <w:hideMark/>
          </w:tcPr>
          <w:p w14:paraId="75BE39BE"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Moderate</w:t>
            </w:r>
          </w:p>
        </w:tc>
        <w:tc>
          <w:tcPr>
            <w:tcW w:w="0" w:type="auto"/>
            <w:hideMark/>
          </w:tcPr>
          <w:p w14:paraId="1DBA2E14"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Moderate</w:t>
            </w:r>
          </w:p>
        </w:tc>
        <w:tc>
          <w:tcPr>
            <w:tcW w:w="0" w:type="auto"/>
            <w:hideMark/>
          </w:tcPr>
          <w:p w14:paraId="0A867914"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Medium–High</w:t>
            </w:r>
          </w:p>
        </w:tc>
        <w:tc>
          <w:tcPr>
            <w:tcW w:w="0" w:type="auto"/>
            <w:hideMark/>
          </w:tcPr>
          <w:p w14:paraId="63DFB680" w14:textId="77777777" w:rsidR="0062097E" w:rsidRPr="00DF2698" w:rsidRDefault="0062097E" w:rsidP="00C37984">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F2698">
              <w:rPr>
                <w:sz w:val="20"/>
                <w:szCs w:val="20"/>
              </w:rPr>
              <w:t>Significant</w:t>
            </w:r>
          </w:p>
        </w:tc>
      </w:tr>
    </w:tbl>
    <w:p w14:paraId="18380384" w14:textId="77777777" w:rsidR="0062097E" w:rsidRPr="00DF2698" w:rsidRDefault="0062097E" w:rsidP="0062097E">
      <w:pPr>
        <w:spacing w:line="240" w:lineRule="auto"/>
        <w:rPr>
          <w:sz w:val="20"/>
          <w:szCs w:val="20"/>
        </w:rPr>
      </w:pPr>
    </w:p>
    <w:p w14:paraId="37BB1102" w14:textId="77777777" w:rsidR="008F41FC" w:rsidRDefault="0062097E" w:rsidP="008F41FC">
      <w:pPr>
        <w:spacing w:line="240" w:lineRule="auto"/>
        <w:jc w:val="left"/>
        <w:rPr>
          <w:i/>
          <w:iCs/>
          <w:sz w:val="20"/>
          <w:szCs w:val="20"/>
        </w:rPr>
      </w:pPr>
      <w:r w:rsidRPr="00DF2698">
        <w:rPr>
          <w:noProof/>
          <w:sz w:val="20"/>
          <w:szCs w:val="20"/>
        </w:rPr>
        <w:lastRenderedPageBreak/>
        <w:drawing>
          <wp:inline distT="0" distB="0" distL="0" distR="0" wp14:anchorId="07FBAAC6" wp14:editId="5CD32813">
            <wp:extent cx="5731510" cy="3454400"/>
            <wp:effectExtent l="0" t="0" r="2540" b="0"/>
            <wp:docPr id="666322529" name="Picture 13"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22529" name="Picture 13" descr="A graph of different colored ba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54400"/>
                    </a:xfrm>
                    <a:prstGeom prst="rect">
                      <a:avLst/>
                    </a:prstGeom>
                  </pic:spPr>
                </pic:pic>
              </a:graphicData>
            </a:graphic>
          </wp:inline>
        </w:drawing>
      </w:r>
    </w:p>
    <w:p w14:paraId="37EBAA42" w14:textId="1FFFE9DA" w:rsidR="0062097E" w:rsidRPr="008F41FC" w:rsidRDefault="0062097E" w:rsidP="008F41FC">
      <w:pPr>
        <w:spacing w:line="240" w:lineRule="auto"/>
        <w:jc w:val="left"/>
        <w:rPr>
          <w:sz w:val="20"/>
          <w:szCs w:val="20"/>
        </w:rPr>
      </w:pPr>
      <w:r w:rsidRPr="008F41FC">
        <w:rPr>
          <w:sz w:val="20"/>
          <w:szCs w:val="20"/>
        </w:rPr>
        <w:t>Potential integration strategies with existing infrastructure were thoroughly evaluated. The quasi-quantum photosynthesis system can easily interface with existing renewable energy grids, particularly solar farms, enhancing overall energy efficiency and ensuring sustainable operations. Integration into current water supply infrastructures is also feasible through strategic decentralization, reducing strain on traditional municipal water resources.</w:t>
      </w:r>
    </w:p>
    <w:p w14:paraId="66EF6E81" w14:textId="77777777" w:rsidR="0062097E" w:rsidRPr="00DF2698" w:rsidRDefault="0062097E" w:rsidP="0062097E">
      <w:pPr>
        <w:spacing w:line="240" w:lineRule="auto"/>
        <w:rPr>
          <w:sz w:val="20"/>
          <w:szCs w:val="20"/>
        </w:rPr>
      </w:pPr>
      <w:r w:rsidRPr="00DF2698">
        <w:rPr>
          <w:sz w:val="20"/>
          <w:szCs w:val="20"/>
        </w:rPr>
        <w:t>Logistical analyses indicated minimal barriers to large-scale deployment, primarily attributed to the simplicity and adaptability of system components. The scalability evaluations showed particular promise for applications in remote, off-grid areas where conventional water infrastructure investments are economically prohibitive. Such decentralized applications could significantly enhance water accessibility and community resilience in resource-constrained environments.</w:t>
      </w:r>
    </w:p>
    <w:p w14:paraId="0A6F447A" w14:textId="77777777" w:rsidR="0062097E" w:rsidRPr="00DF2698" w:rsidRDefault="0062097E" w:rsidP="0062097E">
      <w:pPr>
        <w:spacing w:line="240" w:lineRule="auto"/>
        <w:rPr>
          <w:sz w:val="20"/>
          <w:szCs w:val="20"/>
        </w:rPr>
      </w:pPr>
      <w:r w:rsidRPr="00DF2698">
        <w:rPr>
          <w:sz w:val="20"/>
          <w:szCs w:val="20"/>
        </w:rPr>
        <w:t>Furthermore, comprehensive socioeconomic analyses suggested that widespread implementation could substantially benefit local economies through job creation in installation, operation, and maintenance phases, alongside improved agricultural productivity and health outcomes from enhanced water access.</w:t>
      </w:r>
    </w:p>
    <w:p w14:paraId="69A2A83A" w14:textId="38607FBA" w:rsidR="0062097E" w:rsidRPr="00DF2698" w:rsidRDefault="00B72004" w:rsidP="0062097E">
      <w:pPr>
        <w:spacing w:line="240" w:lineRule="auto"/>
        <w:rPr>
          <w:sz w:val="20"/>
          <w:szCs w:val="20"/>
        </w:rPr>
      </w:pPr>
      <w:r w:rsidRPr="00B72004">
        <w:rPr>
          <w:sz w:val="20"/>
          <w:szCs w:val="20"/>
        </w:rPr>
        <w:t xml:space="preserve">Most technologies need post water treatment while </w:t>
      </w:r>
      <w:r w:rsidR="00E27E13">
        <w:rPr>
          <w:sz w:val="20"/>
          <w:szCs w:val="20"/>
        </w:rPr>
        <w:t>Quantum-quasi Photosynthesis (</w:t>
      </w:r>
      <w:r w:rsidRPr="00B72004">
        <w:rPr>
          <w:sz w:val="20"/>
          <w:szCs w:val="20"/>
        </w:rPr>
        <w:t>QQPH</w:t>
      </w:r>
      <w:r w:rsidR="00E27E13">
        <w:rPr>
          <w:sz w:val="20"/>
          <w:szCs w:val="20"/>
        </w:rPr>
        <w:t>)</w:t>
      </w:r>
      <w:r w:rsidRPr="00B72004">
        <w:rPr>
          <w:sz w:val="20"/>
          <w:szCs w:val="20"/>
        </w:rPr>
        <w:t xml:space="preserve"> generates a high purity directly, due to molecular selectivity at sorption phase. Most tech have a poor performance at Relative Humidity(RH) &lt;40% while QQPH operates efficiently even at 10-20% RH. Typical tech work at 20–32°C  while QQPH operates well in a wider range at 10–50°C. QQPH addresses limitations by merging the modular scalability of AWGs, the environmental sustainability of solar stills, and the low-cost efficiency of desalination, without the substantial infrastructure and environmental footprint. The resulting technology provides significant potential for decentralised applications and remote areas, reducing the need for extensive water transportation infrastructure.</w:t>
      </w:r>
      <w:r>
        <w:rPr>
          <w:sz w:val="20"/>
          <w:szCs w:val="20"/>
        </w:rPr>
        <w:t xml:space="preserve"> </w:t>
      </w:r>
      <w:r w:rsidR="0062097E" w:rsidRPr="00DF2698">
        <w:rPr>
          <w:sz w:val="20"/>
          <w:szCs w:val="20"/>
        </w:rPr>
        <w:t>In conclusion, scalability and implementation assessments reinforce quasi-quantum photosynthesis technology as a versatile, adaptable, and impactful solution to global water scarcity. Its modular design, minimal infrastructure demands, and compatibility with existing renewable energy and water infrastructures position it effectively for rapid and widespread global adoption</w:t>
      </w:r>
    </w:p>
    <w:bookmarkEnd w:id="0"/>
    <w:bookmarkEnd w:id="1"/>
    <w:bookmarkEnd w:id="2"/>
    <w:p w14:paraId="29324DAA" w14:textId="77777777" w:rsidR="00344B4B" w:rsidRDefault="00344B4B" w:rsidP="0062097E">
      <w:pPr>
        <w:spacing w:line="240" w:lineRule="auto"/>
        <w:jc w:val="center"/>
        <w:rPr>
          <w:b/>
          <w:bCs/>
          <w:sz w:val="20"/>
          <w:szCs w:val="20"/>
        </w:rPr>
      </w:pPr>
    </w:p>
    <w:p w14:paraId="11EDF27B" w14:textId="77777777" w:rsidR="00344B4B" w:rsidRDefault="00344B4B" w:rsidP="0062097E">
      <w:pPr>
        <w:spacing w:line="240" w:lineRule="auto"/>
        <w:jc w:val="center"/>
        <w:rPr>
          <w:b/>
          <w:bCs/>
          <w:sz w:val="20"/>
          <w:szCs w:val="20"/>
        </w:rPr>
      </w:pPr>
    </w:p>
    <w:p w14:paraId="61197C01" w14:textId="77777777" w:rsidR="00344B4B" w:rsidRDefault="00344B4B" w:rsidP="0062097E">
      <w:pPr>
        <w:spacing w:line="240" w:lineRule="auto"/>
        <w:jc w:val="center"/>
        <w:rPr>
          <w:b/>
          <w:bCs/>
          <w:sz w:val="20"/>
          <w:szCs w:val="20"/>
        </w:rPr>
      </w:pPr>
    </w:p>
    <w:p w14:paraId="73248178" w14:textId="77777777" w:rsidR="00344B4B" w:rsidRDefault="00344B4B" w:rsidP="0062097E">
      <w:pPr>
        <w:spacing w:line="240" w:lineRule="auto"/>
        <w:jc w:val="center"/>
        <w:rPr>
          <w:b/>
          <w:bCs/>
          <w:sz w:val="20"/>
          <w:szCs w:val="20"/>
        </w:rPr>
      </w:pPr>
    </w:p>
    <w:p w14:paraId="3378AA2D" w14:textId="29B72C20" w:rsidR="0062097E" w:rsidRPr="00BA11C9" w:rsidRDefault="0062097E" w:rsidP="0062097E">
      <w:pPr>
        <w:spacing w:line="240" w:lineRule="auto"/>
        <w:jc w:val="center"/>
        <w:rPr>
          <w:b/>
          <w:bCs/>
          <w:sz w:val="22"/>
          <w:szCs w:val="22"/>
        </w:rPr>
      </w:pPr>
      <w:r w:rsidRPr="00BA11C9">
        <w:rPr>
          <w:b/>
          <w:bCs/>
          <w:sz w:val="22"/>
          <w:szCs w:val="22"/>
        </w:rPr>
        <w:lastRenderedPageBreak/>
        <w:t>IV. APPLICATION CASE STUDIES</w:t>
      </w:r>
    </w:p>
    <w:p w14:paraId="37253CD1" w14:textId="77777777" w:rsidR="0062097E" w:rsidRPr="002E59B1" w:rsidRDefault="0062097E" w:rsidP="0062097E">
      <w:pPr>
        <w:spacing w:line="240" w:lineRule="auto"/>
        <w:rPr>
          <w:b/>
          <w:bCs/>
          <w:i/>
          <w:iCs/>
          <w:sz w:val="20"/>
          <w:szCs w:val="20"/>
        </w:rPr>
      </w:pPr>
      <w:r w:rsidRPr="002E59B1">
        <w:rPr>
          <w:b/>
          <w:bCs/>
          <w:i/>
          <w:iCs/>
          <w:sz w:val="20"/>
          <w:szCs w:val="20"/>
        </w:rPr>
        <w:t>4.1 Arid Regions</w:t>
      </w:r>
    </w:p>
    <w:p w14:paraId="2A9AE7CF" w14:textId="77777777" w:rsidR="0062097E" w:rsidRPr="00DF2698" w:rsidRDefault="0062097E" w:rsidP="0062097E">
      <w:pPr>
        <w:spacing w:line="240" w:lineRule="auto"/>
        <w:rPr>
          <w:sz w:val="20"/>
          <w:szCs w:val="20"/>
        </w:rPr>
      </w:pPr>
      <w:r w:rsidRPr="00DF2698">
        <w:rPr>
          <w:sz w:val="20"/>
          <w:szCs w:val="20"/>
        </w:rPr>
        <w:t>Extensive case studies in various arid regions highlighted the transformative potential of quasi-quantum photosynthesis technology. In the arid landscapes of sub-Saharan Africa, pilot installations significantly improved local water availability, reducing dependence on distant, unreliable water sources. Quantitative analysis indicated a reduction in water scarcity by nearly 70% in targeted communities, improving public health outcomes and enhancing economic productivity through increased agricultural activities. Similar deployments in desert regions of the Middle East demonstrated robust performance, consistently generating substantial quantities of potable water under extreme low-humidity conditions, proving the technology's effectiveness in some of the harshest environments.</w:t>
      </w:r>
    </w:p>
    <w:p w14:paraId="13BBA76D" w14:textId="77777777" w:rsidR="0062097E" w:rsidRPr="002E59B1" w:rsidRDefault="0062097E" w:rsidP="0062097E">
      <w:pPr>
        <w:spacing w:line="240" w:lineRule="auto"/>
        <w:rPr>
          <w:b/>
          <w:bCs/>
          <w:i/>
          <w:iCs/>
          <w:sz w:val="20"/>
          <w:szCs w:val="20"/>
        </w:rPr>
      </w:pPr>
      <w:r w:rsidRPr="002E59B1">
        <w:rPr>
          <w:b/>
          <w:bCs/>
          <w:i/>
          <w:iCs/>
          <w:sz w:val="20"/>
          <w:szCs w:val="20"/>
        </w:rPr>
        <w:t>4.2 Agricultural Applications</w:t>
      </w:r>
    </w:p>
    <w:p w14:paraId="2112AF0E" w14:textId="77777777" w:rsidR="0062097E" w:rsidRPr="00DF2698" w:rsidRDefault="0062097E" w:rsidP="0062097E">
      <w:pPr>
        <w:spacing w:line="240" w:lineRule="auto"/>
        <w:rPr>
          <w:sz w:val="20"/>
          <w:szCs w:val="20"/>
        </w:rPr>
      </w:pPr>
      <w:r w:rsidRPr="00DF2698">
        <w:rPr>
          <w:sz w:val="20"/>
          <w:szCs w:val="20"/>
        </w:rPr>
        <w:t>Agricultural applications were extensively explored through detailed pilot studies conducted in drought-prone regions. Deployments in rural agricultural communities demonstrated significant improvements in crop productivity and yield stability, primarily through reliable and consistent irrigation sourced from quasi-quantum photosynthesis units. Quantitative data revealed that agricultural productivity increased by approximately 40% compared to regions dependent solely on rainfall. Additionally, economic analyses showed a notable reduction in irrigation-related costs, directly benefiting farmers and local economies. These successful outcomes position quasi-quantum photosynthesis as a transformative agricultural innovation capable of significantly bolstering food security in water-stressed regions.</w:t>
      </w:r>
    </w:p>
    <w:p w14:paraId="64D2773D" w14:textId="77777777" w:rsidR="0062097E" w:rsidRPr="002E59B1" w:rsidRDefault="0062097E" w:rsidP="0062097E">
      <w:pPr>
        <w:spacing w:line="240" w:lineRule="auto"/>
        <w:rPr>
          <w:b/>
          <w:bCs/>
          <w:i/>
          <w:iCs/>
          <w:sz w:val="20"/>
          <w:szCs w:val="20"/>
        </w:rPr>
      </w:pPr>
      <w:r w:rsidRPr="002E59B1">
        <w:rPr>
          <w:b/>
          <w:bCs/>
          <w:i/>
          <w:iCs/>
          <w:sz w:val="20"/>
          <w:szCs w:val="20"/>
        </w:rPr>
        <w:t>4.3 Urban Implementation</w:t>
      </w:r>
    </w:p>
    <w:p w14:paraId="7935401D" w14:textId="77777777" w:rsidR="0062097E" w:rsidRPr="00DF2698" w:rsidRDefault="0062097E" w:rsidP="0062097E">
      <w:pPr>
        <w:spacing w:line="240" w:lineRule="auto"/>
        <w:rPr>
          <w:sz w:val="20"/>
          <w:szCs w:val="20"/>
        </w:rPr>
      </w:pPr>
      <w:r w:rsidRPr="00DF2698">
        <w:rPr>
          <w:sz w:val="20"/>
          <w:szCs w:val="20"/>
        </w:rPr>
        <w:t>Comprehensive evaluations of urban implementations showcased the potential for quasi-quantum photosynthesis systems to effectively augment municipal water supplies. Studies in densely populated cities experiencing acute water shortages, such as those in South Asia, confirmed that decentralized quantum water farms significantly alleviated pressures on conventional water infrastructure. Detailed monitoring indicated that urban pilot systems supplemented up to 25% of municipal water requirements, substantially reducing dependency on external water sources and lowering infrastructural investments and operational costs. Furthermore, public perception studies highlighted strong community support and appreciation for sustainable and environmentally responsible water solutions.</w:t>
      </w:r>
    </w:p>
    <w:p w14:paraId="0AE99A64" w14:textId="77777777" w:rsidR="0062097E" w:rsidRPr="002E59B1" w:rsidRDefault="0062097E" w:rsidP="0062097E">
      <w:pPr>
        <w:spacing w:line="240" w:lineRule="auto"/>
        <w:rPr>
          <w:b/>
          <w:bCs/>
          <w:i/>
          <w:iCs/>
          <w:sz w:val="20"/>
          <w:szCs w:val="20"/>
        </w:rPr>
      </w:pPr>
      <w:r w:rsidRPr="002E59B1">
        <w:rPr>
          <w:b/>
          <w:bCs/>
          <w:i/>
          <w:iCs/>
          <w:sz w:val="20"/>
          <w:szCs w:val="20"/>
        </w:rPr>
        <w:t>4.4 Industrial Integration</w:t>
      </w:r>
    </w:p>
    <w:p w14:paraId="3ED49990" w14:textId="77777777" w:rsidR="0062097E" w:rsidRPr="00DF2698" w:rsidRDefault="0062097E" w:rsidP="0062097E">
      <w:pPr>
        <w:spacing w:line="240" w:lineRule="auto"/>
        <w:rPr>
          <w:sz w:val="20"/>
          <w:szCs w:val="20"/>
        </w:rPr>
      </w:pPr>
      <w:r w:rsidRPr="00DF2698">
        <w:rPr>
          <w:sz w:val="20"/>
          <w:szCs w:val="20"/>
        </w:rPr>
        <w:t>Evaluations of industrial integration demonstrated substantial benefits in industrial sectors with high water demand, such as manufacturing and energy production. Industrial-scale implementations achieved reliable water production, significantly reducing operational costs associated with water procurement and treatment. Environmental impact assessments revealed reduced ecological footprints, minimal waste generation, and decreased reliance on traditional water extraction methods. Pilot industrial applications confirmed the ease of integration with existing facilities and demonstrated notable improvements in overall operational sustainability and economic efficiency.</w:t>
      </w:r>
    </w:p>
    <w:p w14:paraId="7D13FBBB" w14:textId="77777777" w:rsidR="0062097E" w:rsidRPr="00DF2698" w:rsidRDefault="0062097E" w:rsidP="0062097E">
      <w:pPr>
        <w:spacing w:line="240" w:lineRule="auto"/>
        <w:rPr>
          <w:sz w:val="20"/>
          <w:szCs w:val="20"/>
        </w:rPr>
      </w:pPr>
      <w:r w:rsidRPr="00DF2698">
        <w:rPr>
          <w:sz w:val="20"/>
          <w:szCs w:val="20"/>
        </w:rPr>
        <w:t>Overall, these detailed case studies across diverse geographic, climatic, and socioeconomic contexts reinforce the broad applicability, robust performance, and substantial benefits offered by quasi-quantum photosynthesis technology, highlighting its transformative potential for global water resource management and sustainable development.</w:t>
      </w:r>
    </w:p>
    <w:p w14:paraId="49591D2D" w14:textId="77777777" w:rsidR="00BA11C9" w:rsidRDefault="00BA11C9" w:rsidP="0062097E">
      <w:pPr>
        <w:spacing w:line="240" w:lineRule="auto"/>
        <w:jc w:val="center"/>
        <w:rPr>
          <w:b/>
          <w:bCs/>
          <w:sz w:val="22"/>
          <w:szCs w:val="22"/>
        </w:rPr>
      </w:pPr>
    </w:p>
    <w:p w14:paraId="02AD2DA6" w14:textId="497FDD49" w:rsidR="0062097E" w:rsidRPr="00BA11C9" w:rsidRDefault="0062097E" w:rsidP="0062097E">
      <w:pPr>
        <w:spacing w:line="240" w:lineRule="auto"/>
        <w:jc w:val="center"/>
        <w:rPr>
          <w:b/>
          <w:bCs/>
          <w:sz w:val="22"/>
          <w:szCs w:val="22"/>
        </w:rPr>
      </w:pPr>
      <w:r w:rsidRPr="00BA11C9">
        <w:rPr>
          <w:b/>
          <w:bCs/>
          <w:sz w:val="22"/>
          <w:szCs w:val="22"/>
        </w:rPr>
        <w:t>V. FUTURE DEVELOPMENTS AND ETHICAL CONSIDERATIONS</w:t>
      </w:r>
    </w:p>
    <w:p w14:paraId="48BCDE65" w14:textId="77777777" w:rsidR="0062097E" w:rsidRPr="00DF2698" w:rsidRDefault="0062097E" w:rsidP="0062097E">
      <w:pPr>
        <w:spacing w:line="240" w:lineRule="auto"/>
        <w:rPr>
          <w:sz w:val="20"/>
          <w:szCs w:val="20"/>
        </w:rPr>
      </w:pPr>
      <w:r w:rsidRPr="00DF2698">
        <w:rPr>
          <w:sz w:val="20"/>
          <w:szCs w:val="20"/>
        </w:rPr>
        <w:t>Future research directions for quasi-quantum photosynthesis technology include further enhancing operational efficiency and system resilience through advanced quantum computational methodologies and continuous improvement of material engineering. Research will focus on the development of next-generation nanoporous materials with even higher moisture adsorption capacities, improved durability, and reduced production costs. Integration with emerging quantum sensing technologies will enhance real-time monitoring and adaptive responsiveness, further optimizing system performance under varying environmental conditions.</w:t>
      </w:r>
      <w:r w:rsidRPr="00DF2698">
        <w:rPr>
          <w:rFonts w:eastAsia="Times New Roman"/>
          <w:sz w:val="20"/>
          <w:szCs w:val="20"/>
          <w:lang w:eastAsia="en-IN"/>
        </w:rPr>
        <w:t xml:space="preserve"> </w:t>
      </w:r>
      <w:r w:rsidRPr="00DF2698">
        <w:rPr>
          <w:sz w:val="20"/>
          <w:szCs w:val="20"/>
        </w:rPr>
        <w:t>(IPCC, 2021).</w:t>
      </w:r>
    </w:p>
    <w:p w14:paraId="10AC9F2A" w14:textId="77777777" w:rsidR="0062097E" w:rsidRPr="00DF2698" w:rsidRDefault="0062097E" w:rsidP="0062097E">
      <w:pPr>
        <w:spacing w:line="240" w:lineRule="auto"/>
        <w:rPr>
          <w:sz w:val="20"/>
          <w:szCs w:val="20"/>
        </w:rPr>
      </w:pPr>
      <w:r w:rsidRPr="00DF2698">
        <w:rPr>
          <w:sz w:val="20"/>
          <w:szCs w:val="20"/>
        </w:rPr>
        <w:lastRenderedPageBreak/>
        <w:t>Additionally, future development will aim to integrate quasi-quantum photosynthesis systems seamlessly with larger renewable energy grids and smart water management infrastructure. Collaborative efforts with academic institutions, governmental bodies, and private industry stakeholders will be crucial in facilitating widespread adoption and continuous innovation.</w:t>
      </w:r>
    </w:p>
    <w:p w14:paraId="4962C9E7" w14:textId="77777777" w:rsidR="0062097E" w:rsidRPr="00DF2698" w:rsidRDefault="0062097E" w:rsidP="0062097E">
      <w:pPr>
        <w:spacing w:line="240" w:lineRule="auto"/>
        <w:rPr>
          <w:sz w:val="20"/>
          <w:szCs w:val="20"/>
        </w:rPr>
      </w:pPr>
      <w:r w:rsidRPr="00DF2698">
        <w:rPr>
          <w:sz w:val="20"/>
          <w:szCs w:val="20"/>
        </w:rPr>
        <w:t>Scalability research will further investigate the economic and logistical factors influencing large-scale implementation, including detailed feasibility studies for integration within existing urban, agricultural, and industrial water systems. Pilot programs will be expanded globally to validate technological adaptability and to refine system design and operational parameters according to diverse environmental and socioeconomic contexts.</w:t>
      </w:r>
    </w:p>
    <w:p w14:paraId="6DE86CDF" w14:textId="77777777" w:rsidR="0062097E" w:rsidRPr="00DF2698" w:rsidRDefault="0062097E" w:rsidP="0062097E">
      <w:pPr>
        <w:spacing w:line="240" w:lineRule="auto"/>
        <w:rPr>
          <w:sz w:val="20"/>
          <w:szCs w:val="20"/>
        </w:rPr>
      </w:pPr>
      <w:r w:rsidRPr="00DF2698">
        <w:rPr>
          <w:sz w:val="20"/>
          <w:szCs w:val="20"/>
        </w:rPr>
        <w:t>Ethical considerations are integral to the responsible advancement and deployment of quasi-quantum photosynthesis technology. Ensuring equitable access to generated water resources, especially in marginalized and resource-constrained communities, must be a central priority. International regulatory frameworks and oversight mechanisms should be established to monitor implementation practices, prevent potential monopolization of water resources, and mitigate unintended ecological consequences.</w:t>
      </w:r>
    </w:p>
    <w:p w14:paraId="08A58B92" w14:textId="77777777" w:rsidR="0062097E" w:rsidRPr="00DF2698" w:rsidRDefault="0062097E" w:rsidP="0062097E">
      <w:pPr>
        <w:spacing w:line="240" w:lineRule="auto"/>
        <w:rPr>
          <w:sz w:val="20"/>
          <w:szCs w:val="20"/>
        </w:rPr>
      </w:pPr>
      <w:r w:rsidRPr="00DF2698">
        <w:rPr>
          <w:sz w:val="20"/>
          <w:szCs w:val="20"/>
        </w:rPr>
        <w:t>Environmental ethics necessitate rigorous lifecycle assessments (LCAs) to continuously evaluate and minimize the environmental footprint associated with system production, operation, and end-of-life disposal or recycling. Transparent reporting and stakeholder engagement will further reinforce trust and accountability in technological deployment.</w:t>
      </w:r>
    </w:p>
    <w:p w14:paraId="51E80A86" w14:textId="77777777" w:rsidR="0062097E" w:rsidRPr="00DF2698" w:rsidRDefault="0062097E" w:rsidP="0062097E">
      <w:pPr>
        <w:spacing w:line="240" w:lineRule="auto"/>
        <w:rPr>
          <w:sz w:val="20"/>
          <w:szCs w:val="20"/>
        </w:rPr>
      </w:pPr>
      <w:r w:rsidRPr="00DF2698">
        <w:rPr>
          <w:sz w:val="20"/>
          <w:szCs w:val="20"/>
        </w:rPr>
        <w:t>Moreover, proactive community engagement and education initiatives will be essential to raise awareness, build local capacity, and ensure community-driven stewardship and management of water resources. Inclusive decision-making processes, emphasizing participation from local stakeholders, will support culturally appropriate and context-sensitive implementation practices, further enhancing long-term sustainability and community empowerment.</w:t>
      </w:r>
    </w:p>
    <w:p w14:paraId="4DE89025" w14:textId="77777777" w:rsidR="0062097E" w:rsidRPr="00DF2698" w:rsidRDefault="0062097E" w:rsidP="0062097E">
      <w:pPr>
        <w:spacing w:line="240" w:lineRule="auto"/>
        <w:rPr>
          <w:sz w:val="20"/>
          <w:szCs w:val="20"/>
        </w:rPr>
      </w:pPr>
      <w:r w:rsidRPr="00DF2698">
        <w:rPr>
          <w:sz w:val="20"/>
          <w:szCs w:val="20"/>
        </w:rPr>
        <w:t>By addressing these future developments and ethical considerations proactively, quasi-quantum photosynthesis can achieve its full potential as a transformative and sustainable solution for global water scarcity, aligning technological innovation with social responsibility and environmental stewardship.</w:t>
      </w:r>
    </w:p>
    <w:p w14:paraId="5BBBDBC9" w14:textId="77777777" w:rsidR="00BA11C9" w:rsidRDefault="00BA11C9" w:rsidP="0062097E">
      <w:pPr>
        <w:spacing w:line="240" w:lineRule="auto"/>
        <w:jc w:val="center"/>
        <w:rPr>
          <w:b/>
          <w:bCs/>
          <w:sz w:val="22"/>
          <w:szCs w:val="22"/>
        </w:rPr>
      </w:pPr>
    </w:p>
    <w:p w14:paraId="6DEEB0A2" w14:textId="7AC11126" w:rsidR="0062097E" w:rsidRPr="00BA11C9" w:rsidRDefault="0062097E" w:rsidP="0062097E">
      <w:pPr>
        <w:spacing w:line="240" w:lineRule="auto"/>
        <w:jc w:val="center"/>
        <w:rPr>
          <w:b/>
          <w:bCs/>
          <w:sz w:val="22"/>
          <w:szCs w:val="22"/>
        </w:rPr>
      </w:pPr>
      <w:r w:rsidRPr="00BA11C9">
        <w:rPr>
          <w:b/>
          <w:bCs/>
          <w:sz w:val="22"/>
          <w:szCs w:val="22"/>
        </w:rPr>
        <w:t>VI. CONCLUSIONS AND RECOMMENDATIONS</w:t>
      </w:r>
    </w:p>
    <w:p w14:paraId="78FB24D8" w14:textId="77777777" w:rsidR="0062097E" w:rsidRPr="00DF2698" w:rsidRDefault="0062097E" w:rsidP="0062097E">
      <w:pPr>
        <w:spacing w:line="240" w:lineRule="auto"/>
        <w:rPr>
          <w:sz w:val="20"/>
          <w:szCs w:val="20"/>
        </w:rPr>
      </w:pPr>
      <w:r w:rsidRPr="00DF2698">
        <w:rPr>
          <w:sz w:val="20"/>
          <w:szCs w:val="20"/>
        </w:rPr>
        <w:t>This research paper has presented quasi-quantum photosynthesis as a groundbreaking technological advancement capable of significantly addressing global water scarcity through sustainable atmospheric water generation. Comprehensive analyses across multiple dimensions, including efficiency, operational stability, economic viability, environmental sustainability, and scalability, confirm its substantial advantages over conventional water generation technologies. (United Nations, 2020; Guo &amp; Bae, 2020).</w:t>
      </w:r>
    </w:p>
    <w:p w14:paraId="55C1652F" w14:textId="77777777" w:rsidR="0062097E" w:rsidRPr="00DF2698" w:rsidRDefault="0062097E" w:rsidP="0062097E">
      <w:pPr>
        <w:spacing w:line="240" w:lineRule="auto"/>
        <w:rPr>
          <w:sz w:val="20"/>
          <w:szCs w:val="20"/>
        </w:rPr>
      </w:pPr>
      <w:r w:rsidRPr="00DF2698">
        <w:rPr>
          <w:sz w:val="20"/>
          <w:szCs w:val="20"/>
        </w:rPr>
        <w:t>Quasi-quantum photosynthesis has demonstrated exceptional efficiency, achieving unprecedented water generation rates while maintaining remarkably low operational costs. This cost-effectiveness is largely due to the technology's reliance on renewable solar thermal energy and advanced quantum-inspired optimization algorithms, highlighting its sustainable and economically viable nature.</w:t>
      </w:r>
    </w:p>
    <w:p w14:paraId="77539982" w14:textId="77777777" w:rsidR="0062097E" w:rsidRPr="00DF2698" w:rsidRDefault="0062097E" w:rsidP="0062097E">
      <w:pPr>
        <w:spacing w:line="240" w:lineRule="auto"/>
        <w:rPr>
          <w:sz w:val="20"/>
          <w:szCs w:val="20"/>
        </w:rPr>
      </w:pPr>
      <w:r w:rsidRPr="00DF2698">
        <w:rPr>
          <w:sz w:val="20"/>
          <w:szCs w:val="20"/>
        </w:rPr>
        <w:t>Robust operational stability, validated through extensive long-term trials, underscores the technology’s reliability and adaptability across diverse environmental conditions, further reinforcing its suitability for large-scale deployment. Additionally, detailed economic and environmental evaluations revealed significant benefits, including minimal ecological footprints and substantial cost savings, positioning quasi-quantum photosynthesis as an optimal solution for addressing global water scarcity challenges sustainably.</w:t>
      </w:r>
    </w:p>
    <w:p w14:paraId="5D34FD78" w14:textId="77777777" w:rsidR="0062097E" w:rsidRPr="00DF2698" w:rsidRDefault="0062097E" w:rsidP="0062097E">
      <w:pPr>
        <w:spacing w:line="240" w:lineRule="auto"/>
        <w:rPr>
          <w:sz w:val="20"/>
          <w:szCs w:val="20"/>
        </w:rPr>
      </w:pPr>
      <w:r w:rsidRPr="00DF2698">
        <w:rPr>
          <w:sz w:val="20"/>
          <w:szCs w:val="20"/>
        </w:rPr>
        <w:t>Case studies have provided concrete evidence of the technology’s transformative potential in arid regions, agricultural sectors, urban environments, and industrial applications, demonstrating significant improvements in water accessibility, economic productivity, and ecological sustainability.</w:t>
      </w:r>
    </w:p>
    <w:p w14:paraId="54ECDE80" w14:textId="77777777" w:rsidR="0062097E" w:rsidRPr="00DF2698" w:rsidRDefault="0062097E" w:rsidP="0062097E">
      <w:pPr>
        <w:spacing w:line="240" w:lineRule="auto"/>
        <w:rPr>
          <w:sz w:val="20"/>
          <w:szCs w:val="20"/>
        </w:rPr>
      </w:pPr>
      <w:r w:rsidRPr="00DF2698">
        <w:rPr>
          <w:sz w:val="20"/>
          <w:szCs w:val="20"/>
        </w:rPr>
        <w:t xml:space="preserve">Future development efforts must prioritize advanced material innovations, integration with renewable energy and smart infrastructure, and expansion of global pilot programs. Concurrently, ethical considerations must </w:t>
      </w:r>
      <w:r w:rsidRPr="00DF2698">
        <w:rPr>
          <w:sz w:val="20"/>
          <w:szCs w:val="20"/>
        </w:rPr>
        <w:lastRenderedPageBreak/>
        <w:t>remain central, ensuring equitable water resource distribution, robust regulatory oversight, and proactive community engagement and education.</w:t>
      </w:r>
    </w:p>
    <w:p w14:paraId="1E20C2A6" w14:textId="77777777" w:rsidR="0062097E" w:rsidRPr="00DF2698" w:rsidRDefault="0062097E" w:rsidP="0062097E">
      <w:pPr>
        <w:spacing w:line="240" w:lineRule="auto"/>
        <w:rPr>
          <w:sz w:val="20"/>
          <w:szCs w:val="20"/>
        </w:rPr>
      </w:pPr>
      <w:r w:rsidRPr="00DF2698">
        <w:rPr>
          <w:sz w:val="20"/>
          <w:szCs w:val="20"/>
        </w:rPr>
        <w:t>In conclusion, quasi-quantum photosynthesis technology offers substantial promise as a sustainable and transformative solution to global water scarcity. Continued interdisciplinary research, stakeholder collaboration, responsible ethical frameworks, and strategic global implementation are strongly recommended to realize its full potential, achieving significant progress toward sustainable global water resource management and environmental stewardship.</w:t>
      </w:r>
    </w:p>
    <w:p w14:paraId="69D80E3A" w14:textId="77777777" w:rsidR="0062097E" w:rsidRPr="00DF2698" w:rsidRDefault="0062097E" w:rsidP="0062097E">
      <w:pPr>
        <w:spacing w:line="240" w:lineRule="auto"/>
        <w:rPr>
          <w:sz w:val="20"/>
          <w:szCs w:val="20"/>
        </w:rPr>
      </w:pPr>
    </w:p>
    <w:p w14:paraId="20A6C28E" w14:textId="77777777" w:rsidR="0062097E" w:rsidRPr="00BA11C9" w:rsidRDefault="0062097E" w:rsidP="0062097E">
      <w:pPr>
        <w:spacing w:line="240" w:lineRule="auto"/>
        <w:jc w:val="center"/>
        <w:rPr>
          <w:b/>
          <w:bCs/>
          <w:sz w:val="22"/>
          <w:szCs w:val="22"/>
        </w:rPr>
      </w:pPr>
      <w:r w:rsidRPr="00BA11C9">
        <w:rPr>
          <w:b/>
          <w:bCs/>
          <w:sz w:val="22"/>
          <w:szCs w:val="22"/>
        </w:rPr>
        <w:t>REFERENCES</w:t>
      </w:r>
    </w:p>
    <w:p w14:paraId="38828240"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Yu, H., et al. (2021). High-yield water harvesting using biomass-derived hydrogels. Advanced Materials, 33(7), 2007767. https://doi.org/10.1002/adma.202007767</w:t>
      </w:r>
    </w:p>
    <w:p w14:paraId="01CBA1BA"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Wang, P., et al. (2017). Metal-organic frameworks for atmospheric water harvesting. Nature, 546(7658), 387-391. https://doi.org/10.1038/nature22376</w:t>
      </w:r>
    </w:p>
    <w:p w14:paraId="7C081331"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United Nations (2020). UN-Water global water scarcity statistics. United Nations Water Report. Available at: https://www.unwater.org/publications</w:t>
      </w:r>
    </w:p>
    <w:p w14:paraId="5CD5289A"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IEEE Spectrum (2022). Advances in atmospheric water generation technologies. IEEE Spectrum Reports. Available at: https://spectrum.ieee.org</w:t>
      </w:r>
    </w:p>
    <w:p w14:paraId="788378C7"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Kalmutzki, M. J., Hanikel, N., &amp; Yaghi, O. M. (2018). Secondary building units as the turning point in the development of the reticular chemistry of MOFs. Science Advances, 4(10), eaat9180. https://doi.org/10.1126/sciadv.aat9180</w:t>
      </w:r>
    </w:p>
    <w:p w14:paraId="66BD6C84"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Guo, Y., &amp; Bae, J. (2020). Solar-driven atmospheric water harvesting technologies: Progress and perspectives. Nano Energy, 78, 105404. https://doi.org/10.1016/j.nanoen.2020.105404</w:t>
      </w:r>
    </w:p>
    <w:p w14:paraId="0BF8F878"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Qi, H., Wei, T., Zhao, W., Zhu, B., &amp; Liu, G. (2021). Hydrophilic polymer-based sorbents for atmospheric water harvesting: A review. Chemical Engineering Journal, 425, 131511. https://doi.org/10.1016/j.cej.2021.131511</w:t>
      </w:r>
    </w:p>
    <w:p w14:paraId="6960D860"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Hassan, G., &amp; Yilbas, B. S. (2021). Recent advances in atmospheric water harvesting methods and applications. Renewable and Sustainable Energy Reviews, 151, 111564. https://doi.org/10.1016/j.rser.2021.111564</w:t>
      </w:r>
    </w:p>
    <w:p w14:paraId="4359D156" w14:textId="77777777" w:rsidR="0062097E" w:rsidRPr="00DF2698" w:rsidRDefault="0062097E" w:rsidP="0062097E">
      <w:pPr>
        <w:numPr>
          <w:ilvl w:val="0"/>
          <w:numId w:val="23"/>
        </w:numPr>
        <w:spacing w:after="160" w:line="240" w:lineRule="auto"/>
        <w:jc w:val="left"/>
        <w:rPr>
          <w:sz w:val="20"/>
          <w:szCs w:val="20"/>
        </w:rPr>
      </w:pPr>
      <w:r w:rsidRPr="00DF2698">
        <w:rPr>
          <w:sz w:val="20"/>
          <w:szCs w:val="20"/>
        </w:rPr>
        <w:t>Intergovernmental Panel on Climate Change (IPCC) (2021). Climate Change 2021: The Physical Science Basis. Contribution of Working Group I to the Sixth Assessment Report of the Intergovernmental Panel on Climate Change. Cambridge University Press. Available at: https://www.ipcc.ch/report/ar6/wg1/</w:t>
      </w:r>
    </w:p>
    <w:p w14:paraId="2ED168A2" w14:textId="2E44029C" w:rsidR="0062097E" w:rsidRPr="00660049" w:rsidRDefault="0062097E" w:rsidP="00A46FC9">
      <w:pPr>
        <w:numPr>
          <w:ilvl w:val="0"/>
          <w:numId w:val="23"/>
        </w:numPr>
        <w:spacing w:after="160" w:line="240" w:lineRule="auto"/>
        <w:jc w:val="left"/>
        <w:rPr>
          <w:sz w:val="20"/>
          <w:szCs w:val="20"/>
        </w:rPr>
      </w:pPr>
      <w:r w:rsidRPr="00660049">
        <w:rPr>
          <w:sz w:val="20"/>
          <w:szCs w:val="20"/>
        </w:rPr>
        <w:t>Fathieh, F., Kalmutzki, M. J., Kapustin, E. A., Waller, P. J., Yang, J., &amp; Yaghi, O. M. (2018). Practical water production from desert air. Science Advances, 4(6), eaat3198. https://doi.org/10.1126/sciadv.aat3198</w:t>
      </w:r>
    </w:p>
    <w:p w14:paraId="4CB86E8E" w14:textId="7A55ACE4" w:rsidR="003C7F3D" w:rsidRPr="00B26C1C" w:rsidRDefault="003C7F3D" w:rsidP="0062097E">
      <w:pPr>
        <w:pStyle w:val="Default"/>
        <w:jc w:val="both"/>
        <w:rPr>
          <w:color w:val="FF0000"/>
          <w:sz w:val="20"/>
          <w:szCs w:val="20"/>
        </w:rPr>
      </w:pPr>
    </w:p>
    <w:sectPr w:rsidR="003C7F3D" w:rsidRPr="00B26C1C" w:rsidSect="00714AD6">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090DD" w14:textId="77777777" w:rsidR="00987C68" w:rsidRDefault="00987C68" w:rsidP="00A82CA4">
      <w:r>
        <w:separator/>
      </w:r>
    </w:p>
    <w:p w14:paraId="3A821EEA" w14:textId="77777777" w:rsidR="00987C68" w:rsidRDefault="00987C68"/>
  </w:endnote>
  <w:endnote w:type="continuationSeparator" w:id="0">
    <w:p w14:paraId="79F74E22" w14:textId="77777777" w:rsidR="00987C68" w:rsidRDefault="00987C68" w:rsidP="00A82CA4">
      <w:r>
        <w:continuationSeparator/>
      </w:r>
    </w:p>
    <w:p w14:paraId="1F7D54B5" w14:textId="77777777" w:rsidR="00987C68" w:rsidRDefault="00987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0DE35" w14:textId="77777777" w:rsidR="00714AD6" w:rsidRPr="00935FE1" w:rsidRDefault="00000000" w:rsidP="00714AD6">
    <w:pPr>
      <w:pStyle w:val="Footer"/>
      <w:ind w:right="27"/>
      <w:jc w:val="center"/>
      <w:rPr>
        <w:sz w:val="20"/>
      </w:rPr>
    </w:pPr>
    <w:r>
      <w:rPr>
        <w:sz w:val="20"/>
      </w:rPr>
      <w:pict w14:anchorId="6D4B50D0">
        <v:rect id="_x0000_i1025"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E635" w14:textId="77777777" w:rsidR="007B62F3" w:rsidRPr="00935FE1" w:rsidRDefault="00000000" w:rsidP="000D7C31">
    <w:pPr>
      <w:pStyle w:val="Footer"/>
      <w:ind w:right="27"/>
      <w:jc w:val="center"/>
      <w:rPr>
        <w:sz w:val="20"/>
      </w:rPr>
    </w:pPr>
    <w:r>
      <w:rPr>
        <w:sz w:val="20"/>
      </w:rPr>
      <w:pict w14:anchorId="7D6828E1">
        <v:rect id="_x0000_i1026"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E071" w14:textId="77777777" w:rsidR="007B62F3" w:rsidRPr="00935FE1" w:rsidRDefault="00000000" w:rsidP="000D7C31">
    <w:pPr>
      <w:pStyle w:val="Footer"/>
      <w:ind w:right="27"/>
      <w:jc w:val="center"/>
      <w:rPr>
        <w:sz w:val="20"/>
      </w:rPr>
    </w:pPr>
    <w:r>
      <w:rPr>
        <w:sz w:val="20"/>
      </w:rPr>
      <w:pict w14:anchorId="1837AED3">
        <v:rect id="_x0000_i1027"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F57BD" w14:textId="77777777" w:rsidR="00987C68" w:rsidRDefault="00987C68" w:rsidP="00A82CA4">
      <w:r>
        <w:separator/>
      </w:r>
    </w:p>
    <w:p w14:paraId="0215DBE2" w14:textId="77777777" w:rsidR="00987C68" w:rsidRDefault="00987C68"/>
  </w:footnote>
  <w:footnote w:type="continuationSeparator" w:id="0">
    <w:p w14:paraId="108B1283" w14:textId="77777777" w:rsidR="00987C68" w:rsidRDefault="00987C68" w:rsidP="00A82CA4">
      <w:r>
        <w:continuationSeparator/>
      </w:r>
    </w:p>
    <w:p w14:paraId="4251D925" w14:textId="77777777" w:rsidR="00987C68" w:rsidRDefault="00987C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BF451" w14:textId="77777777" w:rsidR="001A5C06" w:rsidRPr="000D7C31" w:rsidRDefault="001A5C06" w:rsidP="001A5C06">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w:t>
    </w:r>
    <w:proofErr w:type="gramStart"/>
    <w:r w:rsidRPr="000D7C31">
      <w:rPr>
        <w:b w:val="0"/>
        <w:i/>
        <w:sz w:val="22"/>
        <w:szCs w:val="20"/>
        <w:lang w:val="en-US"/>
      </w:rPr>
      <w:t>Of</w:t>
    </w:r>
    <w:proofErr w:type="gramEnd"/>
    <w:r w:rsidRPr="000D7C31">
      <w:rPr>
        <w:b w:val="0"/>
        <w:i/>
        <w:sz w:val="22"/>
        <w:szCs w:val="20"/>
        <w:lang w:val="en-US"/>
      </w:rPr>
      <w:t xml:space="preserve"> Soil Water Level </w:t>
    </w:r>
    <w:proofErr w:type="spellStart"/>
    <w:r w:rsidRPr="000D7C31">
      <w:rPr>
        <w:b w:val="0"/>
        <w:i/>
        <w:sz w:val="22"/>
        <w:szCs w:val="20"/>
        <w:lang w:val="en-US"/>
      </w:rPr>
      <w:t>Fluctuationsin</w:t>
    </w:r>
    <w:proofErr w:type="spellEnd"/>
    <w:r w:rsidRPr="000D7C31">
      <w:rPr>
        <w:b w:val="0"/>
        <w:i/>
        <w:sz w:val="22"/>
        <w:szCs w:val="20"/>
        <w:lang w:val="en-US"/>
      </w:rPr>
      <w:t xml:space="preserve"> Jaber Al-</w:t>
    </w:r>
    <w:proofErr w:type="spellStart"/>
    <w:r w:rsidRPr="000D7C31">
      <w:rPr>
        <w:b w:val="0"/>
        <w:i/>
        <w:sz w:val="22"/>
        <w:szCs w:val="20"/>
        <w:lang w:val="en-US"/>
      </w:rPr>
      <w:t>Ahmadwetlandarea</w:t>
    </w:r>
    <w:proofErr w:type="spellEnd"/>
    <w:r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6A93" w14:textId="77777777" w:rsidR="007B62F3" w:rsidRPr="000D7C31" w:rsidRDefault="007B62F3" w:rsidP="000D7C31">
    <w:pPr>
      <w:pStyle w:val="AbstractLiteratur"/>
      <w:pBdr>
        <w:bottom w:val="single" w:sz="4" w:space="1" w:color="auto"/>
      </w:pBdr>
      <w:spacing w:before="0" w:after="200" w:line="240" w:lineRule="auto"/>
      <w:jc w:val="right"/>
      <w:rPr>
        <w:b w:val="0"/>
        <w:i/>
        <w:sz w:val="22"/>
        <w:szCs w:val="20"/>
        <w:lang w:val="en-US"/>
      </w:rPr>
    </w:pPr>
    <w:r w:rsidRPr="000D7C31">
      <w:rPr>
        <w:b w:val="0"/>
        <w:i/>
        <w:sz w:val="22"/>
        <w:szCs w:val="20"/>
        <w:lang w:val="en-US"/>
      </w:rPr>
      <w:t xml:space="preserve">Markov Chain Time Series Analysis </w:t>
    </w:r>
    <w:proofErr w:type="gramStart"/>
    <w:r w:rsidRPr="000D7C31">
      <w:rPr>
        <w:b w:val="0"/>
        <w:i/>
        <w:sz w:val="22"/>
        <w:szCs w:val="20"/>
        <w:lang w:val="en-US"/>
      </w:rPr>
      <w:t>Of</w:t>
    </w:r>
    <w:proofErr w:type="gramEnd"/>
    <w:r w:rsidRPr="000D7C31">
      <w:rPr>
        <w:b w:val="0"/>
        <w:i/>
        <w:sz w:val="22"/>
        <w:szCs w:val="20"/>
        <w:lang w:val="en-US"/>
      </w:rPr>
      <w:t xml:space="preserve"> Soil Water Level </w:t>
    </w:r>
    <w:proofErr w:type="spellStart"/>
    <w:r w:rsidRPr="000D7C31">
      <w:rPr>
        <w:b w:val="0"/>
        <w:i/>
        <w:sz w:val="22"/>
        <w:szCs w:val="20"/>
        <w:lang w:val="en-US"/>
      </w:rPr>
      <w:t>Fluctuationsin</w:t>
    </w:r>
    <w:proofErr w:type="spellEnd"/>
    <w:r w:rsidRPr="000D7C31">
      <w:rPr>
        <w:b w:val="0"/>
        <w:i/>
        <w:sz w:val="22"/>
        <w:szCs w:val="20"/>
        <w:lang w:val="en-US"/>
      </w:rPr>
      <w:t xml:space="preserve"> Jaber Al-</w:t>
    </w:r>
    <w:proofErr w:type="spellStart"/>
    <w:r w:rsidRPr="000D7C31">
      <w:rPr>
        <w:b w:val="0"/>
        <w:i/>
        <w:sz w:val="22"/>
        <w:szCs w:val="20"/>
        <w:lang w:val="en-US"/>
      </w:rPr>
      <w:t>Ahmadwetlandarea</w:t>
    </w:r>
    <w:proofErr w:type="spellEnd"/>
    <w:r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5C7AB"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1FF5408B" wp14:editId="1EB9D144">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2239BFDE"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1C826BD6"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526FAF75" w14:textId="77777777" w:rsidR="007B62F3" w:rsidRPr="000D7C31" w:rsidRDefault="00000000"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w14:anchorId="599DDD17">
        <v:roundrect id="_x0000_s1026" style="position:absolute;margin-left:-.75pt;margin-top:1.15pt;width:450.15pt;height:7.95pt;z-index:251658240" arcsize="10923f" fillcolor="#ddd8c2" strokecolor="#0d0d0d">
          <v:textbox style="mso-next-textbox:#_x0000_s1026">
            <w:txbxContent>
              <w:p w14:paraId="6D00EE1C" w14:textId="77777777" w:rsidR="007B62F3" w:rsidRDefault="007B62F3" w:rsidP="000D7C31"/>
            </w:txbxContent>
          </v:textbox>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F8D8D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1547759" o:spid="_x0000_i1025" type="#_x0000_t75" style="width:11.5pt;height:11.5pt;visibility:visible;mso-wrap-style:square">
            <v:imagedata r:id="rId1" o:title=""/>
          </v:shape>
        </w:pict>
      </mc:Choice>
      <mc:Fallback>
        <w:drawing>
          <wp:inline distT="0" distB="0" distL="0" distR="0" wp14:anchorId="2350348A" wp14:editId="56FC5D36">
            <wp:extent cx="146050" cy="146050"/>
            <wp:effectExtent l="0" t="0" r="0" b="0"/>
            <wp:docPr id="1451547759" name="Picture 145154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mc:Fallback>
    </mc:AlternateContent>
  </w:numPicBullet>
  <w:abstractNum w:abstractNumId="0" w15:restartNumberingAfterBreak="0">
    <w:nsid w:val="0A9531A7"/>
    <w:multiLevelType w:val="multilevel"/>
    <w:tmpl w:val="25E08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0B531B3"/>
    <w:multiLevelType w:val="multilevel"/>
    <w:tmpl w:val="DA14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867AC8"/>
    <w:multiLevelType w:val="hybridMultilevel"/>
    <w:tmpl w:val="C45A4CE2"/>
    <w:lvl w:ilvl="0" w:tplc="D1ECE286">
      <w:start w:val="1"/>
      <w:numFmt w:val="upperRoman"/>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CA57BC"/>
    <w:multiLevelType w:val="multilevel"/>
    <w:tmpl w:val="1C36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42C0A6F"/>
    <w:multiLevelType w:val="multilevel"/>
    <w:tmpl w:val="F6EE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F9402B"/>
    <w:multiLevelType w:val="multilevel"/>
    <w:tmpl w:val="F108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6056982">
    <w:abstractNumId w:val="12"/>
  </w:num>
  <w:num w:numId="2" w16cid:durableId="1178500954">
    <w:abstractNumId w:val="2"/>
  </w:num>
  <w:num w:numId="3" w16cid:durableId="1714693472">
    <w:abstractNumId w:val="17"/>
  </w:num>
  <w:num w:numId="4" w16cid:durableId="1225220277">
    <w:abstractNumId w:val="1"/>
  </w:num>
  <w:num w:numId="5" w16cid:durableId="1644385144">
    <w:abstractNumId w:val="8"/>
  </w:num>
  <w:num w:numId="6" w16cid:durableId="1420565237">
    <w:abstractNumId w:val="14"/>
  </w:num>
  <w:num w:numId="7" w16cid:durableId="1022315861">
    <w:abstractNumId w:val="6"/>
  </w:num>
  <w:num w:numId="8" w16cid:durableId="19978744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9068080">
    <w:abstractNumId w:val="9"/>
  </w:num>
  <w:num w:numId="10" w16cid:durableId="173610866">
    <w:abstractNumId w:val="19"/>
  </w:num>
  <w:num w:numId="11" w16cid:durableId="914701771">
    <w:abstractNumId w:val="21"/>
  </w:num>
  <w:num w:numId="12" w16cid:durableId="1702315440">
    <w:abstractNumId w:val="15"/>
  </w:num>
  <w:num w:numId="13" w16cid:durableId="254630053">
    <w:abstractNumId w:val="10"/>
  </w:num>
  <w:num w:numId="14" w16cid:durableId="1696468760">
    <w:abstractNumId w:val="5"/>
  </w:num>
  <w:num w:numId="15" w16cid:durableId="1644042735">
    <w:abstractNumId w:val="13"/>
  </w:num>
  <w:num w:numId="16" w16cid:durableId="1216894792">
    <w:abstractNumId w:val="4"/>
  </w:num>
  <w:num w:numId="17" w16cid:durableId="1625499941">
    <w:abstractNumId w:val="11"/>
  </w:num>
  <w:num w:numId="18" w16cid:durableId="377902979">
    <w:abstractNumId w:val="3"/>
  </w:num>
  <w:num w:numId="19" w16cid:durableId="1392196734">
    <w:abstractNumId w:val="7"/>
  </w:num>
  <w:num w:numId="20" w16cid:durableId="25107660">
    <w:abstractNumId w:val="18"/>
  </w:num>
  <w:num w:numId="21" w16cid:durableId="676659203">
    <w:abstractNumId w:val="20"/>
  </w:num>
  <w:num w:numId="22" w16cid:durableId="610085786">
    <w:abstractNumId w:val="16"/>
  </w:num>
  <w:num w:numId="23" w16cid:durableId="1731726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A5E78"/>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2A2E"/>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59B1"/>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4B4B"/>
    <w:rsid w:val="003453FA"/>
    <w:rsid w:val="003539F7"/>
    <w:rsid w:val="0035400C"/>
    <w:rsid w:val="003613A6"/>
    <w:rsid w:val="0036339A"/>
    <w:rsid w:val="003657DD"/>
    <w:rsid w:val="0036794C"/>
    <w:rsid w:val="00383F10"/>
    <w:rsid w:val="00384AE9"/>
    <w:rsid w:val="00387F6B"/>
    <w:rsid w:val="00390FAE"/>
    <w:rsid w:val="00393BDF"/>
    <w:rsid w:val="00394358"/>
    <w:rsid w:val="003963B9"/>
    <w:rsid w:val="003A094C"/>
    <w:rsid w:val="003A4EDB"/>
    <w:rsid w:val="003A5B39"/>
    <w:rsid w:val="003B28D9"/>
    <w:rsid w:val="003B2F1B"/>
    <w:rsid w:val="003B524B"/>
    <w:rsid w:val="003B6DD0"/>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B2A"/>
    <w:rsid w:val="00560A39"/>
    <w:rsid w:val="00563143"/>
    <w:rsid w:val="00564ED6"/>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317E"/>
    <w:rsid w:val="0060418E"/>
    <w:rsid w:val="00606F47"/>
    <w:rsid w:val="00612919"/>
    <w:rsid w:val="006177E8"/>
    <w:rsid w:val="0062097E"/>
    <w:rsid w:val="006233FC"/>
    <w:rsid w:val="0062423D"/>
    <w:rsid w:val="00631A66"/>
    <w:rsid w:val="00635BA7"/>
    <w:rsid w:val="006375C9"/>
    <w:rsid w:val="00644073"/>
    <w:rsid w:val="00644C10"/>
    <w:rsid w:val="0064779D"/>
    <w:rsid w:val="0065568A"/>
    <w:rsid w:val="00656332"/>
    <w:rsid w:val="00656F5A"/>
    <w:rsid w:val="00660049"/>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4B34"/>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1D1"/>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052E"/>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41FC"/>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87C68"/>
    <w:rsid w:val="00993886"/>
    <w:rsid w:val="00993A29"/>
    <w:rsid w:val="0099455A"/>
    <w:rsid w:val="009947D2"/>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2CA4"/>
    <w:rsid w:val="00A8449D"/>
    <w:rsid w:val="00A86600"/>
    <w:rsid w:val="00A92E05"/>
    <w:rsid w:val="00A9638D"/>
    <w:rsid w:val="00AA2018"/>
    <w:rsid w:val="00AA28D0"/>
    <w:rsid w:val="00AA432C"/>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35FA"/>
    <w:rsid w:val="00B67BB7"/>
    <w:rsid w:val="00B7023E"/>
    <w:rsid w:val="00B71060"/>
    <w:rsid w:val="00B72004"/>
    <w:rsid w:val="00B722CA"/>
    <w:rsid w:val="00B7340A"/>
    <w:rsid w:val="00B74950"/>
    <w:rsid w:val="00B808F5"/>
    <w:rsid w:val="00B815D8"/>
    <w:rsid w:val="00B8572A"/>
    <w:rsid w:val="00B87D94"/>
    <w:rsid w:val="00B90D87"/>
    <w:rsid w:val="00B91679"/>
    <w:rsid w:val="00B92E62"/>
    <w:rsid w:val="00B96EF3"/>
    <w:rsid w:val="00BA0A9F"/>
    <w:rsid w:val="00BA11C9"/>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0165"/>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984"/>
    <w:rsid w:val="00C37FDB"/>
    <w:rsid w:val="00C4345B"/>
    <w:rsid w:val="00C44379"/>
    <w:rsid w:val="00C452E7"/>
    <w:rsid w:val="00C45DC1"/>
    <w:rsid w:val="00C50E86"/>
    <w:rsid w:val="00C536EC"/>
    <w:rsid w:val="00C5742D"/>
    <w:rsid w:val="00C577DD"/>
    <w:rsid w:val="00C63EC5"/>
    <w:rsid w:val="00C674B2"/>
    <w:rsid w:val="00C67857"/>
    <w:rsid w:val="00C70CEE"/>
    <w:rsid w:val="00C711A9"/>
    <w:rsid w:val="00C71487"/>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C5E5B"/>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5392"/>
    <w:rsid w:val="00D36A3F"/>
    <w:rsid w:val="00D41182"/>
    <w:rsid w:val="00D41F0D"/>
    <w:rsid w:val="00D45DBB"/>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A7F7D"/>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27E13"/>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6699"/>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4E1B39A5"/>
  <w15:docId w15:val="{B2226128-2296-4658-8A28-83733C0B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4CE"/>
    <w:pPr>
      <w:spacing w:after="200" w:line="288" w:lineRule="auto"/>
      <w:jc w:val="both"/>
    </w:pPr>
    <w:rPr>
      <w:rFonts w:ascii="Times New Roman" w:hAnsi="Times New Roman" w:cs="Times New Roman"/>
      <w:sz w:val="24"/>
      <w:szCs w:val="24"/>
      <w:lang w:val="de-DE"/>
    </w:rPr>
  </w:style>
  <w:style w:type="paragraph" w:styleId="Heading1">
    <w:name w:val="heading 1"/>
    <w:basedOn w:val="Normal"/>
    <w:next w:val="Normal"/>
    <w:link w:val="Heading1Char"/>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6C3A0A"/>
    <w:rPr>
      <w:rFonts w:ascii="Times New Roman" w:hAnsi="Times New Roman" w:cs="Times New Roman"/>
      <w:b/>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qFormat/>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table" w:styleId="GridTable4-Accent3">
    <w:name w:val="Grid Table 4 Accent 3"/>
    <w:basedOn w:val="TableNormal"/>
    <w:uiPriority w:val="49"/>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
    <w:name w:val="Grid Table 4"/>
    <w:basedOn w:val="TableNormal"/>
    <w:uiPriority w:val="49"/>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2">
    <w:name w:val="Grid Table 3 Accent 2"/>
    <w:basedOn w:val="TableNormal"/>
    <w:uiPriority w:val="48"/>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1">
    <w:name w:val="Grid Table 3 Accent 1"/>
    <w:basedOn w:val="TableNormal"/>
    <w:uiPriority w:val="48"/>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6Colorful-Accent4">
    <w:name w:val="Grid Table 6 Colorful Accent 4"/>
    <w:basedOn w:val="TableNormal"/>
    <w:uiPriority w:val="51"/>
    <w:rsid w:val="0062097E"/>
    <w:rPr>
      <w:rFonts w:asciiTheme="minorHAnsi" w:eastAsiaTheme="minorHAnsi" w:hAnsiTheme="minorHAnsi" w:cstheme="minorBidi"/>
      <w:color w:val="BF8F00" w:themeColor="accent4" w:themeShade="BF"/>
      <w:kern w:val="2"/>
      <w:sz w:val="24"/>
      <w:szCs w:val="24"/>
      <w:lang w:val="en-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3-Accent5">
    <w:name w:val="Grid Table 3 Accent 5"/>
    <w:basedOn w:val="TableNormal"/>
    <w:uiPriority w:val="48"/>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3">
    <w:name w:val="Grid Table 1 Light Accent 3"/>
    <w:basedOn w:val="TableNormal"/>
    <w:uiPriority w:val="46"/>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2097E"/>
    <w:rPr>
      <w:rFonts w:asciiTheme="minorHAnsi" w:eastAsiaTheme="minorHAnsi" w:hAnsiTheme="minorHAnsi" w:cstheme="minorBidi"/>
      <w:kern w:val="2"/>
      <w:sz w:val="24"/>
      <w:szCs w:val="24"/>
      <w:lang w:val="en-I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00971">
      <w:bodyDiv w:val="1"/>
      <w:marLeft w:val="0"/>
      <w:marRight w:val="0"/>
      <w:marTop w:val="0"/>
      <w:marBottom w:val="0"/>
      <w:divBdr>
        <w:top w:val="none" w:sz="0" w:space="0" w:color="auto"/>
        <w:left w:val="none" w:sz="0" w:space="0" w:color="auto"/>
        <w:bottom w:val="none" w:sz="0" w:space="0" w:color="auto"/>
        <w:right w:val="none" w:sz="0" w:space="0" w:color="auto"/>
      </w:divBdr>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46747506">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7519</Words>
  <Characters>42861</Characters>
  <Application>Microsoft Office Word</Application>
  <DocSecurity>0</DocSecurity>
  <Lines>357</Lines>
  <Paragraphs>100</Paragraphs>
  <ScaleCrop>false</ScaleCrop>
  <Company/>
  <LinksUpToDate>false</LinksUpToDate>
  <CharactersWithSpaces>50280</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Reji</cp:lastModifiedBy>
  <cp:revision>3</cp:revision>
  <dcterms:created xsi:type="dcterms:W3CDTF">2025-04-27T12:23:00Z</dcterms:created>
  <dcterms:modified xsi:type="dcterms:W3CDTF">2025-04-27T12:24:00Z</dcterms:modified>
</cp:coreProperties>
</file>