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3.xml" ContentType="application/vnd.ms-office.chartex+xml"/>
  <Override PartName="/word/charts/style7.xml" ContentType="application/vnd.ms-office.chartstyle+xml"/>
  <Override PartName="/word/charts/colors7.xml" ContentType="application/vnd.ms-office.chartcolorstyle+xml"/>
  <Override PartName="/word/charts/chart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Ex4.xml" ContentType="application/vnd.ms-office.chartex+xml"/>
  <Override PartName="/word/charts/style9.xml" ContentType="application/vnd.ms-office.chartstyle+xml"/>
  <Override PartName="/word/charts/colors9.xml" ContentType="application/vnd.ms-office.chartcolorstyle+xml"/>
  <Override PartName="/word/charts/chart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Ex5.xml" ContentType="application/vnd.ms-office.chartex+xml"/>
  <Override PartName="/word/charts/style11.xml" ContentType="application/vnd.ms-office.chartstyle+xml"/>
  <Override PartName="/word/charts/colors11.xml" ContentType="application/vnd.ms-office.chartcolorstyle+xml"/>
  <Override PartName="/word/charts/chart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Ex6.xml" ContentType="application/vnd.ms-office.chartex+xml"/>
  <Override PartName="/word/charts/style13.xml" ContentType="application/vnd.ms-office.chartstyle+xml"/>
  <Override PartName="/word/charts/colors13.xml" ContentType="application/vnd.ms-office.chartcolorstyle+xml"/>
  <Override PartName="/word/charts/chart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Ex7.xml" ContentType="application/vnd.ms-office.chartex+xml"/>
  <Override PartName="/word/charts/style15.xml" ContentType="application/vnd.ms-office.chartstyle+xml"/>
  <Override PartName="/word/charts/colors15.xml" ContentType="application/vnd.ms-office.chartcolorstyle+xml"/>
  <Override PartName="/word/charts/chart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Ex8.xml" ContentType="application/vnd.ms-office.chartex+xml"/>
  <Override PartName="/word/charts/style17.xml" ContentType="application/vnd.ms-office.chartstyle+xml"/>
  <Override PartName="/word/charts/colors17.xml" ContentType="application/vnd.ms-office.chartcolorstyle+xml"/>
  <Override PartName="/word/charts/chart1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Ex9.xml" ContentType="application/vnd.ms-office.chartex+xml"/>
  <Override PartName="/word/charts/style19.xml" ContentType="application/vnd.ms-office.chartstyle+xml"/>
  <Override PartName="/word/charts/colors19.xml" ContentType="application/vnd.ms-office.chartcolorstyle+xml"/>
  <Override PartName="/word/charts/chart1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13.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8A428" w14:textId="65A05906" w:rsidR="00495817" w:rsidRDefault="00052C54" w:rsidP="00052C54">
      <w:pPr>
        <w:pStyle w:val="Title"/>
        <w:jc w:val="center"/>
        <w:rPr>
          <w:rFonts w:ascii="Cambria" w:eastAsia="Times New Roman" w:hAnsi="Cambria" w:cs="Times New Roman"/>
          <w:b/>
          <w:spacing w:val="0"/>
          <w:kern w:val="0"/>
          <w:sz w:val="24"/>
          <w:szCs w:val="24"/>
          <w:lang w:val="en-GB" w:eastAsia="en-GB"/>
          <w14:ligatures w14:val="none"/>
        </w:rPr>
      </w:pPr>
      <w:bookmarkStart w:id="0" w:name="_Hlk183293197"/>
      <w:r w:rsidRPr="005E16B4">
        <w:rPr>
          <w:rFonts w:ascii="Cambria" w:eastAsia="Times New Roman" w:hAnsi="Cambria" w:cs="Times New Roman"/>
          <w:b/>
          <w:spacing w:val="0"/>
          <w:kern w:val="0"/>
          <w:sz w:val="24"/>
          <w:szCs w:val="24"/>
          <w:lang w:val="en-GB" w:eastAsia="en-GB"/>
          <w14:ligatures w14:val="none"/>
        </w:rPr>
        <w:t xml:space="preserve">ASSESSMENT EVAPOTRANSPIRATION </w:t>
      </w:r>
      <w:r w:rsidR="00FB6356">
        <w:rPr>
          <w:rFonts w:ascii="Cambria" w:eastAsia="Times New Roman" w:hAnsi="Cambria" w:cs="Times New Roman"/>
          <w:b/>
          <w:spacing w:val="0"/>
          <w:kern w:val="0"/>
          <w:sz w:val="24"/>
          <w:szCs w:val="24"/>
          <w:lang w:val="en-GB" w:eastAsia="en-GB"/>
          <w14:ligatures w14:val="none"/>
        </w:rPr>
        <w:t>REMOTELY</w:t>
      </w:r>
      <w:r w:rsidRPr="005E16B4">
        <w:rPr>
          <w:rFonts w:ascii="Cambria" w:eastAsia="Times New Roman" w:hAnsi="Cambria" w:cs="Times New Roman"/>
          <w:b/>
          <w:spacing w:val="0"/>
          <w:kern w:val="0"/>
          <w:sz w:val="24"/>
          <w:szCs w:val="24"/>
          <w:lang w:val="en-GB" w:eastAsia="en-GB"/>
          <w14:ligatures w14:val="none"/>
        </w:rPr>
        <w:t xml:space="preserve"> SENS</w:t>
      </w:r>
      <w:r w:rsidR="00495817">
        <w:rPr>
          <w:rFonts w:ascii="Cambria" w:eastAsia="Times New Roman" w:hAnsi="Cambria" w:cs="Times New Roman"/>
          <w:b/>
          <w:spacing w:val="0"/>
          <w:kern w:val="0"/>
          <w:sz w:val="24"/>
          <w:szCs w:val="24"/>
          <w:lang w:val="en-GB" w:eastAsia="en-GB"/>
          <w14:ligatures w14:val="none"/>
        </w:rPr>
        <w:t>ED</w:t>
      </w:r>
      <w:r w:rsidRPr="005E16B4">
        <w:rPr>
          <w:rFonts w:ascii="Cambria" w:eastAsia="Times New Roman" w:hAnsi="Cambria" w:cs="Times New Roman"/>
          <w:b/>
          <w:spacing w:val="0"/>
          <w:kern w:val="0"/>
          <w:sz w:val="24"/>
          <w:szCs w:val="24"/>
          <w:lang w:val="en-GB" w:eastAsia="en-GB"/>
          <w14:ligatures w14:val="none"/>
        </w:rPr>
        <w:t xml:space="preserve"> </w:t>
      </w:r>
      <w:r w:rsidR="00495817">
        <w:rPr>
          <w:rFonts w:ascii="Cambria" w:eastAsia="Times New Roman" w:hAnsi="Cambria" w:cs="Times New Roman"/>
          <w:b/>
          <w:spacing w:val="0"/>
          <w:kern w:val="0"/>
          <w:sz w:val="24"/>
          <w:szCs w:val="24"/>
          <w:lang w:val="en-GB" w:eastAsia="en-GB"/>
          <w14:ligatures w14:val="none"/>
        </w:rPr>
        <w:t>DATA</w:t>
      </w:r>
      <w:r w:rsidRPr="005E16B4">
        <w:rPr>
          <w:rFonts w:ascii="Cambria" w:eastAsia="Times New Roman" w:hAnsi="Cambria" w:cs="Times New Roman"/>
          <w:b/>
          <w:spacing w:val="0"/>
          <w:kern w:val="0"/>
          <w:sz w:val="24"/>
          <w:szCs w:val="24"/>
          <w:lang w:val="en-GB" w:eastAsia="en-GB"/>
          <w14:ligatures w14:val="none"/>
        </w:rPr>
        <w:t>:</w:t>
      </w:r>
    </w:p>
    <w:p w14:paraId="4B6CA9E8" w14:textId="2076BE8B" w:rsidR="00C74967" w:rsidRDefault="00052C54" w:rsidP="00052C54">
      <w:pPr>
        <w:pStyle w:val="Title"/>
        <w:jc w:val="center"/>
        <w:rPr>
          <w:rFonts w:ascii="Cambria" w:eastAsia="Times New Roman" w:hAnsi="Cambria" w:cs="Times New Roman"/>
          <w:b/>
          <w:spacing w:val="0"/>
          <w:kern w:val="0"/>
          <w:sz w:val="24"/>
          <w:szCs w:val="24"/>
          <w:lang w:val="en-GB" w:eastAsia="en-GB"/>
          <w14:ligatures w14:val="none"/>
        </w:rPr>
      </w:pPr>
      <w:r w:rsidRPr="005E16B4">
        <w:rPr>
          <w:rFonts w:ascii="Cambria" w:eastAsia="Times New Roman" w:hAnsi="Cambria" w:cs="Times New Roman"/>
          <w:b/>
          <w:spacing w:val="0"/>
          <w:kern w:val="0"/>
          <w:sz w:val="24"/>
          <w:szCs w:val="24"/>
          <w:lang w:val="en-GB" w:eastAsia="en-GB"/>
          <w14:ligatures w14:val="none"/>
        </w:rPr>
        <w:t xml:space="preserve"> CASE STUDY </w:t>
      </w:r>
      <w:r w:rsidR="00B37C0C" w:rsidRPr="005E16B4">
        <w:rPr>
          <w:rFonts w:ascii="Cambria" w:eastAsia="Times New Roman" w:hAnsi="Cambria" w:cs="Times New Roman"/>
          <w:b/>
          <w:spacing w:val="0"/>
          <w:kern w:val="0"/>
          <w:sz w:val="24"/>
          <w:szCs w:val="24"/>
          <w:lang w:val="en-GB" w:eastAsia="en-GB"/>
          <w14:ligatures w14:val="none"/>
        </w:rPr>
        <w:t xml:space="preserve">– SAKHA </w:t>
      </w:r>
      <w:r w:rsidR="00637C88">
        <w:rPr>
          <w:rFonts w:ascii="Cambria" w:eastAsia="Times New Roman" w:hAnsi="Cambria" w:cs="Times New Roman"/>
          <w:b/>
          <w:spacing w:val="0"/>
          <w:kern w:val="0"/>
          <w:sz w:val="24"/>
          <w:szCs w:val="24"/>
          <w:lang w:val="en-GB" w:eastAsia="en-GB"/>
          <w14:ligatures w14:val="none"/>
        </w:rPr>
        <w:t>–</w:t>
      </w:r>
      <w:r w:rsidR="00B37C0C" w:rsidRPr="005E16B4">
        <w:rPr>
          <w:rFonts w:ascii="Cambria" w:eastAsia="Times New Roman" w:hAnsi="Cambria" w:cs="Times New Roman"/>
          <w:b/>
          <w:spacing w:val="0"/>
          <w:kern w:val="0"/>
          <w:sz w:val="24"/>
          <w:szCs w:val="24"/>
          <w:lang w:val="en-GB" w:eastAsia="en-GB"/>
          <w14:ligatures w14:val="none"/>
        </w:rPr>
        <w:t xml:space="preserve"> </w:t>
      </w:r>
      <w:r w:rsidRPr="005E16B4">
        <w:rPr>
          <w:rFonts w:ascii="Cambria" w:eastAsia="Times New Roman" w:hAnsi="Cambria" w:cs="Times New Roman"/>
          <w:b/>
          <w:spacing w:val="0"/>
          <w:kern w:val="0"/>
          <w:sz w:val="24"/>
          <w:szCs w:val="24"/>
          <w:lang w:val="en-GB" w:eastAsia="en-GB"/>
          <w14:ligatures w14:val="none"/>
        </w:rPr>
        <w:t>EGYPT</w:t>
      </w:r>
    </w:p>
    <w:p w14:paraId="1B17BB9C" w14:textId="529A00C9" w:rsidR="00637C88" w:rsidRPr="00150EF6" w:rsidRDefault="00637C88" w:rsidP="00637C88">
      <w:pPr>
        <w:spacing w:after="0" w:line="240" w:lineRule="auto"/>
        <w:rPr>
          <w:rFonts w:ascii="Cambria" w:hAnsi="Cambria"/>
          <w:sz w:val="20"/>
          <w:szCs w:val="20"/>
          <w:lang w:val="en-GB" w:eastAsia="en-GB"/>
        </w:rPr>
      </w:pPr>
      <w:r w:rsidRPr="00150EF6">
        <w:rPr>
          <w:rFonts w:ascii="Cambria" w:hAnsi="Cambria"/>
          <w:sz w:val="20"/>
          <w:szCs w:val="20"/>
          <w:lang w:val="en-GB" w:eastAsia="en-GB"/>
        </w:rPr>
        <w:t xml:space="preserve">Naglaa </w:t>
      </w:r>
      <w:proofErr w:type="spellStart"/>
      <w:proofErr w:type="gramStart"/>
      <w:r>
        <w:rPr>
          <w:rFonts w:ascii="Cambria" w:hAnsi="Cambria"/>
          <w:sz w:val="20"/>
          <w:szCs w:val="20"/>
          <w:lang w:val="en-GB" w:eastAsia="en-GB"/>
        </w:rPr>
        <w:t>Elb</w:t>
      </w:r>
      <w:r w:rsidRPr="00150EF6">
        <w:rPr>
          <w:rFonts w:ascii="Cambria" w:hAnsi="Cambria"/>
          <w:sz w:val="20"/>
          <w:szCs w:val="20"/>
          <w:lang w:val="en-GB" w:eastAsia="en-GB"/>
        </w:rPr>
        <w:t>endar</w:t>
      </w:r>
      <w:r>
        <w:rPr>
          <w:rFonts w:ascii="Cambria" w:hAnsi="Cambria"/>
          <w:sz w:val="20"/>
          <w:szCs w:val="20"/>
          <w:lang w:val="en-GB" w:eastAsia="en-GB"/>
        </w:rPr>
        <w:t>y</w:t>
      </w:r>
      <w:proofErr w:type="spellEnd"/>
      <w:r w:rsidRPr="00150EF6">
        <w:rPr>
          <w:rFonts w:ascii="Cambria" w:hAnsi="Cambria"/>
          <w:sz w:val="20"/>
          <w:szCs w:val="20"/>
          <w:vertAlign w:val="superscript"/>
          <w:lang w:val="en-GB" w:eastAsia="en-GB"/>
        </w:rPr>
        <w:t>(</w:t>
      </w:r>
      <w:proofErr w:type="gramEnd"/>
      <w:r w:rsidRPr="00150EF6">
        <w:rPr>
          <w:rFonts w:ascii="Cambria" w:hAnsi="Cambria"/>
          <w:sz w:val="20"/>
          <w:szCs w:val="20"/>
          <w:vertAlign w:val="superscript"/>
          <w:lang w:val="en-GB" w:eastAsia="en-GB"/>
        </w:rPr>
        <w:t>1)</w:t>
      </w:r>
      <w:r w:rsidRPr="00150EF6">
        <w:rPr>
          <w:rFonts w:ascii="Cambria" w:hAnsi="Cambria"/>
          <w:sz w:val="20"/>
          <w:szCs w:val="20"/>
          <w:lang w:val="en-GB" w:eastAsia="en-GB"/>
        </w:rPr>
        <w:t xml:space="preserve">, </w:t>
      </w:r>
      <w:proofErr w:type="spellStart"/>
      <w:r w:rsidRPr="00150EF6">
        <w:rPr>
          <w:rFonts w:ascii="Cambria" w:hAnsi="Cambria"/>
          <w:sz w:val="20"/>
          <w:szCs w:val="20"/>
          <w:lang w:val="en-GB" w:eastAsia="en-GB"/>
        </w:rPr>
        <w:t>Asharaf</w:t>
      </w:r>
      <w:proofErr w:type="spellEnd"/>
      <w:r w:rsidRPr="00150EF6">
        <w:rPr>
          <w:rFonts w:ascii="Cambria" w:hAnsi="Cambria"/>
          <w:sz w:val="20"/>
          <w:szCs w:val="20"/>
          <w:lang w:val="en-GB" w:eastAsia="en-GB"/>
        </w:rPr>
        <w:t xml:space="preserve"> M. </w:t>
      </w:r>
      <w:proofErr w:type="spellStart"/>
      <w:r w:rsidRPr="00150EF6">
        <w:rPr>
          <w:rFonts w:ascii="Cambria" w:hAnsi="Cambria"/>
          <w:sz w:val="20"/>
          <w:szCs w:val="20"/>
          <w:lang w:val="en-GB" w:eastAsia="en-GB"/>
        </w:rPr>
        <w:t>Almoustafa</w:t>
      </w:r>
      <w:proofErr w:type="spellEnd"/>
      <w:r w:rsidRPr="00150EF6">
        <w:rPr>
          <w:rFonts w:ascii="Cambria" w:hAnsi="Cambria"/>
          <w:sz w:val="20"/>
          <w:szCs w:val="20"/>
          <w:vertAlign w:val="superscript"/>
          <w:lang w:val="en-GB" w:eastAsia="en-GB"/>
        </w:rPr>
        <w:t>(2)</w:t>
      </w:r>
      <w:r w:rsidRPr="00150EF6">
        <w:rPr>
          <w:rFonts w:ascii="Cambria" w:hAnsi="Cambria"/>
          <w:sz w:val="20"/>
          <w:szCs w:val="20"/>
          <w:lang w:val="en-GB" w:eastAsia="en-GB"/>
        </w:rPr>
        <w:t>, Sami A. Mohamed</w:t>
      </w:r>
      <w:r w:rsidRPr="00150EF6">
        <w:rPr>
          <w:rFonts w:ascii="Cambria" w:hAnsi="Cambria"/>
          <w:sz w:val="20"/>
          <w:szCs w:val="20"/>
          <w:vertAlign w:val="superscript"/>
          <w:lang w:val="en-GB" w:eastAsia="en-GB"/>
        </w:rPr>
        <w:t>(2)</w:t>
      </w:r>
      <w:r w:rsidRPr="00150EF6">
        <w:rPr>
          <w:rFonts w:ascii="Cambria" w:hAnsi="Cambria"/>
          <w:sz w:val="20"/>
          <w:szCs w:val="20"/>
          <w:lang w:val="en-GB" w:eastAsia="en-GB"/>
        </w:rPr>
        <w:t xml:space="preserve">, </w:t>
      </w:r>
      <w:proofErr w:type="spellStart"/>
      <w:r w:rsidRPr="00150EF6">
        <w:rPr>
          <w:rFonts w:ascii="Cambria" w:hAnsi="Cambria"/>
          <w:sz w:val="20"/>
          <w:szCs w:val="20"/>
          <w:lang w:val="en-GB" w:eastAsia="en-GB"/>
        </w:rPr>
        <w:t>Sherin</w:t>
      </w:r>
      <w:proofErr w:type="spellEnd"/>
      <w:r w:rsidRPr="00150EF6">
        <w:rPr>
          <w:rFonts w:ascii="Cambria" w:hAnsi="Cambria"/>
          <w:sz w:val="20"/>
          <w:szCs w:val="20"/>
          <w:lang w:val="en-GB" w:eastAsia="en-GB"/>
        </w:rPr>
        <w:t xml:space="preserve"> A Zahran</w:t>
      </w:r>
      <w:r w:rsidRPr="00150EF6">
        <w:rPr>
          <w:rFonts w:ascii="Cambria" w:hAnsi="Cambria"/>
          <w:sz w:val="20"/>
          <w:szCs w:val="20"/>
          <w:vertAlign w:val="superscript"/>
          <w:lang w:val="en-GB" w:eastAsia="en-GB"/>
        </w:rPr>
        <w:t>(3)</w:t>
      </w:r>
    </w:p>
    <w:p w14:paraId="78850132" w14:textId="77777777" w:rsidR="00637C88" w:rsidRPr="004A4E09" w:rsidRDefault="00637C88" w:rsidP="00637C88">
      <w:pPr>
        <w:spacing w:after="0" w:line="240" w:lineRule="auto"/>
        <w:rPr>
          <w:rFonts w:ascii="Cambria" w:hAnsi="Cambria"/>
          <w:i/>
          <w:iCs/>
          <w:sz w:val="18"/>
          <w:szCs w:val="18"/>
          <w:lang w:val="en-GB" w:eastAsia="en-GB"/>
        </w:rPr>
      </w:pPr>
      <w:r w:rsidRPr="004A4E09">
        <w:rPr>
          <w:rFonts w:ascii="Cambria" w:hAnsi="Cambria"/>
          <w:i/>
          <w:iCs/>
          <w:sz w:val="18"/>
          <w:szCs w:val="18"/>
          <w:lang w:val="en-GB" w:eastAsia="en-GB"/>
        </w:rPr>
        <w:t>1. FAO Office Cairo (Corresponding Author</w:t>
      </w:r>
      <w:r>
        <w:rPr>
          <w:rFonts w:ascii="Cambria" w:hAnsi="Cambria"/>
          <w:i/>
          <w:iCs/>
          <w:sz w:val="18"/>
          <w:szCs w:val="18"/>
          <w:lang w:val="en-GB" w:eastAsia="en-GB"/>
        </w:rPr>
        <w:t xml:space="preserve">, email: </w:t>
      </w:r>
      <w:r w:rsidRPr="00DA194C">
        <w:rPr>
          <w:rFonts w:ascii="Cambria" w:hAnsi="Cambria"/>
          <w:i/>
          <w:iCs/>
          <w:sz w:val="18"/>
          <w:szCs w:val="18"/>
          <w:lang w:val="en-GB" w:eastAsia="en-GB"/>
        </w:rPr>
        <w:t>Naglaa.Elbendary@fao.org</w:t>
      </w:r>
      <w:r w:rsidRPr="004A4E09">
        <w:rPr>
          <w:rFonts w:ascii="Cambria" w:hAnsi="Cambria"/>
          <w:i/>
          <w:iCs/>
          <w:sz w:val="18"/>
          <w:szCs w:val="18"/>
          <w:lang w:val="en-GB" w:eastAsia="en-GB"/>
        </w:rPr>
        <w:t xml:space="preserve">) </w:t>
      </w:r>
    </w:p>
    <w:p w14:paraId="218BDDD7" w14:textId="77777777" w:rsidR="00637C88" w:rsidRDefault="00637C88" w:rsidP="00637C88">
      <w:pPr>
        <w:spacing w:after="0" w:line="240" w:lineRule="auto"/>
        <w:rPr>
          <w:rFonts w:ascii="Cambria" w:hAnsi="Cambria"/>
          <w:i/>
          <w:iCs/>
          <w:sz w:val="18"/>
          <w:szCs w:val="18"/>
          <w:lang w:val="en-GB" w:eastAsia="en-GB"/>
        </w:rPr>
      </w:pPr>
      <w:r w:rsidRPr="004A4E09">
        <w:rPr>
          <w:rFonts w:ascii="Cambria" w:hAnsi="Cambria"/>
          <w:i/>
          <w:iCs/>
          <w:sz w:val="18"/>
          <w:szCs w:val="18"/>
          <w:lang w:val="en-GB" w:eastAsia="en-GB"/>
        </w:rPr>
        <w:t>2. Irrigation and Hydraulic Department, Faculty of Engineering</w:t>
      </w:r>
      <w:r>
        <w:rPr>
          <w:rFonts w:ascii="Cambria" w:hAnsi="Cambria"/>
          <w:i/>
          <w:iCs/>
          <w:sz w:val="18"/>
          <w:szCs w:val="18"/>
          <w:lang w:val="en-GB" w:eastAsia="en-GB"/>
        </w:rPr>
        <w:t>, Ain Shams University, Egypt.</w:t>
      </w:r>
    </w:p>
    <w:p w14:paraId="25CDD613" w14:textId="5EB77C71" w:rsidR="00637C88" w:rsidRPr="004A4E09" w:rsidRDefault="00637C88" w:rsidP="00637C88">
      <w:pPr>
        <w:spacing w:after="0" w:line="240" w:lineRule="auto"/>
        <w:rPr>
          <w:rFonts w:ascii="Cambria" w:hAnsi="Cambria"/>
          <w:i/>
          <w:iCs/>
          <w:sz w:val="18"/>
          <w:szCs w:val="18"/>
          <w:lang w:val="en-GB" w:eastAsia="en-GB"/>
        </w:rPr>
      </w:pPr>
      <w:r>
        <w:rPr>
          <w:rFonts w:ascii="Cambria" w:hAnsi="Cambria"/>
          <w:i/>
          <w:iCs/>
          <w:sz w:val="18"/>
          <w:szCs w:val="18"/>
          <w:lang w:val="en-GB" w:eastAsia="en-GB"/>
        </w:rPr>
        <w:t xml:space="preserve">3. Environmental and Climate Change Research Institute, National Water Research </w:t>
      </w:r>
      <w:proofErr w:type="spellStart"/>
      <w:r>
        <w:rPr>
          <w:rFonts w:ascii="Cambria" w:hAnsi="Cambria"/>
          <w:i/>
          <w:iCs/>
          <w:sz w:val="18"/>
          <w:szCs w:val="18"/>
          <w:lang w:val="en-GB" w:eastAsia="en-GB"/>
        </w:rPr>
        <w:t>Center</w:t>
      </w:r>
      <w:proofErr w:type="spellEnd"/>
      <w:r>
        <w:rPr>
          <w:rFonts w:ascii="Cambria" w:hAnsi="Cambria"/>
          <w:i/>
          <w:iCs/>
          <w:sz w:val="18"/>
          <w:szCs w:val="18"/>
          <w:lang w:val="en-GB" w:eastAsia="en-GB"/>
        </w:rPr>
        <w:t>, Egypt</w:t>
      </w:r>
      <w:r w:rsidR="00FB6356">
        <w:rPr>
          <w:rFonts w:ascii="Cambria" w:hAnsi="Cambria"/>
          <w:i/>
          <w:iCs/>
          <w:sz w:val="18"/>
          <w:szCs w:val="18"/>
          <w:lang w:val="en-GB" w:eastAsia="en-GB"/>
        </w:rPr>
        <w:t xml:space="preserve"> and High Institute of Engineering and Technologies Al Obour </w:t>
      </w:r>
    </w:p>
    <w:p w14:paraId="64BA2474" w14:textId="77777777" w:rsidR="00052C54" w:rsidRDefault="00052C54" w:rsidP="00052C54"/>
    <w:p w14:paraId="5F1022CD" w14:textId="157E4C59" w:rsidR="00052C54" w:rsidRPr="00960ED1" w:rsidRDefault="00052C54" w:rsidP="00960ED1">
      <w:pPr>
        <w:pStyle w:val="Heading1"/>
        <w:keepLines w:val="0"/>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r w:rsidRPr="00960ED1">
        <w:rPr>
          <w:rFonts w:ascii="Cambria" w:eastAsia="Times New Roman" w:hAnsi="Cambria" w:cs="Arial"/>
          <w:b/>
          <w:bCs/>
          <w:color w:val="auto"/>
          <w:kern w:val="32"/>
          <w:sz w:val="24"/>
          <w:szCs w:val="24"/>
          <w:lang w:val="en-GB" w:eastAsia="en-GB"/>
          <w14:ligatures w14:val="none"/>
        </w:rPr>
        <w:t>Abstract:</w:t>
      </w:r>
    </w:p>
    <w:p w14:paraId="617B9F63" w14:textId="7A6748C2" w:rsidR="00C56150" w:rsidRPr="005E16B4" w:rsidRDefault="0059226F" w:rsidP="009933D7">
      <w:pPr>
        <w:jc w:val="both"/>
        <w:rPr>
          <w:rFonts w:ascii="Cambria" w:eastAsia="Times New Roman" w:hAnsi="Cambria" w:cs="Times New Roman"/>
          <w:kern w:val="0"/>
          <w:sz w:val="24"/>
          <w:szCs w:val="24"/>
          <w:lang w:val="en-GB" w:eastAsia="en-GB"/>
          <w14:ligatures w14:val="none"/>
        </w:rPr>
      </w:pPr>
      <w:r w:rsidRPr="0059226F">
        <w:rPr>
          <w:rFonts w:ascii="Cambria" w:eastAsia="Times New Roman" w:hAnsi="Cambria" w:cs="Times New Roman"/>
          <w:kern w:val="0"/>
          <w:sz w:val="24"/>
          <w:szCs w:val="24"/>
          <w:lang w:val="en-GB" w:eastAsia="en-GB"/>
          <w14:ligatures w14:val="none"/>
        </w:rPr>
        <w:t>Evapotranspiration is a combined process of evaporation, interception</w:t>
      </w:r>
      <w:r w:rsidR="00FB6356">
        <w:rPr>
          <w:rFonts w:ascii="Cambria" w:eastAsia="Times New Roman" w:hAnsi="Cambria" w:cs="Times New Roman"/>
          <w:kern w:val="0"/>
          <w:sz w:val="24"/>
          <w:szCs w:val="24"/>
          <w:lang w:val="en-GB" w:eastAsia="en-GB"/>
          <w14:ligatures w14:val="none"/>
        </w:rPr>
        <w:t>,</w:t>
      </w:r>
      <w:r w:rsidRPr="0059226F">
        <w:rPr>
          <w:rFonts w:ascii="Cambria" w:eastAsia="Times New Roman" w:hAnsi="Cambria" w:cs="Times New Roman"/>
          <w:kern w:val="0"/>
          <w:sz w:val="24"/>
          <w:szCs w:val="24"/>
          <w:lang w:val="en-GB" w:eastAsia="en-GB"/>
          <w14:ligatures w14:val="none"/>
        </w:rPr>
        <w:t xml:space="preserve"> and transpiration, and it is a crucial factor in the hydrological cycle. ET is the largest outgoing water flux from the Earth’s surface and the most difficult hydrological flux to estimate or model</w:t>
      </w:r>
      <w:r w:rsidR="00FB6356">
        <w:rPr>
          <w:rFonts w:ascii="Cambria" w:eastAsia="Times New Roman" w:hAnsi="Cambria" w:cs="Times New Roman"/>
          <w:kern w:val="0"/>
          <w:sz w:val="24"/>
          <w:szCs w:val="24"/>
          <w:lang w:val="en-GB" w:eastAsia="en-GB"/>
          <w14:ligatures w14:val="none"/>
        </w:rPr>
        <w:t>,</w:t>
      </w:r>
      <w:r w:rsidRPr="0059226F">
        <w:rPr>
          <w:rFonts w:ascii="Cambria" w:eastAsia="Times New Roman" w:hAnsi="Cambria" w:cs="Times New Roman"/>
          <w:kern w:val="0"/>
          <w:sz w:val="24"/>
          <w:szCs w:val="24"/>
          <w:lang w:val="en-GB" w:eastAsia="en-GB"/>
          <w14:ligatures w14:val="none"/>
        </w:rPr>
        <w:t xml:space="preserve"> especially at regional or global scales. </w:t>
      </w:r>
      <w:r w:rsidR="00C56150" w:rsidRPr="008D17FE">
        <w:rPr>
          <w:rFonts w:ascii="Cambria" w:eastAsia="Times New Roman" w:hAnsi="Cambria" w:cs="Times New Roman"/>
          <w:kern w:val="0"/>
          <w:sz w:val="24"/>
          <w:szCs w:val="24"/>
          <w:lang w:val="en-GB" w:eastAsia="en-GB"/>
          <w14:ligatures w14:val="none"/>
        </w:rPr>
        <w:t xml:space="preserve">The present paper is looking for </w:t>
      </w:r>
      <w:r w:rsidR="00FB6356">
        <w:rPr>
          <w:rFonts w:ascii="Cambria" w:eastAsia="Times New Roman" w:hAnsi="Cambria" w:cs="Times New Roman"/>
          <w:kern w:val="0"/>
          <w:sz w:val="24"/>
          <w:szCs w:val="24"/>
          <w:lang w:val="en-GB" w:eastAsia="en-GB"/>
          <w14:ligatures w14:val="none"/>
        </w:rPr>
        <w:t xml:space="preserve">an </w:t>
      </w:r>
      <w:r w:rsidR="00C56150" w:rsidRPr="008D17FE">
        <w:rPr>
          <w:rFonts w:ascii="Cambria" w:eastAsia="Times New Roman" w:hAnsi="Cambria" w:cs="Times New Roman"/>
          <w:kern w:val="0"/>
          <w:sz w:val="24"/>
          <w:szCs w:val="24"/>
          <w:lang w:val="en-GB" w:eastAsia="en-GB"/>
          <w14:ligatures w14:val="none"/>
        </w:rPr>
        <w:t xml:space="preserve">assessment of the deviation of remotely sensed ET and actual in-situ measurements from energy balance tower across various ecological zones by considering </w:t>
      </w:r>
      <w:r w:rsidR="00F509C5" w:rsidRPr="008D17FE">
        <w:rPr>
          <w:rFonts w:ascii="Cambria" w:eastAsia="Times New Roman" w:hAnsi="Cambria" w:cs="Times New Roman"/>
          <w:kern w:val="0"/>
          <w:sz w:val="24"/>
          <w:szCs w:val="24"/>
          <w:lang w:val="en-GB" w:eastAsia="en-GB"/>
          <w14:ligatures w14:val="none"/>
        </w:rPr>
        <w:t>two</w:t>
      </w:r>
      <w:r w:rsidR="00C56150" w:rsidRPr="008D17FE">
        <w:rPr>
          <w:rFonts w:ascii="Cambria" w:eastAsia="Times New Roman" w:hAnsi="Cambria" w:cs="Times New Roman"/>
          <w:kern w:val="0"/>
          <w:sz w:val="24"/>
          <w:szCs w:val="24"/>
          <w:lang w:val="en-GB" w:eastAsia="en-GB"/>
          <w14:ligatures w14:val="none"/>
        </w:rPr>
        <w:t xml:space="preserve"> different remote sensing products including MOD16A2</w:t>
      </w:r>
      <w:r w:rsidR="004F1175" w:rsidRPr="008D17FE">
        <w:rPr>
          <w:rFonts w:ascii="Cambria" w:eastAsia="Times New Roman" w:hAnsi="Cambria" w:cs="Times New Roman"/>
          <w:kern w:val="0"/>
          <w:sz w:val="24"/>
          <w:szCs w:val="24"/>
          <w:lang w:val="en-GB" w:eastAsia="en-GB"/>
          <w14:ligatures w14:val="none"/>
        </w:rPr>
        <w:t xml:space="preserve">, </w:t>
      </w:r>
      <w:r w:rsidR="00C56150" w:rsidRPr="008D17FE">
        <w:rPr>
          <w:rFonts w:ascii="Cambria" w:eastAsia="Times New Roman" w:hAnsi="Cambria" w:cs="Times New Roman"/>
          <w:kern w:val="0"/>
          <w:sz w:val="24"/>
          <w:szCs w:val="24"/>
          <w:lang w:val="en-GB" w:eastAsia="en-GB"/>
          <w14:ligatures w14:val="none"/>
        </w:rPr>
        <w:t xml:space="preserve">and </w:t>
      </w:r>
      <w:proofErr w:type="spellStart"/>
      <w:r w:rsidR="00C56150" w:rsidRPr="008D17FE">
        <w:rPr>
          <w:rFonts w:ascii="Cambria" w:eastAsia="Times New Roman" w:hAnsi="Cambria" w:cs="Times New Roman"/>
          <w:kern w:val="0"/>
          <w:sz w:val="24"/>
          <w:szCs w:val="24"/>
          <w:lang w:val="en-GB" w:eastAsia="en-GB"/>
          <w14:ligatures w14:val="none"/>
        </w:rPr>
        <w:t>WaPOR</w:t>
      </w:r>
      <w:proofErr w:type="spellEnd"/>
      <w:r w:rsidR="00C56150" w:rsidRPr="008D17FE">
        <w:rPr>
          <w:rFonts w:ascii="Cambria" w:eastAsia="Times New Roman" w:hAnsi="Cambria" w:cs="Times New Roman"/>
          <w:kern w:val="0"/>
          <w:sz w:val="24"/>
          <w:szCs w:val="24"/>
          <w:lang w:val="en-GB" w:eastAsia="en-GB"/>
          <w14:ligatures w14:val="none"/>
        </w:rPr>
        <w:t xml:space="preserve"> V3. Each of the addressed remote sensing products has different theories and algorithms to estimate evapotranspiration and are produced with different spatial resolutions </w:t>
      </w:r>
      <w:r w:rsidR="00FB6356">
        <w:rPr>
          <w:rFonts w:ascii="Cambria" w:eastAsia="Times New Roman" w:hAnsi="Cambria" w:cs="Times New Roman"/>
          <w:kern w:val="0"/>
          <w:sz w:val="24"/>
          <w:szCs w:val="24"/>
          <w:lang w:val="en-GB" w:eastAsia="en-GB"/>
          <w14:ligatures w14:val="none"/>
        </w:rPr>
        <w:t>varying</w:t>
      </w:r>
      <w:r w:rsidR="00C56150" w:rsidRPr="008D17FE">
        <w:rPr>
          <w:rFonts w:ascii="Cambria" w:eastAsia="Times New Roman" w:hAnsi="Cambria" w:cs="Times New Roman"/>
          <w:kern w:val="0"/>
          <w:sz w:val="24"/>
          <w:szCs w:val="24"/>
          <w:lang w:val="en-GB" w:eastAsia="en-GB"/>
          <w14:ligatures w14:val="none"/>
        </w:rPr>
        <w:t xml:space="preserve"> from 20 m in </w:t>
      </w:r>
      <w:r w:rsidR="00FB6356">
        <w:rPr>
          <w:rFonts w:ascii="Cambria" w:eastAsia="Times New Roman" w:hAnsi="Cambria" w:cs="Times New Roman"/>
          <w:kern w:val="0"/>
          <w:sz w:val="24"/>
          <w:szCs w:val="24"/>
          <w:lang w:val="en-GB" w:eastAsia="en-GB"/>
          <w14:ligatures w14:val="none"/>
        </w:rPr>
        <w:t xml:space="preserve">the </w:t>
      </w:r>
      <w:r w:rsidR="00C56150" w:rsidRPr="008D17FE">
        <w:rPr>
          <w:rFonts w:ascii="Cambria" w:eastAsia="Times New Roman" w:hAnsi="Cambria" w:cs="Times New Roman"/>
          <w:kern w:val="0"/>
          <w:sz w:val="24"/>
          <w:szCs w:val="24"/>
          <w:lang w:val="en-GB" w:eastAsia="en-GB"/>
          <w14:ligatures w14:val="none"/>
        </w:rPr>
        <w:t xml:space="preserve">case of </w:t>
      </w:r>
      <w:proofErr w:type="spellStart"/>
      <w:r w:rsidR="00C56150" w:rsidRPr="008D17FE">
        <w:rPr>
          <w:rFonts w:ascii="Cambria" w:eastAsia="Times New Roman" w:hAnsi="Cambria" w:cs="Times New Roman"/>
          <w:kern w:val="0"/>
          <w:sz w:val="24"/>
          <w:szCs w:val="24"/>
          <w:lang w:val="en-GB" w:eastAsia="en-GB"/>
          <w14:ligatures w14:val="none"/>
        </w:rPr>
        <w:t>WaPOR</w:t>
      </w:r>
      <w:proofErr w:type="spellEnd"/>
      <w:r w:rsidR="00C56150" w:rsidRPr="008D17FE">
        <w:rPr>
          <w:rFonts w:ascii="Cambria" w:eastAsia="Times New Roman" w:hAnsi="Cambria" w:cs="Times New Roman"/>
          <w:kern w:val="0"/>
          <w:sz w:val="24"/>
          <w:szCs w:val="24"/>
          <w:lang w:val="en-GB" w:eastAsia="en-GB"/>
          <w14:ligatures w14:val="none"/>
        </w:rPr>
        <w:t xml:space="preserve"> data to </w:t>
      </w:r>
      <w:r w:rsidR="007D7617" w:rsidRPr="008D17FE">
        <w:rPr>
          <w:rFonts w:ascii="Cambria" w:eastAsia="Times New Roman" w:hAnsi="Cambria" w:cs="Times New Roman"/>
          <w:kern w:val="0"/>
          <w:sz w:val="24"/>
          <w:szCs w:val="24"/>
          <w:lang w:val="en-GB" w:eastAsia="en-GB"/>
          <w14:ligatures w14:val="none"/>
        </w:rPr>
        <w:t xml:space="preserve">500 </w:t>
      </w:r>
      <w:r w:rsidR="00FB6356">
        <w:rPr>
          <w:rFonts w:ascii="Cambria" w:eastAsia="Times New Roman" w:hAnsi="Cambria" w:cs="Times New Roman"/>
          <w:kern w:val="0"/>
          <w:sz w:val="24"/>
          <w:szCs w:val="24"/>
          <w:lang w:val="en-GB" w:eastAsia="en-GB"/>
          <w14:ligatures w14:val="none"/>
        </w:rPr>
        <w:t>meters</w:t>
      </w:r>
      <w:r w:rsidR="00C56150" w:rsidRPr="008D17FE">
        <w:rPr>
          <w:rFonts w:ascii="Cambria" w:eastAsia="Times New Roman" w:hAnsi="Cambria" w:cs="Times New Roman"/>
          <w:kern w:val="0"/>
          <w:sz w:val="24"/>
          <w:szCs w:val="24"/>
          <w:lang w:val="en-GB" w:eastAsia="en-GB"/>
          <w14:ligatures w14:val="none"/>
        </w:rPr>
        <w:t xml:space="preserve"> in case of MODIS data. </w:t>
      </w:r>
      <w:r w:rsidR="00C75845" w:rsidRPr="008D17FE">
        <w:rPr>
          <w:rFonts w:ascii="Cambria" w:eastAsia="Times New Roman" w:hAnsi="Cambria" w:cs="Times New Roman"/>
          <w:kern w:val="0"/>
          <w:sz w:val="24"/>
          <w:szCs w:val="24"/>
          <w:lang w:val="en-GB" w:eastAsia="en-GB"/>
          <w14:ligatures w14:val="none"/>
        </w:rPr>
        <w:t>Remotely</w:t>
      </w:r>
      <w:r w:rsidR="00C56150" w:rsidRPr="008D17FE">
        <w:rPr>
          <w:rFonts w:ascii="Cambria" w:eastAsia="Times New Roman" w:hAnsi="Cambria" w:cs="Times New Roman"/>
          <w:kern w:val="0"/>
          <w:sz w:val="24"/>
          <w:szCs w:val="24"/>
          <w:lang w:val="en-GB" w:eastAsia="en-GB"/>
          <w14:ligatures w14:val="none"/>
        </w:rPr>
        <w:t xml:space="preserve"> sensed data has been compared</w:t>
      </w:r>
      <w:r w:rsidR="00C75845" w:rsidRPr="008D17FE">
        <w:rPr>
          <w:rFonts w:ascii="Cambria" w:eastAsia="Times New Roman" w:hAnsi="Cambria" w:cs="Times New Roman"/>
          <w:kern w:val="0"/>
          <w:sz w:val="24"/>
          <w:szCs w:val="24"/>
          <w:lang w:val="en-GB" w:eastAsia="en-GB"/>
          <w14:ligatures w14:val="none"/>
        </w:rPr>
        <w:t xml:space="preserve"> with ground measurement to identify associated accuracy and bias. Reference to in-situ data which has been collected from Sakha research statio</w:t>
      </w:r>
      <w:r w:rsidR="004F1175" w:rsidRPr="008D17FE">
        <w:rPr>
          <w:rFonts w:ascii="Cambria" w:eastAsia="Times New Roman" w:hAnsi="Cambria" w:cs="Times New Roman"/>
          <w:kern w:val="0"/>
          <w:sz w:val="24"/>
          <w:szCs w:val="24"/>
          <w:lang w:val="en-GB" w:eastAsia="en-GB"/>
          <w14:ligatures w14:val="none"/>
        </w:rPr>
        <w:t xml:space="preserve">n belongs to </w:t>
      </w:r>
      <w:r w:rsidR="00FB6356">
        <w:rPr>
          <w:rFonts w:ascii="Cambria" w:eastAsia="Times New Roman" w:hAnsi="Cambria" w:cs="Times New Roman"/>
          <w:kern w:val="0"/>
          <w:sz w:val="24"/>
          <w:szCs w:val="24"/>
          <w:lang w:val="en-GB" w:eastAsia="en-GB"/>
          <w14:ligatures w14:val="none"/>
        </w:rPr>
        <w:t xml:space="preserve">the </w:t>
      </w:r>
      <w:r w:rsidR="004F1175" w:rsidRPr="008D17FE">
        <w:rPr>
          <w:rFonts w:ascii="Cambria" w:eastAsia="Times New Roman" w:hAnsi="Cambria" w:cs="Times New Roman"/>
          <w:kern w:val="0"/>
          <w:sz w:val="24"/>
          <w:szCs w:val="24"/>
          <w:lang w:val="en-GB" w:eastAsia="en-GB"/>
          <w14:ligatures w14:val="none"/>
        </w:rPr>
        <w:t xml:space="preserve">Agriculture Research </w:t>
      </w:r>
      <w:proofErr w:type="spellStart"/>
      <w:r w:rsidR="004F1175" w:rsidRPr="008D17FE">
        <w:rPr>
          <w:rFonts w:ascii="Cambria" w:eastAsia="Times New Roman" w:hAnsi="Cambria" w:cs="Times New Roman"/>
          <w:kern w:val="0"/>
          <w:sz w:val="24"/>
          <w:szCs w:val="24"/>
          <w:lang w:val="en-GB" w:eastAsia="en-GB"/>
          <w14:ligatures w14:val="none"/>
        </w:rPr>
        <w:t>Center</w:t>
      </w:r>
      <w:proofErr w:type="spellEnd"/>
      <w:r w:rsidR="004F1175" w:rsidRPr="008D17FE">
        <w:rPr>
          <w:rFonts w:ascii="Cambria" w:eastAsia="Times New Roman" w:hAnsi="Cambria" w:cs="Times New Roman"/>
          <w:kern w:val="0"/>
          <w:sz w:val="24"/>
          <w:szCs w:val="24"/>
          <w:lang w:val="en-GB" w:eastAsia="en-GB"/>
          <w14:ligatures w14:val="none"/>
        </w:rPr>
        <w:t xml:space="preserve"> (ARC) under the Egyptian Ministry of Agriculture and Land Reclamation (</w:t>
      </w:r>
      <w:proofErr w:type="spellStart"/>
      <w:r w:rsidR="004F1175" w:rsidRPr="008D17FE">
        <w:rPr>
          <w:rFonts w:ascii="Cambria" w:eastAsia="Times New Roman" w:hAnsi="Cambria" w:cs="Times New Roman"/>
          <w:kern w:val="0"/>
          <w:sz w:val="24"/>
          <w:szCs w:val="24"/>
          <w:lang w:val="en-GB" w:eastAsia="en-GB"/>
          <w14:ligatures w14:val="none"/>
        </w:rPr>
        <w:t>MoALR</w:t>
      </w:r>
      <w:proofErr w:type="spellEnd"/>
      <w:r w:rsidR="004F1175" w:rsidRPr="008D17FE">
        <w:rPr>
          <w:rFonts w:ascii="Cambria" w:eastAsia="Times New Roman" w:hAnsi="Cambria" w:cs="Times New Roman"/>
          <w:kern w:val="0"/>
          <w:sz w:val="24"/>
          <w:szCs w:val="24"/>
          <w:lang w:val="en-GB" w:eastAsia="en-GB"/>
          <w14:ligatures w14:val="none"/>
        </w:rPr>
        <w:t xml:space="preserve">). </w:t>
      </w:r>
      <w:r w:rsidR="008D17FE" w:rsidRPr="008D17FE">
        <w:rPr>
          <w:rFonts w:ascii="Cambria" w:eastAsia="Times New Roman" w:hAnsi="Cambria" w:cs="Times New Roman"/>
          <w:kern w:val="0"/>
          <w:sz w:val="24"/>
          <w:szCs w:val="24"/>
          <w:lang w:val="en-GB" w:eastAsia="en-GB"/>
          <w14:ligatures w14:val="none"/>
        </w:rPr>
        <w:t>This</w:t>
      </w:r>
      <w:r w:rsidR="004F1175" w:rsidRPr="008D17FE">
        <w:rPr>
          <w:rFonts w:ascii="Cambria" w:eastAsia="Times New Roman" w:hAnsi="Cambria" w:cs="Times New Roman"/>
          <w:kern w:val="0"/>
          <w:sz w:val="24"/>
          <w:szCs w:val="24"/>
          <w:lang w:val="en-GB" w:eastAsia="en-GB"/>
          <w14:ligatures w14:val="none"/>
        </w:rPr>
        <w:t xml:space="preserve"> paper compares Remote Sensing </w:t>
      </w:r>
      <w:r w:rsidR="008D17FE" w:rsidRPr="008D17FE">
        <w:rPr>
          <w:rFonts w:ascii="Cambria" w:eastAsia="Times New Roman" w:hAnsi="Cambria" w:cs="Times New Roman"/>
          <w:kern w:val="0"/>
          <w:sz w:val="24"/>
          <w:szCs w:val="24"/>
          <w:lang w:val="en-GB" w:eastAsia="en-GB"/>
          <w14:ligatures w14:val="none"/>
        </w:rPr>
        <w:t xml:space="preserve">products </w:t>
      </w:r>
      <w:r w:rsidR="004F1175" w:rsidRPr="008D17FE">
        <w:rPr>
          <w:rFonts w:ascii="Cambria" w:eastAsia="Times New Roman" w:hAnsi="Cambria" w:cs="Times New Roman"/>
          <w:kern w:val="0"/>
          <w:sz w:val="24"/>
          <w:szCs w:val="24"/>
          <w:lang w:val="en-GB" w:eastAsia="en-GB"/>
          <w14:ligatures w14:val="none"/>
        </w:rPr>
        <w:t xml:space="preserve">and In Situ </w:t>
      </w:r>
      <w:r w:rsidR="008D17FE" w:rsidRPr="008D17FE">
        <w:rPr>
          <w:rFonts w:ascii="Cambria" w:eastAsia="Times New Roman" w:hAnsi="Cambria" w:cs="Times New Roman"/>
          <w:kern w:val="0"/>
          <w:sz w:val="24"/>
          <w:szCs w:val="24"/>
          <w:lang w:val="en-GB" w:eastAsia="en-GB"/>
          <w14:ligatures w14:val="none"/>
        </w:rPr>
        <w:t>data</w:t>
      </w:r>
      <w:r w:rsidR="004F1175" w:rsidRPr="008D17FE">
        <w:rPr>
          <w:rFonts w:ascii="Cambria" w:eastAsia="Times New Roman" w:hAnsi="Cambria" w:cs="Times New Roman"/>
          <w:kern w:val="0"/>
          <w:sz w:val="24"/>
          <w:szCs w:val="24"/>
          <w:lang w:val="en-GB" w:eastAsia="en-GB"/>
          <w14:ligatures w14:val="none"/>
        </w:rPr>
        <w:t xml:space="preserve"> and discusses how an integrated approach to using these products could help enhance </w:t>
      </w:r>
      <w:r w:rsidR="00495817" w:rsidRPr="008D17FE">
        <w:rPr>
          <w:rFonts w:ascii="Cambria" w:eastAsia="Times New Roman" w:hAnsi="Cambria" w:cs="Times New Roman"/>
          <w:kern w:val="0"/>
          <w:sz w:val="24"/>
          <w:szCs w:val="24"/>
          <w:lang w:val="en-GB" w:eastAsia="en-GB"/>
          <w14:ligatures w14:val="none"/>
        </w:rPr>
        <w:t>Evapotranspiration (</w:t>
      </w:r>
      <w:r w:rsidR="004F1175" w:rsidRPr="008D17FE">
        <w:rPr>
          <w:rFonts w:ascii="Cambria" w:eastAsia="Times New Roman" w:hAnsi="Cambria" w:cs="Times New Roman"/>
          <w:kern w:val="0"/>
          <w:sz w:val="24"/>
          <w:szCs w:val="24"/>
          <w:lang w:val="en-GB" w:eastAsia="en-GB"/>
          <w14:ligatures w14:val="none"/>
        </w:rPr>
        <w:t>ET</w:t>
      </w:r>
      <w:r w:rsidR="00495817" w:rsidRPr="008D17FE">
        <w:rPr>
          <w:rFonts w:ascii="Cambria" w:eastAsia="Times New Roman" w:hAnsi="Cambria" w:cs="Times New Roman"/>
          <w:kern w:val="0"/>
          <w:sz w:val="24"/>
          <w:szCs w:val="24"/>
          <w:lang w:val="en-GB" w:eastAsia="en-GB"/>
          <w14:ligatures w14:val="none"/>
        </w:rPr>
        <w:t>)</w:t>
      </w:r>
      <w:r w:rsidR="004F1175" w:rsidRPr="008D17FE">
        <w:rPr>
          <w:rFonts w:ascii="Cambria" w:eastAsia="Times New Roman" w:hAnsi="Cambria" w:cs="Times New Roman"/>
          <w:kern w:val="0"/>
          <w:sz w:val="24"/>
          <w:szCs w:val="24"/>
          <w:lang w:val="en-GB" w:eastAsia="en-GB"/>
          <w14:ligatures w14:val="none"/>
        </w:rPr>
        <w:t xml:space="preserve"> accuracy for numerous climatic and ecological purposes.</w:t>
      </w:r>
      <w:r w:rsidR="008D17FE" w:rsidRPr="008D17FE">
        <w:rPr>
          <w:rFonts w:ascii="Cambria" w:eastAsia="Times New Roman" w:hAnsi="Cambria" w:cs="Times New Roman"/>
          <w:kern w:val="0"/>
          <w:sz w:val="24"/>
          <w:szCs w:val="24"/>
          <w:lang w:val="en-GB" w:eastAsia="en-GB"/>
          <w14:ligatures w14:val="none"/>
        </w:rPr>
        <w:t xml:space="preserve"> Data analysis shows that remote sensing models of higher resolution including the </w:t>
      </w:r>
      <w:proofErr w:type="spellStart"/>
      <w:r w:rsidR="008D17FE" w:rsidRPr="008D17FE">
        <w:rPr>
          <w:rFonts w:ascii="Cambria" w:eastAsia="Times New Roman" w:hAnsi="Cambria" w:cs="Times New Roman"/>
          <w:kern w:val="0"/>
          <w:sz w:val="24"/>
          <w:szCs w:val="24"/>
          <w:lang w:val="en-GB" w:eastAsia="en-GB"/>
          <w14:ligatures w14:val="none"/>
        </w:rPr>
        <w:t>WaPOR</w:t>
      </w:r>
      <w:proofErr w:type="spellEnd"/>
      <w:r w:rsidR="008D17FE" w:rsidRPr="008D17FE">
        <w:rPr>
          <w:rFonts w:ascii="Cambria" w:eastAsia="Times New Roman" w:hAnsi="Cambria" w:cs="Times New Roman"/>
          <w:kern w:val="0"/>
          <w:sz w:val="24"/>
          <w:szCs w:val="24"/>
          <w:lang w:val="en-GB" w:eastAsia="en-GB"/>
          <w14:ligatures w14:val="none"/>
        </w:rPr>
        <w:t xml:space="preserve"> V.3 product compare well with observed data. Eight statistical factors have been used to assess remotely sensed ET data reference to ET measurements </w:t>
      </w:r>
      <w:r w:rsidR="00FB6356">
        <w:rPr>
          <w:rFonts w:ascii="Cambria" w:eastAsia="Times New Roman" w:hAnsi="Cambria" w:cs="Times New Roman"/>
          <w:kern w:val="0"/>
          <w:sz w:val="24"/>
          <w:szCs w:val="24"/>
          <w:lang w:val="en-GB" w:eastAsia="en-GB"/>
          <w14:ligatures w14:val="none"/>
        </w:rPr>
        <w:t>including</w:t>
      </w:r>
      <w:r w:rsidR="008D17FE" w:rsidRPr="008D17FE">
        <w:rPr>
          <w:rFonts w:ascii="Cambria" w:eastAsia="Times New Roman" w:hAnsi="Cambria" w:cs="Times New Roman"/>
          <w:kern w:val="0"/>
          <w:sz w:val="24"/>
          <w:szCs w:val="24"/>
          <w:lang w:val="en-GB" w:eastAsia="en-GB"/>
          <w14:ligatures w14:val="none"/>
        </w:rPr>
        <w:t xml:space="preserve"> Coefficient of Determination, Correlation, Root Mean Square Error, Relative RMSE., Mean Bias Error, mm, PB (%), and Kling-Gupta Efficiency (KGE)</w:t>
      </w:r>
      <w:r w:rsidR="008D17FE">
        <w:rPr>
          <w:rFonts w:ascii="Cambria" w:eastAsia="Times New Roman" w:hAnsi="Cambria" w:cs="Times New Roman"/>
          <w:kern w:val="0"/>
          <w:sz w:val="24"/>
          <w:szCs w:val="24"/>
          <w:lang w:val="en-GB" w:eastAsia="en-GB"/>
          <w14:ligatures w14:val="none"/>
        </w:rPr>
        <w:t xml:space="preserve">. </w:t>
      </w:r>
      <w:proofErr w:type="spellStart"/>
      <w:r w:rsidR="008D17FE" w:rsidRPr="008D17FE">
        <w:rPr>
          <w:rFonts w:ascii="Cambria" w:eastAsia="Times New Roman" w:hAnsi="Cambria" w:cs="Times New Roman"/>
          <w:kern w:val="0"/>
          <w:sz w:val="24"/>
          <w:szCs w:val="24"/>
          <w:lang w:val="en-GB" w:eastAsia="en-GB"/>
          <w14:ligatures w14:val="none"/>
        </w:rPr>
        <w:t>WaPOR</w:t>
      </w:r>
      <w:proofErr w:type="spellEnd"/>
      <w:r w:rsidR="008D17FE" w:rsidRPr="008D17FE">
        <w:rPr>
          <w:rFonts w:ascii="Cambria" w:eastAsia="Times New Roman" w:hAnsi="Cambria" w:cs="Times New Roman"/>
          <w:kern w:val="0"/>
          <w:sz w:val="24"/>
          <w:szCs w:val="24"/>
          <w:lang w:val="en-GB" w:eastAsia="en-GB"/>
          <w14:ligatures w14:val="none"/>
        </w:rPr>
        <w:t xml:space="preserve"> performs better Coefficient of Determination compared to MODIS16A2</w:t>
      </w:r>
      <w:r w:rsidR="008D17FE">
        <w:rPr>
          <w:rFonts w:ascii="Cambria" w:eastAsia="Times New Roman" w:hAnsi="Cambria" w:cs="Times New Roman"/>
          <w:kern w:val="0"/>
          <w:sz w:val="24"/>
          <w:szCs w:val="24"/>
          <w:lang w:val="en-GB" w:eastAsia="en-GB"/>
          <w14:ligatures w14:val="none"/>
        </w:rPr>
        <w:t xml:space="preserve">. </w:t>
      </w:r>
      <w:r w:rsidR="008D17FE" w:rsidRPr="008D17FE">
        <w:rPr>
          <w:rFonts w:ascii="Cambria" w:eastAsia="Times New Roman" w:hAnsi="Cambria" w:cs="Times New Roman"/>
          <w:kern w:val="0"/>
          <w:sz w:val="24"/>
          <w:szCs w:val="24"/>
          <w:lang w:val="en-GB" w:eastAsia="en-GB"/>
          <w14:ligatures w14:val="none"/>
        </w:rPr>
        <w:t xml:space="preserve">All seasons of the study indicate that </w:t>
      </w:r>
      <w:proofErr w:type="spellStart"/>
      <w:r w:rsidR="008D17FE" w:rsidRPr="008D17FE">
        <w:rPr>
          <w:rFonts w:ascii="Cambria" w:eastAsia="Times New Roman" w:hAnsi="Cambria" w:cs="Times New Roman"/>
          <w:kern w:val="0"/>
          <w:sz w:val="24"/>
          <w:szCs w:val="24"/>
          <w:lang w:val="en-GB" w:eastAsia="en-GB"/>
          <w14:ligatures w14:val="none"/>
        </w:rPr>
        <w:t>WaPOR</w:t>
      </w:r>
      <w:proofErr w:type="spellEnd"/>
      <w:r w:rsidR="008D17FE" w:rsidRPr="008D17FE">
        <w:rPr>
          <w:rFonts w:ascii="Cambria" w:eastAsia="Times New Roman" w:hAnsi="Cambria" w:cs="Times New Roman"/>
          <w:kern w:val="0"/>
          <w:sz w:val="24"/>
          <w:szCs w:val="24"/>
          <w:lang w:val="en-GB" w:eastAsia="en-GB"/>
          <w14:ligatures w14:val="none"/>
        </w:rPr>
        <w:t xml:space="preserve"> has better correlation values than MODIS16A2, with the exception of Season 4 (Rice)</w:t>
      </w:r>
      <w:r w:rsidR="008D17FE">
        <w:rPr>
          <w:rFonts w:ascii="Cambria" w:eastAsia="Times New Roman" w:hAnsi="Cambria" w:cs="Times New Roman"/>
          <w:kern w:val="0"/>
          <w:sz w:val="24"/>
          <w:szCs w:val="24"/>
          <w:lang w:val="en-GB" w:eastAsia="en-GB"/>
          <w14:ligatures w14:val="none"/>
        </w:rPr>
        <w:t xml:space="preserve">. </w:t>
      </w:r>
      <w:r w:rsidR="00FB6356">
        <w:rPr>
          <w:rFonts w:ascii="Cambria" w:eastAsia="Times New Roman" w:hAnsi="Cambria" w:cs="Times New Roman"/>
          <w:kern w:val="0"/>
          <w:sz w:val="24"/>
          <w:szCs w:val="24"/>
          <w:lang w:val="en-GB" w:eastAsia="en-GB"/>
          <w14:ligatures w14:val="none"/>
        </w:rPr>
        <w:t>The</w:t>
      </w:r>
      <w:r w:rsidR="008D17FE" w:rsidRPr="008D17FE">
        <w:rPr>
          <w:rFonts w:ascii="Cambria" w:eastAsia="Times New Roman" w:hAnsi="Cambria" w:cs="Times New Roman"/>
          <w:kern w:val="0"/>
          <w:sz w:val="24"/>
          <w:szCs w:val="24"/>
          <w:lang w:val="en-GB" w:eastAsia="en-GB"/>
          <w14:ligatures w14:val="none"/>
        </w:rPr>
        <w:t xml:space="preserve"> relative RMSE of </w:t>
      </w:r>
      <w:proofErr w:type="spellStart"/>
      <w:r w:rsidR="008D17FE" w:rsidRPr="008D17FE">
        <w:rPr>
          <w:rFonts w:ascii="Cambria" w:eastAsia="Times New Roman" w:hAnsi="Cambria" w:cs="Times New Roman"/>
          <w:kern w:val="0"/>
          <w:sz w:val="24"/>
          <w:szCs w:val="24"/>
          <w:lang w:val="en-GB" w:eastAsia="en-GB"/>
          <w14:ligatures w14:val="none"/>
        </w:rPr>
        <w:t>WaPOR</w:t>
      </w:r>
      <w:proofErr w:type="spellEnd"/>
      <w:r w:rsidR="008D17FE" w:rsidRPr="008D17FE">
        <w:rPr>
          <w:rFonts w:ascii="Cambria" w:eastAsia="Times New Roman" w:hAnsi="Cambria" w:cs="Times New Roman"/>
          <w:kern w:val="0"/>
          <w:sz w:val="24"/>
          <w:szCs w:val="24"/>
          <w:lang w:val="en-GB" w:eastAsia="en-GB"/>
          <w14:ligatures w14:val="none"/>
        </w:rPr>
        <w:t xml:space="preserve"> is significantly lower and </w:t>
      </w:r>
      <w:r w:rsidR="00FB6356">
        <w:rPr>
          <w:rFonts w:ascii="Cambria" w:eastAsia="Times New Roman" w:hAnsi="Cambria" w:cs="Times New Roman"/>
          <w:kern w:val="0"/>
          <w:sz w:val="24"/>
          <w:szCs w:val="24"/>
          <w:lang w:val="en-GB" w:eastAsia="en-GB"/>
          <w14:ligatures w14:val="none"/>
        </w:rPr>
        <w:t>establishes</w:t>
      </w:r>
      <w:r w:rsidR="008D17FE" w:rsidRPr="008D17FE">
        <w:rPr>
          <w:rFonts w:ascii="Cambria" w:eastAsia="Times New Roman" w:hAnsi="Cambria" w:cs="Times New Roman"/>
          <w:kern w:val="0"/>
          <w:sz w:val="24"/>
          <w:szCs w:val="24"/>
          <w:lang w:val="en-GB" w:eastAsia="en-GB"/>
          <w14:ligatures w14:val="none"/>
        </w:rPr>
        <w:t xml:space="preserve"> more reliable performance</w:t>
      </w:r>
      <w:r w:rsidR="008D17FE">
        <w:rPr>
          <w:rFonts w:ascii="Cambria" w:eastAsia="Times New Roman" w:hAnsi="Cambria" w:cs="Times New Roman"/>
          <w:kern w:val="0"/>
          <w:sz w:val="24"/>
          <w:szCs w:val="24"/>
          <w:lang w:val="en-GB" w:eastAsia="en-GB"/>
          <w14:ligatures w14:val="none"/>
        </w:rPr>
        <w:t xml:space="preserve">. Regarding </w:t>
      </w:r>
      <w:proofErr w:type="spellStart"/>
      <w:r w:rsidR="008D17FE">
        <w:rPr>
          <w:rFonts w:ascii="Cambria" w:eastAsia="Times New Roman" w:hAnsi="Cambria" w:cs="Times New Roman"/>
          <w:kern w:val="0"/>
          <w:sz w:val="24"/>
          <w:szCs w:val="24"/>
          <w:lang w:val="en-GB" w:eastAsia="en-GB"/>
          <w14:ligatures w14:val="none"/>
        </w:rPr>
        <w:t>WaPOR</w:t>
      </w:r>
      <w:proofErr w:type="spellEnd"/>
      <w:r w:rsidR="008D17FE">
        <w:rPr>
          <w:rFonts w:ascii="Cambria" w:eastAsia="Times New Roman" w:hAnsi="Cambria" w:cs="Times New Roman"/>
          <w:kern w:val="0"/>
          <w:sz w:val="24"/>
          <w:szCs w:val="24"/>
          <w:lang w:val="en-GB" w:eastAsia="en-GB"/>
          <w14:ligatures w14:val="none"/>
        </w:rPr>
        <w:t xml:space="preserve"> data, </w:t>
      </w:r>
      <w:r w:rsidR="008D17FE" w:rsidRPr="008D17FE">
        <w:rPr>
          <w:rFonts w:ascii="Cambria" w:eastAsia="Times New Roman" w:hAnsi="Cambria" w:cs="Times New Roman"/>
          <w:kern w:val="0"/>
          <w:sz w:val="24"/>
          <w:szCs w:val="24"/>
          <w:lang w:val="en-GB" w:eastAsia="en-GB"/>
          <w14:ligatures w14:val="none"/>
        </w:rPr>
        <w:t xml:space="preserve">there is reduced MBE observed </w:t>
      </w:r>
      <w:r w:rsidR="00A975C1" w:rsidRPr="008D17FE">
        <w:rPr>
          <w:rFonts w:ascii="Cambria" w:eastAsia="Times New Roman" w:hAnsi="Cambria" w:cs="Times New Roman"/>
          <w:kern w:val="0"/>
          <w:sz w:val="24"/>
          <w:szCs w:val="24"/>
          <w:lang w:val="en-GB" w:eastAsia="en-GB"/>
          <w14:ligatures w14:val="none"/>
        </w:rPr>
        <w:t>throughout</w:t>
      </w:r>
      <w:r w:rsidR="008D17FE" w:rsidRPr="008D17FE">
        <w:rPr>
          <w:rFonts w:ascii="Cambria" w:eastAsia="Times New Roman" w:hAnsi="Cambria" w:cs="Times New Roman"/>
          <w:kern w:val="0"/>
          <w:sz w:val="24"/>
          <w:szCs w:val="24"/>
          <w:lang w:val="en-GB" w:eastAsia="en-GB"/>
          <w14:ligatures w14:val="none"/>
        </w:rPr>
        <w:t xml:space="preserve"> </w:t>
      </w:r>
      <w:r w:rsidR="00FB6356">
        <w:rPr>
          <w:rFonts w:ascii="Cambria" w:eastAsia="Times New Roman" w:hAnsi="Cambria" w:cs="Times New Roman"/>
          <w:kern w:val="0"/>
          <w:sz w:val="24"/>
          <w:szCs w:val="24"/>
          <w:lang w:val="en-GB" w:eastAsia="en-GB"/>
          <w14:ligatures w14:val="none"/>
        </w:rPr>
        <w:t xml:space="preserve">the </w:t>
      </w:r>
      <w:r w:rsidR="008D17FE" w:rsidRPr="008D17FE">
        <w:rPr>
          <w:rFonts w:ascii="Cambria" w:eastAsia="Times New Roman" w:hAnsi="Cambria" w:cs="Times New Roman"/>
          <w:kern w:val="0"/>
          <w:sz w:val="24"/>
          <w:szCs w:val="24"/>
          <w:lang w:val="en-GB" w:eastAsia="en-GB"/>
          <w14:ligatures w14:val="none"/>
        </w:rPr>
        <w:t>majority of the seasons with some of them close to zero implying very low bias</w:t>
      </w:r>
      <w:r w:rsidR="00CE5EFE">
        <w:rPr>
          <w:rFonts w:ascii="Cambria" w:eastAsia="Times New Roman" w:hAnsi="Cambria" w:cs="Times New Roman"/>
          <w:kern w:val="0"/>
          <w:sz w:val="24"/>
          <w:szCs w:val="24"/>
          <w:lang w:val="en-GB" w:eastAsia="en-GB"/>
          <w14:ligatures w14:val="none"/>
        </w:rPr>
        <w:t xml:space="preserve">. </w:t>
      </w:r>
      <w:r w:rsidR="00CE5EFE" w:rsidRPr="00CE5EFE">
        <w:rPr>
          <w:rFonts w:ascii="Cambria" w:eastAsia="Times New Roman" w:hAnsi="Cambria" w:cs="Times New Roman"/>
          <w:kern w:val="0"/>
          <w:sz w:val="24"/>
          <w:szCs w:val="24"/>
          <w:lang w:val="en-GB" w:eastAsia="en-GB"/>
          <w14:ligatures w14:val="none"/>
        </w:rPr>
        <w:t xml:space="preserve">Smaller PB are noted on </w:t>
      </w:r>
      <w:proofErr w:type="spellStart"/>
      <w:r w:rsidR="00CE5EFE" w:rsidRPr="00CE5EFE">
        <w:rPr>
          <w:rFonts w:ascii="Cambria" w:eastAsia="Times New Roman" w:hAnsi="Cambria" w:cs="Times New Roman"/>
          <w:kern w:val="0"/>
          <w:sz w:val="24"/>
          <w:szCs w:val="24"/>
          <w:lang w:val="en-GB" w:eastAsia="en-GB"/>
          <w14:ligatures w14:val="none"/>
        </w:rPr>
        <w:t>WaPOR</w:t>
      </w:r>
      <w:proofErr w:type="spellEnd"/>
      <w:r w:rsidR="00CE5EFE" w:rsidRPr="00CE5EFE">
        <w:rPr>
          <w:rFonts w:ascii="Cambria" w:eastAsia="Times New Roman" w:hAnsi="Cambria" w:cs="Times New Roman"/>
          <w:kern w:val="0"/>
          <w:sz w:val="24"/>
          <w:szCs w:val="24"/>
          <w:lang w:val="en-GB" w:eastAsia="en-GB"/>
          <w14:ligatures w14:val="none"/>
        </w:rPr>
        <w:t xml:space="preserve"> which </w:t>
      </w:r>
      <w:r w:rsidR="00FB6356">
        <w:rPr>
          <w:rFonts w:ascii="Cambria" w:eastAsia="Times New Roman" w:hAnsi="Cambria" w:cs="Times New Roman"/>
          <w:kern w:val="0"/>
          <w:sz w:val="24"/>
          <w:szCs w:val="24"/>
          <w:lang w:val="en-GB" w:eastAsia="en-GB"/>
          <w14:ligatures w14:val="none"/>
        </w:rPr>
        <w:t>indicates</w:t>
      </w:r>
      <w:r w:rsidR="00CE5EFE" w:rsidRPr="00CE5EFE">
        <w:rPr>
          <w:rFonts w:ascii="Cambria" w:eastAsia="Times New Roman" w:hAnsi="Cambria" w:cs="Times New Roman"/>
          <w:kern w:val="0"/>
          <w:sz w:val="24"/>
          <w:szCs w:val="24"/>
          <w:lang w:val="en-GB" w:eastAsia="en-GB"/>
          <w14:ligatures w14:val="none"/>
        </w:rPr>
        <w:t xml:space="preserve"> that it captures seasonal </w:t>
      </w:r>
      <w:r w:rsidR="00FB6356">
        <w:rPr>
          <w:rFonts w:ascii="Cambria" w:eastAsia="Times New Roman" w:hAnsi="Cambria" w:cs="Times New Roman"/>
          <w:kern w:val="0"/>
          <w:sz w:val="24"/>
          <w:szCs w:val="24"/>
          <w:lang w:val="en-GB" w:eastAsia="en-GB"/>
          <w14:ligatures w14:val="none"/>
        </w:rPr>
        <w:t>patterns</w:t>
      </w:r>
      <w:r w:rsidR="00CE5EFE" w:rsidRPr="00CE5EFE">
        <w:rPr>
          <w:rFonts w:ascii="Cambria" w:eastAsia="Times New Roman" w:hAnsi="Cambria" w:cs="Times New Roman"/>
          <w:kern w:val="0"/>
          <w:sz w:val="24"/>
          <w:szCs w:val="24"/>
          <w:lang w:val="en-GB" w:eastAsia="en-GB"/>
          <w14:ligatures w14:val="none"/>
        </w:rPr>
        <w:t xml:space="preserve"> of evapotranspiration better. Efficiency values of </w:t>
      </w:r>
      <w:proofErr w:type="spellStart"/>
      <w:r w:rsidR="00CE5EFE" w:rsidRPr="00CE5EFE">
        <w:rPr>
          <w:rFonts w:ascii="Cambria" w:eastAsia="Times New Roman" w:hAnsi="Cambria" w:cs="Times New Roman"/>
          <w:kern w:val="0"/>
          <w:sz w:val="24"/>
          <w:szCs w:val="24"/>
          <w:lang w:val="en-GB" w:eastAsia="en-GB"/>
          <w14:ligatures w14:val="none"/>
        </w:rPr>
        <w:t>WaPOR</w:t>
      </w:r>
      <w:proofErr w:type="spellEnd"/>
      <w:r w:rsidR="00CE5EFE" w:rsidRPr="00CE5EFE">
        <w:rPr>
          <w:rFonts w:ascii="Cambria" w:eastAsia="Times New Roman" w:hAnsi="Cambria" w:cs="Times New Roman"/>
          <w:kern w:val="0"/>
          <w:sz w:val="24"/>
          <w:szCs w:val="24"/>
          <w:lang w:val="en-GB" w:eastAsia="en-GB"/>
          <w14:ligatures w14:val="none"/>
        </w:rPr>
        <w:t xml:space="preserve"> are higher than MODIS16A2 indicating better performance during all the seasons. </w:t>
      </w:r>
      <w:r w:rsidR="00CE5EFE">
        <w:rPr>
          <w:rFonts w:ascii="Cambria" w:eastAsia="Times New Roman" w:hAnsi="Cambria" w:cs="Times New Roman"/>
          <w:kern w:val="0"/>
          <w:sz w:val="24"/>
          <w:szCs w:val="24"/>
          <w:lang w:val="en-GB" w:eastAsia="en-GB"/>
          <w14:ligatures w14:val="none"/>
        </w:rPr>
        <w:t>K</w:t>
      </w:r>
      <w:r w:rsidR="00CE5EFE" w:rsidRPr="00CE5EFE">
        <w:rPr>
          <w:rFonts w:ascii="Cambria" w:eastAsia="Times New Roman" w:hAnsi="Cambria" w:cs="Times New Roman"/>
          <w:kern w:val="0"/>
          <w:sz w:val="24"/>
          <w:szCs w:val="24"/>
          <w:lang w:val="en-GB" w:eastAsia="en-GB"/>
          <w14:ligatures w14:val="none"/>
        </w:rPr>
        <w:t xml:space="preserve">GE scores demonstrate that </w:t>
      </w:r>
      <w:proofErr w:type="spellStart"/>
      <w:r w:rsidR="00CE5EFE" w:rsidRPr="00CE5EFE">
        <w:rPr>
          <w:rFonts w:ascii="Cambria" w:eastAsia="Times New Roman" w:hAnsi="Cambria" w:cs="Times New Roman"/>
          <w:kern w:val="0"/>
          <w:sz w:val="24"/>
          <w:szCs w:val="24"/>
          <w:lang w:val="en-GB" w:eastAsia="en-GB"/>
          <w14:ligatures w14:val="none"/>
        </w:rPr>
        <w:t>WaPOR</w:t>
      </w:r>
      <w:proofErr w:type="spellEnd"/>
      <w:r w:rsidR="00CE5EFE" w:rsidRPr="00CE5EFE">
        <w:rPr>
          <w:rFonts w:ascii="Cambria" w:eastAsia="Times New Roman" w:hAnsi="Cambria" w:cs="Times New Roman"/>
          <w:kern w:val="0"/>
          <w:sz w:val="24"/>
          <w:szCs w:val="24"/>
          <w:lang w:val="en-GB" w:eastAsia="en-GB"/>
          <w14:ligatures w14:val="none"/>
        </w:rPr>
        <w:t xml:space="preserve"> generates comparatively higher values for all seasons</w:t>
      </w:r>
    </w:p>
    <w:p w14:paraId="33F14AA4" w14:textId="4CE8FF44" w:rsidR="00C56150" w:rsidRPr="00C56150" w:rsidRDefault="00591A0E" w:rsidP="00591A0E">
      <w:r w:rsidRPr="005E16B4">
        <w:rPr>
          <w:rFonts w:ascii="Cambria" w:eastAsia="Times New Roman" w:hAnsi="Cambria" w:cs="Times New Roman"/>
          <w:b/>
          <w:bCs/>
          <w:kern w:val="0"/>
          <w:sz w:val="24"/>
          <w:szCs w:val="24"/>
          <w:lang w:val="en-GB" w:eastAsia="en-GB"/>
          <w14:ligatures w14:val="none"/>
        </w:rPr>
        <w:t>Keywords</w:t>
      </w:r>
      <w:r>
        <w:t xml:space="preserve">: </w:t>
      </w:r>
      <w:r w:rsidRPr="005E16B4">
        <w:rPr>
          <w:rFonts w:ascii="Cambria" w:eastAsia="Times New Roman" w:hAnsi="Cambria" w:cs="Times New Roman"/>
          <w:kern w:val="0"/>
          <w:sz w:val="24"/>
          <w:szCs w:val="24"/>
          <w:lang w:val="en-GB" w:eastAsia="en-GB"/>
          <w14:ligatures w14:val="none"/>
        </w:rPr>
        <w:t xml:space="preserve">actual evapotranspiration; remote sensing; energy balance; </w:t>
      </w:r>
      <w:proofErr w:type="spellStart"/>
      <w:r w:rsidRPr="005E16B4">
        <w:rPr>
          <w:rFonts w:ascii="Cambria" w:eastAsia="Times New Roman" w:hAnsi="Cambria" w:cs="Times New Roman"/>
          <w:kern w:val="0"/>
          <w:sz w:val="24"/>
          <w:szCs w:val="24"/>
          <w:lang w:val="en-GB" w:eastAsia="en-GB"/>
          <w14:ligatures w14:val="none"/>
        </w:rPr>
        <w:t>WaPOR</w:t>
      </w:r>
      <w:proofErr w:type="spellEnd"/>
      <w:r w:rsidRPr="005E16B4">
        <w:rPr>
          <w:rFonts w:ascii="Cambria" w:eastAsia="Times New Roman" w:hAnsi="Cambria" w:cs="Times New Roman"/>
          <w:kern w:val="0"/>
          <w:sz w:val="24"/>
          <w:szCs w:val="24"/>
          <w:lang w:val="en-GB" w:eastAsia="en-GB"/>
          <w14:ligatures w14:val="none"/>
        </w:rPr>
        <w:t xml:space="preserve"> database</w:t>
      </w:r>
    </w:p>
    <w:bookmarkEnd w:id="0"/>
    <w:p w14:paraId="2350E6F8" w14:textId="2A281D18" w:rsidR="00052C54" w:rsidRPr="005E16B4" w:rsidRDefault="00052C54" w:rsidP="00AA75CD">
      <w:pPr>
        <w:pStyle w:val="Heading1"/>
        <w:keepLines w:val="0"/>
        <w:numPr>
          <w:ilvl w:val="0"/>
          <w:numId w:val="2"/>
        </w:numPr>
        <w:spacing w:before="0" w:after="0" w:line="240" w:lineRule="auto"/>
        <w:ind w:left="0" w:right="567" w:firstLine="0"/>
        <w:contextualSpacing/>
        <w:jc w:val="both"/>
        <w:rPr>
          <w:rFonts w:ascii="Cambria" w:eastAsia="Times New Roman" w:hAnsi="Cambria" w:cs="Arial"/>
          <w:b/>
          <w:bCs/>
          <w:color w:val="auto"/>
          <w:kern w:val="32"/>
          <w:sz w:val="24"/>
          <w:szCs w:val="24"/>
          <w:lang w:val="en-GB" w:eastAsia="en-GB"/>
          <w14:ligatures w14:val="none"/>
        </w:rPr>
      </w:pPr>
      <w:r w:rsidRPr="005E16B4">
        <w:rPr>
          <w:rFonts w:ascii="Cambria" w:eastAsia="Times New Roman" w:hAnsi="Cambria" w:cs="Arial"/>
          <w:b/>
          <w:bCs/>
          <w:color w:val="auto"/>
          <w:kern w:val="32"/>
          <w:sz w:val="24"/>
          <w:szCs w:val="24"/>
          <w:lang w:val="en-GB" w:eastAsia="en-GB"/>
          <w14:ligatures w14:val="none"/>
        </w:rPr>
        <w:lastRenderedPageBreak/>
        <w:t>Introduction:</w:t>
      </w:r>
    </w:p>
    <w:p w14:paraId="3C4C61FD" w14:textId="258B0713" w:rsidR="00591A0E" w:rsidRPr="005E16B4" w:rsidRDefault="00C56150" w:rsidP="001312D7">
      <w:pPr>
        <w:jc w:val="both"/>
        <w:rPr>
          <w:rFonts w:ascii="Cambria" w:eastAsia="Times New Roman" w:hAnsi="Cambria" w:cs="Times New Roman"/>
          <w:kern w:val="0"/>
          <w:sz w:val="24"/>
          <w:szCs w:val="24"/>
          <w:lang w:eastAsia="en-GB"/>
          <w14:ligatures w14:val="none"/>
        </w:rPr>
      </w:pPr>
      <w:r w:rsidRPr="005E16B4">
        <w:rPr>
          <w:rFonts w:ascii="Cambria" w:eastAsia="Times New Roman" w:hAnsi="Cambria" w:cs="Times New Roman"/>
          <w:kern w:val="0"/>
          <w:sz w:val="24"/>
          <w:szCs w:val="24"/>
          <w:lang w:eastAsia="en-GB"/>
          <w14:ligatures w14:val="none"/>
        </w:rPr>
        <w:t xml:space="preserve">Evapotranspiration is a key player in the hydrological cycle as it </w:t>
      </w:r>
      <w:r w:rsidR="00C75845" w:rsidRPr="005E16B4">
        <w:rPr>
          <w:rFonts w:ascii="Cambria" w:eastAsia="Times New Roman" w:hAnsi="Cambria" w:cs="Times New Roman"/>
          <w:kern w:val="0"/>
          <w:sz w:val="24"/>
          <w:szCs w:val="24"/>
          <w:lang w:eastAsia="en-GB"/>
          <w14:ligatures w14:val="none"/>
        </w:rPr>
        <w:t>represents</w:t>
      </w:r>
      <w:r w:rsidRPr="005E16B4">
        <w:rPr>
          <w:rFonts w:ascii="Cambria" w:eastAsia="Times New Roman" w:hAnsi="Cambria" w:cs="Times New Roman"/>
          <w:kern w:val="0"/>
          <w:sz w:val="24"/>
          <w:szCs w:val="24"/>
          <w:lang w:eastAsia="en-GB"/>
          <w14:ligatures w14:val="none"/>
        </w:rPr>
        <w:t xml:space="preserve"> </w:t>
      </w:r>
      <w:r w:rsidR="00C75845" w:rsidRPr="005E16B4">
        <w:rPr>
          <w:rFonts w:ascii="Cambria" w:eastAsia="Times New Roman" w:hAnsi="Cambria" w:cs="Times New Roman"/>
          <w:kern w:val="0"/>
          <w:sz w:val="24"/>
          <w:szCs w:val="24"/>
          <w:lang w:eastAsia="en-GB"/>
          <w14:ligatures w14:val="none"/>
        </w:rPr>
        <w:t xml:space="preserve">approximately 62% of the total precipitation over land globally. It </w:t>
      </w:r>
      <w:r w:rsidR="007D7617" w:rsidRPr="005E16B4">
        <w:rPr>
          <w:rFonts w:ascii="Cambria" w:eastAsia="Times New Roman" w:hAnsi="Cambria" w:cs="Times New Roman"/>
          <w:kern w:val="0"/>
          <w:sz w:val="24"/>
          <w:szCs w:val="24"/>
          <w:lang w:eastAsia="en-GB"/>
          <w14:ligatures w14:val="none"/>
        </w:rPr>
        <w:t>refers</w:t>
      </w:r>
      <w:r w:rsidR="00C75845" w:rsidRPr="005E16B4">
        <w:rPr>
          <w:rFonts w:ascii="Cambria" w:eastAsia="Times New Roman" w:hAnsi="Cambria" w:cs="Times New Roman"/>
          <w:kern w:val="0"/>
          <w:sz w:val="24"/>
          <w:szCs w:val="24"/>
          <w:lang w:eastAsia="en-GB"/>
          <w14:ligatures w14:val="none"/>
        </w:rPr>
        <w:t xml:space="preserve"> </w:t>
      </w:r>
      <w:r w:rsidR="007D7617" w:rsidRPr="005E16B4">
        <w:rPr>
          <w:rFonts w:ascii="Cambria" w:eastAsia="Times New Roman" w:hAnsi="Cambria" w:cs="Times New Roman"/>
          <w:kern w:val="0"/>
          <w:sz w:val="24"/>
          <w:szCs w:val="24"/>
          <w:lang w:eastAsia="en-GB"/>
          <w14:ligatures w14:val="none"/>
        </w:rPr>
        <w:t xml:space="preserve">to </w:t>
      </w:r>
      <w:r w:rsidR="00C75845" w:rsidRPr="005E16B4">
        <w:rPr>
          <w:rFonts w:ascii="Cambria" w:eastAsia="Times New Roman" w:hAnsi="Cambria" w:cs="Times New Roman"/>
          <w:kern w:val="0"/>
          <w:sz w:val="24"/>
          <w:szCs w:val="24"/>
          <w:lang w:eastAsia="en-GB"/>
          <w14:ligatures w14:val="none"/>
        </w:rPr>
        <w:t>the sum of water</w:t>
      </w:r>
      <w:r w:rsidR="007D7617" w:rsidRPr="005E16B4">
        <w:rPr>
          <w:rFonts w:ascii="Cambria" w:eastAsia="Times New Roman" w:hAnsi="Cambria" w:cs="Times New Roman"/>
          <w:kern w:val="0"/>
          <w:sz w:val="24"/>
          <w:szCs w:val="24"/>
          <w:lang w:eastAsia="en-GB"/>
          <w14:ligatures w14:val="none"/>
        </w:rPr>
        <w:t xml:space="preserve"> particles</w:t>
      </w:r>
      <w:r w:rsidR="00C75845" w:rsidRPr="005E16B4">
        <w:rPr>
          <w:rFonts w:ascii="Cambria" w:eastAsia="Times New Roman" w:hAnsi="Cambria" w:cs="Times New Roman"/>
          <w:kern w:val="0"/>
          <w:sz w:val="24"/>
          <w:szCs w:val="24"/>
          <w:lang w:eastAsia="en-GB"/>
          <w14:ligatures w14:val="none"/>
        </w:rPr>
        <w:t xml:space="preserve"> </w:t>
      </w:r>
      <w:r w:rsidR="00591A0E" w:rsidRPr="005E16B4">
        <w:rPr>
          <w:rFonts w:ascii="Cambria" w:eastAsia="Times New Roman" w:hAnsi="Cambria" w:cs="Times New Roman"/>
          <w:kern w:val="0"/>
          <w:sz w:val="24"/>
          <w:szCs w:val="24"/>
          <w:lang w:eastAsia="en-GB"/>
          <w14:ligatures w14:val="none"/>
        </w:rPr>
        <w:t>moving</w:t>
      </w:r>
      <w:r w:rsidR="00C75845" w:rsidRPr="005E16B4">
        <w:rPr>
          <w:rFonts w:ascii="Cambria" w:eastAsia="Times New Roman" w:hAnsi="Cambria" w:cs="Times New Roman"/>
          <w:kern w:val="0"/>
          <w:sz w:val="24"/>
          <w:szCs w:val="24"/>
          <w:lang w:eastAsia="en-GB"/>
          <w14:ligatures w14:val="none"/>
        </w:rPr>
        <w:t xml:space="preserve"> from the land surface to the atmosphere via evaporation and transpiration</w:t>
      </w:r>
      <w:r w:rsidR="007D7617" w:rsidRPr="005E16B4">
        <w:rPr>
          <w:rFonts w:ascii="Cambria" w:eastAsia="Times New Roman" w:hAnsi="Cambria" w:cs="Times New Roman"/>
          <w:kern w:val="0"/>
          <w:sz w:val="24"/>
          <w:szCs w:val="24"/>
          <w:lang w:eastAsia="en-GB"/>
          <w14:ligatures w14:val="none"/>
        </w:rPr>
        <w:t xml:space="preserve"> process</w:t>
      </w:r>
      <w:r w:rsidR="00C75845" w:rsidRPr="005E16B4">
        <w:rPr>
          <w:rFonts w:ascii="Cambria" w:eastAsia="Times New Roman" w:hAnsi="Cambria" w:cs="Times New Roman"/>
          <w:kern w:val="0"/>
          <w:sz w:val="24"/>
          <w:szCs w:val="24"/>
          <w:lang w:eastAsia="en-GB"/>
          <w14:ligatures w14:val="none"/>
        </w:rPr>
        <w:t>.</w:t>
      </w:r>
    </w:p>
    <w:p w14:paraId="1D7B35F2" w14:textId="0F9B1D52" w:rsidR="00591A0E" w:rsidRPr="005E16B4" w:rsidRDefault="00591A0E" w:rsidP="001312D7">
      <w:pPr>
        <w:jc w:val="both"/>
        <w:rPr>
          <w:rFonts w:ascii="Cambria" w:eastAsia="Times New Roman" w:hAnsi="Cambria" w:cs="Times New Roman"/>
          <w:kern w:val="0"/>
          <w:sz w:val="24"/>
          <w:szCs w:val="24"/>
          <w:lang w:eastAsia="en-GB"/>
          <w14:ligatures w14:val="none"/>
        </w:rPr>
      </w:pPr>
      <w:r w:rsidRPr="005E16B4">
        <w:rPr>
          <w:rFonts w:ascii="Cambria" w:eastAsia="Times New Roman" w:hAnsi="Cambria" w:cs="Times New Roman"/>
          <w:kern w:val="0"/>
          <w:sz w:val="24"/>
          <w:szCs w:val="24"/>
          <w:lang w:eastAsia="en-GB"/>
          <w14:ligatures w14:val="none"/>
        </w:rPr>
        <w:t xml:space="preserve">ET is the dominant factor in water outflow through the turf, which constitutes the ‘consumptive’ use of water in agricultural and vegetated regions. Everyone agreed that ET should be measured spatially and temporally to support such water resources utilization and management that include: quantifying water use across the various land-cover types, water resources management, water planning for irrigation both at scheme and farm levels, crop water productivity assessment, yield forecast through modeling and simulation, calculation of agricultural drought coefficients, water balance and accountancy in various hydrological systems at small and large scales. It also helps formulate strategies on how to mitigate the impacts of climate change. </w:t>
      </w:r>
      <w:sdt>
        <w:sdtPr>
          <w:rPr>
            <w:rFonts w:ascii="Cambria" w:eastAsia="Times New Roman" w:hAnsi="Cambria" w:cs="Times New Roman"/>
            <w:kern w:val="0"/>
            <w:sz w:val="24"/>
            <w:szCs w:val="24"/>
            <w:lang w:eastAsia="en-GB"/>
            <w14:ligatures w14:val="none"/>
          </w:rPr>
          <w:id w:val="-49548437"/>
          <w:citation/>
        </w:sdtPr>
        <w:sdtContent>
          <w:r w:rsidRPr="005E16B4">
            <w:rPr>
              <w:rFonts w:ascii="Cambria" w:eastAsia="Times New Roman" w:hAnsi="Cambria" w:cs="Times New Roman"/>
              <w:kern w:val="0"/>
              <w:sz w:val="24"/>
              <w:szCs w:val="24"/>
              <w:lang w:eastAsia="en-GB"/>
              <w14:ligatures w14:val="none"/>
            </w:rPr>
            <w:fldChar w:fldCharType="begin"/>
          </w:r>
          <w:r w:rsidRPr="005E16B4">
            <w:rPr>
              <w:rFonts w:ascii="Cambria" w:eastAsia="Times New Roman" w:hAnsi="Cambria" w:cs="Times New Roman"/>
              <w:kern w:val="0"/>
              <w:sz w:val="24"/>
              <w:szCs w:val="24"/>
              <w:lang w:eastAsia="en-GB"/>
              <w14:ligatures w14:val="none"/>
            </w:rPr>
            <w:instrText xml:space="preserve"> CITATION FAO23 \l 1033 </w:instrText>
          </w:r>
          <w:r w:rsidRPr="005E16B4">
            <w:rPr>
              <w:rFonts w:ascii="Cambria" w:eastAsia="Times New Roman" w:hAnsi="Cambria" w:cs="Times New Roman"/>
              <w:kern w:val="0"/>
              <w:sz w:val="24"/>
              <w:szCs w:val="24"/>
              <w:lang w:eastAsia="en-GB"/>
              <w14:ligatures w14:val="none"/>
            </w:rPr>
            <w:fldChar w:fldCharType="separate"/>
          </w:r>
          <w:r w:rsidRPr="005E16B4">
            <w:rPr>
              <w:rFonts w:ascii="Cambria" w:eastAsia="Times New Roman" w:hAnsi="Cambria" w:cs="Times New Roman"/>
              <w:kern w:val="0"/>
              <w:sz w:val="24"/>
              <w:szCs w:val="24"/>
              <w:lang w:eastAsia="en-GB"/>
              <w14:ligatures w14:val="none"/>
            </w:rPr>
            <w:t xml:space="preserve"> (FAO, 2023.)</w:t>
          </w:r>
          <w:r w:rsidRPr="005E16B4">
            <w:rPr>
              <w:rFonts w:ascii="Cambria" w:eastAsia="Times New Roman" w:hAnsi="Cambria" w:cs="Times New Roman"/>
              <w:kern w:val="0"/>
              <w:sz w:val="24"/>
              <w:szCs w:val="24"/>
              <w:lang w:eastAsia="en-GB"/>
              <w14:ligatures w14:val="none"/>
            </w:rPr>
            <w:fldChar w:fldCharType="end"/>
          </w:r>
        </w:sdtContent>
      </w:sdt>
    </w:p>
    <w:p w14:paraId="3EC16F49" w14:textId="7E975D5B" w:rsidR="00F70B9D" w:rsidRPr="005E16B4" w:rsidRDefault="001312D7" w:rsidP="001312D7">
      <w:pPr>
        <w:jc w:val="both"/>
        <w:rPr>
          <w:rFonts w:ascii="Cambria" w:eastAsia="Times New Roman" w:hAnsi="Cambria" w:cs="Times New Roman"/>
          <w:kern w:val="0"/>
          <w:sz w:val="24"/>
          <w:szCs w:val="24"/>
          <w:lang w:eastAsia="en-GB"/>
          <w14:ligatures w14:val="none"/>
        </w:rPr>
      </w:pPr>
      <w:r w:rsidRPr="001312D7">
        <w:rPr>
          <w:rFonts w:ascii="Cambria" w:eastAsia="Times New Roman" w:hAnsi="Cambria" w:cs="Times New Roman"/>
          <w:kern w:val="0"/>
          <w:sz w:val="24"/>
          <w:szCs w:val="24"/>
          <w:lang w:eastAsia="en-GB"/>
          <w14:ligatures w14:val="none"/>
        </w:rPr>
        <w:t>ET depends highly on environmental and meteorological conditions and hence differs considerably with regions and ecosystems</w:t>
      </w:r>
      <w:r w:rsidR="00DE60CA" w:rsidRPr="005E16B4">
        <w:rPr>
          <w:rFonts w:ascii="Cambria" w:eastAsia="Times New Roman" w:hAnsi="Cambria" w:cs="Times New Roman"/>
          <w:kern w:val="0"/>
          <w:sz w:val="24"/>
          <w:szCs w:val="24"/>
          <w:lang w:eastAsia="en-GB"/>
          <w14:ligatures w14:val="none"/>
        </w:rPr>
        <w:t xml:space="preserve"> as shown in </w:t>
      </w:r>
      <w:r w:rsidR="00DE60CA" w:rsidRPr="005E16B4">
        <w:rPr>
          <w:rFonts w:ascii="Cambria" w:eastAsia="Times New Roman" w:hAnsi="Cambria" w:cs="Times New Roman"/>
          <w:kern w:val="0"/>
          <w:sz w:val="24"/>
          <w:szCs w:val="24"/>
          <w:lang w:eastAsia="en-GB"/>
          <w14:ligatures w14:val="none"/>
        </w:rPr>
        <w:fldChar w:fldCharType="begin"/>
      </w:r>
      <w:r w:rsidR="00DE60CA" w:rsidRPr="005E16B4">
        <w:rPr>
          <w:rFonts w:ascii="Cambria" w:eastAsia="Times New Roman" w:hAnsi="Cambria" w:cs="Times New Roman"/>
          <w:kern w:val="0"/>
          <w:sz w:val="24"/>
          <w:szCs w:val="24"/>
          <w:lang w:eastAsia="en-GB"/>
          <w14:ligatures w14:val="none"/>
        </w:rPr>
        <w:instrText xml:space="preserve"> REF _Ref182433705 \h </w:instrText>
      </w:r>
      <w:r w:rsidR="005E16B4">
        <w:rPr>
          <w:rFonts w:ascii="Cambria" w:eastAsia="Times New Roman" w:hAnsi="Cambria" w:cs="Times New Roman"/>
          <w:kern w:val="0"/>
          <w:sz w:val="24"/>
          <w:szCs w:val="24"/>
          <w:lang w:eastAsia="en-GB"/>
          <w14:ligatures w14:val="none"/>
        </w:rPr>
        <w:instrText xml:space="preserve"> \* MERGEFORMAT </w:instrText>
      </w:r>
      <w:r w:rsidR="00DE60CA" w:rsidRPr="005E16B4">
        <w:rPr>
          <w:rFonts w:ascii="Cambria" w:eastAsia="Times New Roman" w:hAnsi="Cambria" w:cs="Times New Roman"/>
          <w:kern w:val="0"/>
          <w:sz w:val="24"/>
          <w:szCs w:val="24"/>
          <w:lang w:eastAsia="en-GB"/>
          <w14:ligatures w14:val="none"/>
        </w:rPr>
      </w:r>
      <w:r w:rsidR="00DE60CA" w:rsidRPr="005E16B4">
        <w:rPr>
          <w:rFonts w:ascii="Cambria" w:eastAsia="Times New Roman" w:hAnsi="Cambria" w:cs="Times New Roman"/>
          <w:kern w:val="0"/>
          <w:sz w:val="24"/>
          <w:szCs w:val="24"/>
          <w:lang w:eastAsia="en-GB"/>
          <w14:ligatures w14:val="none"/>
        </w:rPr>
        <w:fldChar w:fldCharType="separate"/>
      </w:r>
      <w:r w:rsidR="00DE60CA" w:rsidRPr="005E16B4">
        <w:rPr>
          <w:rFonts w:ascii="Cambria" w:eastAsia="Times New Roman" w:hAnsi="Cambria" w:cs="Times New Roman"/>
          <w:kern w:val="0"/>
          <w:sz w:val="24"/>
          <w:szCs w:val="24"/>
          <w:lang w:eastAsia="en-GB"/>
          <w14:ligatures w14:val="none"/>
        </w:rPr>
        <w:t>Figure 1</w:t>
      </w:r>
      <w:r w:rsidR="00DE60CA" w:rsidRPr="005E16B4">
        <w:rPr>
          <w:rFonts w:ascii="Cambria" w:eastAsia="Times New Roman" w:hAnsi="Cambria" w:cs="Times New Roman"/>
          <w:kern w:val="0"/>
          <w:sz w:val="24"/>
          <w:szCs w:val="24"/>
          <w:lang w:eastAsia="en-GB"/>
          <w14:ligatures w14:val="none"/>
        </w:rPr>
        <w:fldChar w:fldCharType="end"/>
      </w:r>
      <w:r w:rsidR="005F1AB2" w:rsidRPr="005E16B4">
        <w:rPr>
          <w:rFonts w:ascii="Cambria" w:eastAsia="Times New Roman" w:hAnsi="Cambria" w:cs="Times New Roman"/>
          <w:kern w:val="0"/>
          <w:sz w:val="24"/>
          <w:szCs w:val="24"/>
          <w:lang w:eastAsia="en-GB"/>
          <w14:ligatures w14:val="none"/>
        </w:rPr>
        <w:t xml:space="preserve">. </w:t>
      </w:r>
      <w:r w:rsidRPr="001312D7">
        <w:rPr>
          <w:rFonts w:ascii="Cambria" w:eastAsia="Times New Roman" w:hAnsi="Cambria" w:cs="Times New Roman"/>
          <w:kern w:val="0"/>
          <w:sz w:val="24"/>
          <w:szCs w:val="24"/>
          <w:lang w:eastAsia="en-GB"/>
          <w14:ligatures w14:val="none"/>
        </w:rPr>
        <w:t>These variations are due to various interactive n – factors which include meteorological factors, soil and biological factors. Of all the meteorological factors that affect ET rates, temperature steps up the rates tremendously by enhancing the heat trapped by plants. Soil and plant surface water vaporization is favored by increased temperatures as put by</w:t>
      </w:r>
      <w:r w:rsidR="00F70B9D" w:rsidRPr="005E16B4">
        <w:rPr>
          <w:rFonts w:ascii="Cambria" w:eastAsia="Times New Roman" w:hAnsi="Cambria" w:cs="Times New Roman"/>
          <w:kern w:val="0"/>
          <w:sz w:val="24"/>
          <w:szCs w:val="24"/>
          <w:lang w:eastAsia="en-GB"/>
          <w14:ligatures w14:val="none"/>
        </w:rPr>
        <w:t xml:space="preserve"> </w:t>
      </w:r>
      <w:sdt>
        <w:sdtPr>
          <w:rPr>
            <w:rFonts w:ascii="Cambria" w:eastAsia="Times New Roman" w:hAnsi="Cambria" w:cs="Times New Roman"/>
            <w:kern w:val="0"/>
            <w:sz w:val="24"/>
            <w:szCs w:val="24"/>
            <w:lang w:eastAsia="en-GB"/>
            <w14:ligatures w14:val="none"/>
          </w:rPr>
          <w:id w:val="-1511287393"/>
          <w:citation/>
        </w:sdtPr>
        <w:sdtContent>
          <w:r w:rsidR="00F70B9D" w:rsidRPr="005E16B4">
            <w:rPr>
              <w:rFonts w:ascii="Cambria" w:eastAsia="Times New Roman" w:hAnsi="Cambria" w:cs="Times New Roman"/>
              <w:kern w:val="0"/>
              <w:sz w:val="24"/>
              <w:szCs w:val="24"/>
              <w:lang w:eastAsia="en-GB"/>
              <w14:ligatures w14:val="none"/>
            </w:rPr>
            <w:fldChar w:fldCharType="begin"/>
          </w:r>
          <w:r w:rsidR="00F70B9D" w:rsidRPr="005E16B4">
            <w:rPr>
              <w:rFonts w:ascii="Cambria" w:eastAsia="Times New Roman" w:hAnsi="Cambria" w:cs="Times New Roman"/>
              <w:kern w:val="0"/>
              <w:sz w:val="24"/>
              <w:szCs w:val="24"/>
              <w:lang w:eastAsia="en-GB"/>
              <w14:ligatures w14:val="none"/>
            </w:rPr>
            <w:instrText xml:space="preserve"> CITATION Dun17 \l 1033 </w:instrText>
          </w:r>
          <w:r w:rsidR="00F70B9D" w:rsidRPr="005E16B4">
            <w:rPr>
              <w:rFonts w:ascii="Cambria" w:eastAsia="Times New Roman" w:hAnsi="Cambria" w:cs="Times New Roman"/>
              <w:kern w:val="0"/>
              <w:sz w:val="24"/>
              <w:szCs w:val="24"/>
              <w:lang w:eastAsia="en-GB"/>
              <w14:ligatures w14:val="none"/>
            </w:rPr>
            <w:fldChar w:fldCharType="separate"/>
          </w:r>
          <w:r w:rsidR="00F70B9D" w:rsidRPr="005E16B4">
            <w:rPr>
              <w:rFonts w:ascii="Cambria" w:eastAsia="Times New Roman" w:hAnsi="Cambria" w:cs="Times New Roman"/>
              <w:kern w:val="0"/>
              <w:sz w:val="24"/>
              <w:szCs w:val="24"/>
              <w:lang w:eastAsia="en-GB"/>
              <w14:ligatures w14:val="none"/>
            </w:rPr>
            <w:t>(Dunxian She, et. al., 2017)</w:t>
          </w:r>
          <w:r w:rsidR="00F70B9D" w:rsidRPr="005E16B4">
            <w:rPr>
              <w:rFonts w:ascii="Cambria" w:eastAsia="Times New Roman" w:hAnsi="Cambria" w:cs="Times New Roman"/>
              <w:kern w:val="0"/>
              <w:sz w:val="24"/>
              <w:szCs w:val="24"/>
              <w:lang w:eastAsia="en-GB"/>
              <w14:ligatures w14:val="none"/>
            </w:rPr>
            <w:fldChar w:fldCharType="end"/>
          </w:r>
        </w:sdtContent>
      </w:sdt>
      <w:r w:rsidR="00433D00" w:rsidRPr="001312D7">
        <w:rPr>
          <w:rFonts w:ascii="Cambria" w:eastAsia="Times New Roman" w:hAnsi="Cambria" w:cs="Times New Roman"/>
          <w:kern w:val="0"/>
          <w:sz w:val="24"/>
          <w:szCs w:val="24"/>
          <w:lang w:eastAsia="en-GB"/>
          <w14:ligatures w14:val="none"/>
        </w:rPr>
        <w:t xml:space="preserve"> </w:t>
      </w:r>
      <w:r w:rsidRPr="001312D7">
        <w:rPr>
          <w:rFonts w:ascii="Cambria" w:eastAsia="Times New Roman" w:hAnsi="Cambria" w:cs="Times New Roman"/>
          <w:kern w:val="0"/>
          <w:sz w:val="24"/>
          <w:szCs w:val="24"/>
          <w:lang w:eastAsia="en-GB"/>
          <w14:ligatures w14:val="none"/>
        </w:rPr>
        <w:t xml:space="preserve">, where temperature was identified to affect ET fluctuations in different habitats. Another important component is solar radiation since higher levels of this component meet the required heat for water evaporation and subsequently increase ET rates, as revealed by </w:t>
      </w:r>
      <w:sdt>
        <w:sdtPr>
          <w:rPr>
            <w:rFonts w:ascii="Cambria" w:eastAsia="Times New Roman" w:hAnsi="Cambria" w:cs="Times New Roman"/>
            <w:kern w:val="0"/>
            <w:sz w:val="24"/>
            <w:szCs w:val="24"/>
            <w:lang w:eastAsia="en-GB"/>
            <w14:ligatures w14:val="none"/>
          </w:rPr>
          <w:id w:val="1499857496"/>
          <w:citation/>
        </w:sdtPr>
        <w:sdtContent>
          <w:r w:rsidR="00433D00" w:rsidRPr="005E16B4">
            <w:rPr>
              <w:rFonts w:ascii="Cambria" w:eastAsia="Times New Roman" w:hAnsi="Cambria" w:cs="Times New Roman"/>
              <w:kern w:val="0"/>
              <w:sz w:val="24"/>
              <w:szCs w:val="24"/>
              <w:lang w:eastAsia="en-GB"/>
              <w14:ligatures w14:val="none"/>
            </w:rPr>
            <w:fldChar w:fldCharType="begin"/>
          </w:r>
          <w:r w:rsidR="00433D00" w:rsidRPr="005E16B4">
            <w:rPr>
              <w:rFonts w:ascii="Cambria" w:eastAsia="Times New Roman" w:hAnsi="Cambria" w:cs="Times New Roman"/>
              <w:kern w:val="0"/>
              <w:sz w:val="24"/>
              <w:szCs w:val="24"/>
              <w:lang w:eastAsia="en-GB"/>
              <w14:ligatures w14:val="none"/>
            </w:rPr>
            <w:instrText xml:space="preserve"> CITATION SMo96 \l 1033 </w:instrText>
          </w:r>
          <w:r w:rsidR="00433D00" w:rsidRPr="005E16B4">
            <w:rPr>
              <w:rFonts w:ascii="Cambria" w:eastAsia="Times New Roman" w:hAnsi="Cambria" w:cs="Times New Roman"/>
              <w:kern w:val="0"/>
              <w:sz w:val="24"/>
              <w:szCs w:val="24"/>
              <w:lang w:eastAsia="en-GB"/>
              <w14:ligatures w14:val="none"/>
            </w:rPr>
            <w:fldChar w:fldCharType="separate"/>
          </w:r>
          <w:r w:rsidR="00433D00" w:rsidRPr="005E16B4">
            <w:rPr>
              <w:rFonts w:ascii="Cambria" w:eastAsia="Times New Roman" w:hAnsi="Cambria" w:cs="Times New Roman"/>
              <w:kern w:val="0"/>
              <w:sz w:val="24"/>
              <w:szCs w:val="24"/>
              <w:lang w:eastAsia="en-GB"/>
              <w14:ligatures w14:val="none"/>
            </w:rPr>
            <w:t xml:space="preserve"> (S. Mohan, et. al., 1996)</w:t>
          </w:r>
          <w:r w:rsidR="00433D00" w:rsidRPr="005E16B4">
            <w:rPr>
              <w:rFonts w:ascii="Cambria" w:eastAsia="Times New Roman" w:hAnsi="Cambria" w:cs="Times New Roman"/>
              <w:kern w:val="0"/>
              <w:sz w:val="24"/>
              <w:szCs w:val="24"/>
              <w:lang w:eastAsia="en-GB"/>
              <w14:ligatures w14:val="none"/>
            </w:rPr>
            <w:fldChar w:fldCharType="end"/>
          </w:r>
        </w:sdtContent>
      </w:sdt>
      <w:r w:rsidR="00433D00" w:rsidRPr="005E16B4">
        <w:rPr>
          <w:rFonts w:ascii="Cambria" w:eastAsia="Times New Roman" w:hAnsi="Cambria" w:cs="Times New Roman"/>
          <w:kern w:val="0"/>
          <w:sz w:val="24"/>
          <w:szCs w:val="24"/>
          <w:lang w:eastAsia="en-GB"/>
          <w14:ligatures w14:val="none"/>
        </w:rPr>
        <w:t>.</w:t>
      </w:r>
      <w:r w:rsidRPr="001312D7">
        <w:rPr>
          <w:rFonts w:ascii="Cambria" w:eastAsia="Times New Roman" w:hAnsi="Cambria" w:cs="Times New Roman"/>
          <w:kern w:val="0"/>
          <w:sz w:val="24"/>
          <w:szCs w:val="24"/>
          <w:lang w:eastAsia="en-GB"/>
          <w14:ligatures w14:val="none"/>
        </w:rPr>
        <w:t xml:space="preserve"> Similarly, indirectly, humiture exerts an inverse impact on the ET rates. As the RH increases, the VPD decreases and thus the rate of the ET process is inhibited, as pointed out by</w:t>
      </w:r>
      <w:r w:rsidR="00433D00" w:rsidRPr="005E16B4">
        <w:rPr>
          <w:rFonts w:ascii="Cambria" w:eastAsia="Times New Roman" w:hAnsi="Cambria" w:cs="Times New Roman"/>
          <w:kern w:val="0"/>
          <w:sz w:val="24"/>
          <w:szCs w:val="24"/>
          <w:lang w:eastAsia="en-GB"/>
          <w14:ligatures w14:val="none"/>
        </w:rPr>
        <w:t>.</w:t>
      </w:r>
      <w:sdt>
        <w:sdtPr>
          <w:rPr>
            <w:rFonts w:ascii="Cambria" w:eastAsia="Times New Roman" w:hAnsi="Cambria" w:cs="Times New Roman"/>
            <w:kern w:val="0"/>
            <w:sz w:val="24"/>
            <w:szCs w:val="24"/>
            <w:lang w:eastAsia="en-GB"/>
            <w14:ligatures w14:val="none"/>
          </w:rPr>
          <w:id w:val="633062503"/>
          <w:citation/>
        </w:sdtPr>
        <w:sdtContent>
          <w:r w:rsidR="00433D00" w:rsidRPr="005E16B4">
            <w:rPr>
              <w:rFonts w:ascii="Cambria" w:eastAsia="Times New Roman" w:hAnsi="Cambria" w:cs="Times New Roman"/>
              <w:kern w:val="0"/>
              <w:sz w:val="24"/>
              <w:szCs w:val="24"/>
              <w:lang w:eastAsia="en-GB"/>
              <w14:ligatures w14:val="none"/>
            </w:rPr>
            <w:fldChar w:fldCharType="begin"/>
          </w:r>
          <w:r w:rsidR="00433D00" w:rsidRPr="005E16B4">
            <w:rPr>
              <w:rFonts w:ascii="Cambria" w:eastAsia="Times New Roman" w:hAnsi="Cambria" w:cs="Times New Roman"/>
              <w:kern w:val="0"/>
              <w:sz w:val="24"/>
              <w:szCs w:val="24"/>
              <w:lang w:eastAsia="en-GB"/>
              <w14:ligatures w14:val="none"/>
            </w:rPr>
            <w:instrText xml:space="preserve"> CITATION ZeX13 \l 1033 </w:instrText>
          </w:r>
          <w:r w:rsidR="00433D00" w:rsidRPr="005E16B4">
            <w:rPr>
              <w:rFonts w:ascii="Cambria" w:eastAsia="Times New Roman" w:hAnsi="Cambria" w:cs="Times New Roman"/>
              <w:kern w:val="0"/>
              <w:sz w:val="24"/>
              <w:szCs w:val="24"/>
              <w:lang w:eastAsia="en-GB"/>
              <w14:ligatures w14:val="none"/>
            </w:rPr>
            <w:fldChar w:fldCharType="separate"/>
          </w:r>
          <w:r w:rsidR="00433D00" w:rsidRPr="005E16B4">
            <w:rPr>
              <w:rFonts w:ascii="Cambria" w:eastAsia="Times New Roman" w:hAnsi="Cambria" w:cs="Times New Roman"/>
              <w:kern w:val="0"/>
              <w:sz w:val="24"/>
              <w:szCs w:val="24"/>
              <w:lang w:eastAsia="en-GB"/>
              <w14:ligatures w14:val="none"/>
            </w:rPr>
            <w:t xml:space="preserve"> (Ze-Xin Fan, et. al., 2013)</w:t>
          </w:r>
          <w:r w:rsidR="00433D00" w:rsidRPr="005E16B4">
            <w:rPr>
              <w:rFonts w:ascii="Cambria" w:eastAsia="Times New Roman" w:hAnsi="Cambria" w:cs="Times New Roman"/>
              <w:kern w:val="0"/>
              <w:sz w:val="24"/>
              <w:szCs w:val="24"/>
              <w:lang w:eastAsia="en-GB"/>
              <w14:ligatures w14:val="none"/>
            </w:rPr>
            <w:fldChar w:fldCharType="end"/>
          </w:r>
        </w:sdtContent>
      </w:sdt>
      <w:r>
        <w:rPr>
          <w:rFonts w:ascii="Cambria" w:eastAsia="Times New Roman" w:hAnsi="Cambria" w:cs="Times New Roman"/>
          <w:kern w:val="0"/>
          <w:sz w:val="24"/>
          <w:szCs w:val="24"/>
          <w:lang w:eastAsia="en-GB"/>
          <w14:ligatures w14:val="none"/>
        </w:rPr>
        <w:t xml:space="preserve">. </w:t>
      </w:r>
      <w:r w:rsidRPr="001312D7">
        <w:rPr>
          <w:rFonts w:ascii="Cambria" w:eastAsia="Times New Roman" w:hAnsi="Cambria" w:cs="Times New Roman"/>
          <w:kern w:val="0"/>
          <w:sz w:val="24"/>
          <w:szCs w:val="24"/>
          <w:lang w:eastAsia="en-GB"/>
          <w14:ligatures w14:val="none"/>
        </w:rPr>
        <w:t>Being an agent that transports moist air around evaporation surfaces, high wind speed also maintains a high vapor gradient that enhances the enhancement of ET.</w:t>
      </w:r>
    </w:p>
    <w:p w14:paraId="60AA43F0" w14:textId="0BA0C8BE" w:rsidR="007C4EC5" w:rsidRPr="001312D7" w:rsidRDefault="001312D7" w:rsidP="001312D7">
      <w:pPr>
        <w:jc w:val="both"/>
        <w:rPr>
          <w:rFonts w:ascii="Cambria" w:eastAsia="Times New Roman" w:hAnsi="Cambria" w:cs="Times New Roman"/>
          <w:kern w:val="0"/>
          <w:sz w:val="24"/>
          <w:szCs w:val="24"/>
          <w:lang w:eastAsia="en-GB"/>
          <w14:ligatures w14:val="none"/>
        </w:rPr>
      </w:pPr>
      <w:r w:rsidRPr="001312D7">
        <w:rPr>
          <w:rFonts w:ascii="Cambria" w:eastAsia="Times New Roman" w:hAnsi="Cambria" w:cs="Times New Roman"/>
          <w:kern w:val="0"/>
          <w:sz w:val="24"/>
          <w:szCs w:val="24"/>
          <w:lang w:eastAsia="en-GB"/>
          <w14:ligatures w14:val="none"/>
        </w:rPr>
        <w:t xml:space="preserve">Therefore, conditions of the soil and the land surface also affect ET. Soil moisture is of greater concern especially for rain fed and irrigated farming as it relates to the evaporative part of ET. In arid zones therefore, water becomes a restriction factor as has been explained by </w:t>
      </w:r>
      <w:sdt>
        <w:sdtPr>
          <w:rPr>
            <w:rFonts w:ascii="Cambria" w:eastAsia="Times New Roman" w:hAnsi="Cambria" w:cs="Times New Roman"/>
            <w:kern w:val="0"/>
            <w:sz w:val="24"/>
            <w:szCs w:val="24"/>
            <w:lang w:eastAsia="en-GB"/>
            <w14:ligatures w14:val="none"/>
          </w:rPr>
          <w:id w:val="939723450"/>
          <w:citation/>
        </w:sdtPr>
        <w:sdtContent>
          <w:r w:rsidR="007C4EC5" w:rsidRPr="001312D7">
            <w:rPr>
              <w:rFonts w:ascii="Cambria" w:eastAsia="Times New Roman" w:hAnsi="Cambria" w:cs="Times New Roman"/>
              <w:kern w:val="0"/>
              <w:sz w:val="24"/>
              <w:szCs w:val="24"/>
              <w:lang w:eastAsia="en-GB"/>
              <w14:ligatures w14:val="none"/>
            </w:rPr>
            <w:fldChar w:fldCharType="begin"/>
          </w:r>
          <w:r w:rsidR="007C4EC5" w:rsidRPr="001312D7">
            <w:rPr>
              <w:rFonts w:ascii="Cambria" w:eastAsia="Times New Roman" w:hAnsi="Cambria" w:cs="Times New Roman"/>
              <w:kern w:val="0"/>
              <w:sz w:val="24"/>
              <w:szCs w:val="24"/>
              <w:lang w:eastAsia="en-GB"/>
              <w14:ligatures w14:val="none"/>
            </w:rPr>
            <w:instrText xml:space="preserve"> CITATION ERL57 \l 1033 </w:instrText>
          </w:r>
          <w:r w:rsidR="007C4EC5" w:rsidRPr="001312D7">
            <w:rPr>
              <w:rFonts w:ascii="Cambria" w:eastAsia="Times New Roman" w:hAnsi="Cambria" w:cs="Times New Roman"/>
              <w:kern w:val="0"/>
              <w:sz w:val="24"/>
              <w:szCs w:val="24"/>
              <w:lang w:eastAsia="en-GB"/>
              <w14:ligatures w14:val="none"/>
            </w:rPr>
            <w:fldChar w:fldCharType="separate"/>
          </w:r>
          <w:r w:rsidR="007C4EC5" w:rsidRPr="001312D7">
            <w:rPr>
              <w:rFonts w:ascii="Cambria" w:eastAsia="Times New Roman" w:hAnsi="Cambria" w:cs="Times New Roman"/>
              <w:kern w:val="0"/>
              <w:sz w:val="24"/>
              <w:szCs w:val="24"/>
              <w:lang w:eastAsia="en-GB"/>
              <w14:ligatures w14:val="none"/>
            </w:rPr>
            <w:t>(E. R. Lemon, et. al., 1957)</w:t>
          </w:r>
          <w:r w:rsidR="007C4EC5" w:rsidRPr="001312D7">
            <w:rPr>
              <w:rFonts w:ascii="Cambria" w:eastAsia="Times New Roman" w:hAnsi="Cambria" w:cs="Times New Roman"/>
              <w:kern w:val="0"/>
              <w:sz w:val="24"/>
              <w:szCs w:val="24"/>
              <w:lang w:eastAsia="en-GB"/>
              <w14:ligatures w14:val="none"/>
            </w:rPr>
            <w:fldChar w:fldCharType="end"/>
          </w:r>
        </w:sdtContent>
      </w:sdt>
      <w:r w:rsidR="007C4EC5" w:rsidRPr="001312D7">
        <w:rPr>
          <w:rFonts w:ascii="Cambria" w:eastAsia="Times New Roman" w:hAnsi="Cambria" w:cs="Times New Roman"/>
          <w:kern w:val="0"/>
          <w:sz w:val="24"/>
          <w:szCs w:val="24"/>
          <w:lang w:eastAsia="en-GB"/>
          <w14:ligatures w14:val="none"/>
        </w:rPr>
        <w:t>.</w:t>
      </w:r>
      <w:r>
        <w:rPr>
          <w:rFonts w:ascii="Cambria" w:eastAsia="Times New Roman" w:hAnsi="Cambria" w:cs="Times New Roman"/>
          <w:kern w:val="0"/>
          <w:sz w:val="24"/>
          <w:szCs w:val="24"/>
          <w:lang w:eastAsia="en-GB"/>
          <w14:ligatures w14:val="none"/>
        </w:rPr>
        <w:t xml:space="preserve"> </w:t>
      </w:r>
      <w:r w:rsidRPr="001312D7">
        <w:rPr>
          <w:rFonts w:ascii="Cambria" w:eastAsia="Times New Roman" w:hAnsi="Cambria" w:cs="Times New Roman"/>
          <w:kern w:val="0"/>
          <w:sz w:val="24"/>
          <w:szCs w:val="24"/>
          <w:lang w:eastAsia="en-GB"/>
          <w14:ligatures w14:val="none"/>
        </w:rPr>
        <w:t xml:space="preserve">Moreover, the extent of vegetation cover and the type of vegetation in a given area influence ET by controlling levels of transpiration rates. There are differences in the process of plant metabolism, the phases of development, and the techniques of cultivating plants, all of which affect ET; as pointed by </w:t>
      </w:r>
      <w:sdt>
        <w:sdtPr>
          <w:rPr>
            <w:lang w:eastAsia="en-GB"/>
          </w:rPr>
          <w:id w:val="1243683628"/>
          <w:citation/>
        </w:sdtPr>
        <w:sdtContent>
          <w:r w:rsidR="007C4EC5" w:rsidRPr="001312D7">
            <w:rPr>
              <w:rFonts w:ascii="Cambria" w:eastAsia="Times New Roman" w:hAnsi="Cambria" w:cs="Times New Roman"/>
              <w:kern w:val="0"/>
              <w:sz w:val="24"/>
              <w:szCs w:val="24"/>
              <w:lang w:eastAsia="en-GB"/>
              <w14:ligatures w14:val="none"/>
            </w:rPr>
            <w:fldChar w:fldCharType="begin"/>
          </w:r>
          <w:r w:rsidR="007C4EC5" w:rsidRPr="001312D7">
            <w:rPr>
              <w:rFonts w:ascii="Cambria" w:eastAsia="Times New Roman" w:hAnsi="Cambria" w:cs="Times New Roman"/>
              <w:kern w:val="0"/>
              <w:sz w:val="24"/>
              <w:szCs w:val="24"/>
              <w:lang w:eastAsia="en-GB"/>
              <w14:ligatures w14:val="none"/>
            </w:rPr>
            <w:instrText xml:space="preserve"> CITATION Xue23 \l 1033 </w:instrText>
          </w:r>
          <w:r w:rsidR="007C4EC5" w:rsidRPr="001312D7">
            <w:rPr>
              <w:rFonts w:ascii="Cambria" w:eastAsia="Times New Roman" w:hAnsi="Cambria" w:cs="Times New Roman"/>
              <w:kern w:val="0"/>
              <w:sz w:val="24"/>
              <w:szCs w:val="24"/>
              <w:lang w:eastAsia="en-GB"/>
              <w14:ligatures w14:val="none"/>
            </w:rPr>
            <w:fldChar w:fldCharType="separate"/>
          </w:r>
          <w:r w:rsidR="007C4EC5" w:rsidRPr="001312D7">
            <w:rPr>
              <w:rFonts w:ascii="Cambria" w:eastAsia="Times New Roman" w:hAnsi="Cambria" w:cs="Times New Roman"/>
              <w:kern w:val="0"/>
              <w:sz w:val="24"/>
              <w:szCs w:val="24"/>
              <w:lang w:eastAsia="en-GB"/>
              <w14:ligatures w14:val="none"/>
            </w:rPr>
            <w:t xml:space="preserve"> (Xueyi Yang, et. al., 2023)</w:t>
          </w:r>
          <w:r w:rsidR="007C4EC5" w:rsidRPr="001312D7">
            <w:rPr>
              <w:rFonts w:ascii="Cambria" w:eastAsia="Times New Roman" w:hAnsi="Cambria" w:cs="Times New Roman"/>
              <w:kern w:val="0"/>
              <w:sz w:val="24"/>
              <w:szCs w:val="24"/>
              <w:lang w:eastAsia="en-GB"/>
              <w14:ligatures w14:val="none"/>
            </w:rPr>
            <w:fldChar w:fldCharType="end"/>
          </w:r>
        </w:sdtContent>
      </w:sdt>
    </w:p>
    <w:p w14:paraId="1579DCB7" w14:textId="24DBC148" w:rsidR="00DE60CA" w:rsidRPr="001312D7" w:rsidRDefault="001312D7" w:rsidP="001312D7">
      <w:pPr>
        <w:jc w:val="both"/>
        <w:rPr>
          <w:rFonts w:ascii="Cambria" w:eastAsia="Times New Roman" w:hAnsi="Cambria" w:cs="Times New Roman"/>
          <w:kern w:val="0"/>
          <w:sz w:val="24"/>
          <w:szCs w:val="24"/>
          <w:lang w:eastAsia="en-GB"/>
          <w14:ligatures w14:val="none"/>
        </w:rPr>
      </w:pPr>
      <w:r w:rsidRPr="001312D7">
        <w:rPr>
          <w:rFonts w:ascii="Cambria" w:eastAsia="Times New Roman" w:hAnsi="Cambria" w:cs="Times New Roman"/>
          <w:kern w:val="0"/>
          <w:sz w:val="24"/>
          <w:szCs w:val="24"/>
          <w:lang w:eastAsia="en-GB"/>
          <w14:ligatures w14:val="none"/>
        </w:rPr>
        <w:t>On the same note, plant characteristics act as biological determinants of ET differing from biochemical factors in this case.</w:t>
      </w:r>
      <w:r w:rsidR="00DE60CA" w:rsidRPr="001312D7">
        <w:rPr>
          <w:rFonts w:ascii="Cambria" w:eastAsia="Times New Roman" w:hAnsi="Cambria" w:cs="Times New Roman"/>
          <w:kern w:val="0"/>
          <w:sz w:val="24"/>
          <w:szCs w:val="24"/>
          <w:lang w:eastAsia="en-GB"/>
          <w14:ligatures w14:val="none"/>
        </w:rPr>
        <w:t xml:space="preserve"> </w:t>
      </w:r>
      <w:sdt>
        <w:sdtPr>
          <w:rPr>
            <w:rFonts w:ascii="Cambria" w:eastAsia="Times New Roman" w:hAnsi="Cambria" w:cs="Times New Roman"/>
            <w:kern w:val="0"/>
            <w:sz w:val="24"/>
            <w:szCs w:val="24"/>
            <w:lang w:eastAsia="en-GB"/>
            <w14:ligatures w14:val="none"/>
          </w:rPr>
          <w:id w:val="-1621380007"/>
          <w:citation/>
        </w:sdtPr>
        <w:sdtContent>
          <w:r w:rsidR="00DE60CA" w:rsidRPr="001312D7">
            <w:rPr>
              <w:rFonts w:ascii="Cambria" w:eastAsia="Times New Roman" w:hAnsi="Cambria" w:cs="Times New Roman"/>
              <w:kern w:val="0"/>
              <w:sz w:val="24"/>
              <w:szCs w:val="24"/>
              <w:lang w:eastAsia="en-GB"/>
              <w14:ligatures w14:val="none"/>
            </w:rPr>
            <w:fldChar w:fldCharType="begin"/>
          </w:r>
          <w:r w:rsidR="00DE60CA" w:rsidRPr="001312D7">
            <w:rPr>
              <w:rFonts w:ascii="Cambria" w:eastAsia="Times New Roman" w:hAnsi="Cambria" w:cs="Times New Roman"/>
              <w:kern w:val="0"/>
              <w:sz w:val="24"/>
              <w:szCs w:val="24"/>
              <w:lang w:eastAsia="en-GB"/>
              <w14:ligatures w14:val="none"/>
            </w:rPr>
            <w:instrText xml:space="preserve"> CITATION Hui18 \l 1033 </w:instrText>
          </w:r>
          <w:r w:rsidR="00DE60CA" w:rsidRPr="001312D7">
            <w:rPr>
              <w:rFonts w:ascii="Cambria" w:eastAsia="Times New Roman" w:hAnsi="Cambria" w:cs="Times New Roman"/>
              <w:kern w:val="0"/>
              <w:sz w:val="24"/>
              <w:szCs w:val="24"/>
              <w:lang w:eastAsia="en-GB"/>
              <w14:ligatures w14:val="none"/>
            </w:rPr>
            <w:fldChar w:fldCharType="separate"/>
          </w:r>
          <w:r w:rsidR="00DE60CA" w:rsidRPr="001312D7">
            <w:rPr>
              <w:rFonts w:ascii="Cambria" w:eastAsia="Times New Roman" w:hAnsi="Cambria" w:cs="Times New Roman"/>
              <w:kern w:val="0"/>
              <w:sz w:val="24"/>
              <w:szCs w:val="24"/>
              <w:lang w:eastAsia="en-GB"/>
              <w14:ligatures w14:val="none"/>
            </w:rPr>
            <w:t>(Huimin Lei, et. al, 2018)</w:t>
          </w:r>
          <w:r w:rsidR="00DE60CA" w:rsidRPr="001312D7">
            <w:rPr>
              <w:rFonts w:ascii="Cambria" w:eastAsia="Times New Roman" w:hAnsi="Cambria" w:cs="Times New Roman"/>
              <w:kern w:val="0"/>
              <w:sz w:val="24"/>
              <w:szCs w:val="24"/>
              <w:lang w:eastAsia="en-GB"/>
              <w14:ligatures w14:val="none"/>
            </w:rPr>
            <w:fldChar w:fldCharType="end"/>
          </w:r>
        </w:sdtContent>
      </w:sdt>
      <w:r>
        <w:rPr>
          <w:rFonts w:ascii="Cambria" w:eastAsia="Times New Roman" w:hAnsi="Cambria" w:cs="Times New Roman"/>
          <w:kern w:val="0"/>
          <w:sz w:val="24"/>
          <w:szCs w:val="24"/>
          <w:lang w:eastAsia="en-GB"/>
          <w14:ligatures w14:val="none"/>
        </w:rPr>
        <w:t xml:space="preserve"> </w:t>
      </w:r>
      <w:r w:rsidRPr="001312D7">
        <w:rPr>
          <w:rFonts w:ascii="Cambria" w:eastAsia="Times New Roman" w:hAnsi="Cambria" w:cs="Times New Roman"/>
          <w:kern w:val="0"/>
          <w:sz w:val="24"/>
          <w:szCs w:val="24"/>
          <w:lang w:eastAsia="en-GB"/>
          <w14:ligatures w14:val="none"/>
        </w:rPr>
        <w:t>opine that the type and process of plants influences the ET rates in different ways such as variation on leaf</w:t>
      </w:r>
      <w:r w:rsidRPr="001312D7">
        <w:rPr>
          <w:lang w:eastAsia="en-GB"/>
        </w:rPr>
        <w:t xml:space="preserve"> shape, root systems in addition to stomatal control mechanisms. The second is the so-called leaf area index (LAI); plants with more extensive leaves have a larger capacity for transpiration as a larger surface that directly interacts with water vapor, according to</w:t>
      </w:r>
      <w:sdt>
        <w:sdtPr>
          <w:rPr>
            <w:lang w:eastAsia="en-GB"/>
          </w:rPr>
          <w:id w:val="-606886485"/>
          <w:citation/>
        </w:sdtPr>
        <w:sdtContent>
          <w:r w:rsidR="003B6952" w:rsidRPr="001312D7">
            <w:rPr>
              <w:rFonts w:ascii="Cambria" w:eastAsia="Times New Roman" w:hAnsi="Cambria" w:cs="Times New Roman"/>
              <w:kern w:val="0"/>
              <w:sz w:val="24"/>
              <w:szCs w:val="24"/>
              <w:lang w:eastAsia="en-GB"/>
              <w14:ligatures w14:val="none"/>
            </w:rPr>
            <w:fldChar w:fldCharType="begin"/>
          </w:r>
          <w:r w:rsidR="003B6952" w:rsidRPr="001312D7">
            <w:rPr>
              <w:rFonts w:ascii="Cambria" w:eastAsia="Times New Roman" w:hAnsi="Cambria" w:cs="Times New Roman"/>
              <w:kern w:val="0"/>
              <w:sz w:val="24"/>
              <w:szCs w:val="24"/>
              <w:lang w:eastAsia="en-GB"/>
              <w14:ligatures w14:val="none"/>
            </w:rPr>
            <w:instrText xml:space="preserve"> CITATION Yas15 \l 1033 </w:instrText>
          </w:r>
          <w:r w:rsidR="003B6952" w:rsidRPr="001312D7">
            <w:rPr>
              <w:rFonts w:ascii="Cambria" w:eastAsia="Times New Roman" w:hAnsi="Cambria" w:cs="Times New Roman"/>
              <w:kern w:val="0"/>
              <w:sz w:val="24"/>
              <w:szCs w:val="24"/>
              <w:lang w:eastAsia="en-GB"/>
              <w14:ligatures w14:val="none"/>
            </w:rPr>
            <w:fldChar w:fldCharType="separate"/>
          </w:r>
          <w:r w:rsidR="003B6952" w:rsidRPr="001312D7">
            <w:rPr>
              <w:rFonts w:ascii="Cambria" w:eastAsia="Times New Roman" w:hAnsi="Cambria" w:cs="Times New Roman"/>
              <w:kern w:val="0"/>
              <w:sz w:val="24"/>
              <w:szCs w:val="24"/>
              <w:lang w:eastAsia="en-GB"/>
              <w14:ligatures w14:val="none"/>
            </w:rPr>
            <w:t xml:space="preserve"> (Yasunori Igarashi, et. al., 2015)</w:t>
          </w:r>
          <w:r w:rsidR="003B6952" w:rsidRPr="001312D7">
            <w:rPr>
              <w:rFonts w:ascii="Cambria" w:eastAsia="Times New Roman" w:hAnsi="Cambria" w:cs="Times New Roman"/>
              <w:kern w:val="0"/>
              <w:sz w:val="24"/>
              <w:szCs w:val="24"/>
              <w:lang w:eastAsia="en-GB"/>
              <w14:ligatures w14:val="none"/>
            </w:rPr>
            <w:fldChar w:fldCharType="end"/>
          </w:r>
        </w:sdtContent>
      </w:sdt>
    </w:p>
    <w:p w14:paraId="21E7DBD2" w14:textId="77777777" w:rsidR="00DE60CA" w:rsidRDefault="00DE60CA" w:rsidP="00DE60CA">
      <w:pPr>
        <w:keepNext/>
        <w:jc w:val="center"/>
      </w:pPr>
      <w:r>
        <w:rPr>
          <w:noProof/>
        </w:rPr>
        <w:lastRenderedPageBreak/>
        <w:drawing>
          <wp:inline distT="0" distB="0" distL="0" distR="0" wp14:anchorId="4BCC75CA" wp14:editId="6AB434A8">
            <wp:extent cx="2907602" cy="2800350"/>
            <wp:effectExtent l="0" t="0" r="0" b="0"/>
            <wp:docPr id="963658762" name="Picture 33" descr="A diagram of different types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58762" name="Picture 33" descr="A diagram of different types of plant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9187" cy="2811508"/>
                    </a:xfrm>
                    <a:prstGeom prst="rect">
                      <a:avLst/>
                    </a:prstGeom>
                    <a:noFill/>
                    <a:ln>
                      <a:noFill/>
                    </a:ln>
                  </pic:spPr>
                </pic:pic>
              </a:graphicData>
            </a:graphic>
          </wp:inline>
        </w:drawing>
      </w:r>
    </w:p>
    <w:p w14:paraId="073AF9D9" w14:textId="2E547C21" w:rsidR="00DE60CA" w:rsidRDefault="00DE60CA" w:rsidP="00DE60CA">
      <w:pPr>
        <w:pStyle w:val="Caption"/>
        <w:jc w:val="center"/>
      </w:pPr>
      <w:bookmarkStart w:id="1" w:name="_Ref182433705"/>
      <w:bookmarkStart w:id="2" w:name="_Toc182606011"/>
      <w:r>
        <w:t xml:space="preserve">Figure </w:t>
      </w:r>
      <w:fldSimple w:instr=" SEQ Figure \* ARABIC ">
        <w:r w:rsidR="00E37F3D">
          <w:rPr>
            <w:noProof/>
          </w:rPr>
          <w:t>1</w:t>
        </w:r>
      </w:fldSimple>
      <w:bookmarkEnd w:id="1"/>
      <w:r>
        <w:t xml:space="preserve"> Main factors affect evapotranspiration</w:t>
      </w:r>
      <w:bookmarkEnd w:id="2"/>
      <w:r>
        <w:t xml:space="preserve"> </w:t>
      </w:r>
    </w:p>
    <w:p w14:paraId="1E3F92A8" w14:textId="4CC878B2" w:rsidR="003B6952" w:rsidRPr="005E16B4" w:rsidRDefault="003B6952" w:rsidP="005E16B4">
      <w:pPr>
        <w:jc w:val="both"/>
        <w:rPr>
          <w:rFonts w:ascii="Cambria" w:eastAsia="Times New Roman" w:hAnsi="Cambria" w:cs="Times New Roman"/>
          <w:kern w:val="0"/>
          <w:sz w:val="24"/>
          <w:szCs w:val="24"/>
          <w:lang w:eastAsia="en-GB"/>
          <w14:ligatures w14:val="none"/>
        </w:rPr>
      </w:pPr>
      <w:r w:rsidRPr="005E16B4">
        <w:rPr>
          <w:rFonts w:ascii="Cambria" w:eastAsia="Times New Roman" w:hAnsi="Cambria" w:cs="Times New Roman"/>
          <w:kern w:val="0"/>
          <w:sz w:val="24"/>
          <w:szCs w:val="24"/>
          <w:lang w:eastAsia="en-GB"/>
          <w14:ligatures w14:val="none"/>
        </w:rPr>
        <w:t xml:space="preserve">Techniques and other physical tools used to calculate evapotranspiration especially at the local or field </w:t>
      </w:r>
      <w:r w:rsidR="003D3ECE" w:rsidRPr="005E16B4">
        <w:rPr>
          <w:rFonts w:ascii="Cambria" w:eastAsia="Times New Roman" w:hAnsi="Cambria" w:cs="Times New Roman"/>
          <w:kern w:val="0"/>
          <w:sz w:val="24"/>
          <w:szCs w:val="24"/>
          <w:lang w:eastAsia="en-GB"/>
          <w14:ligatures w14:val="none"/>
        </w:rPr>
        <w:t>level</w:t>
      </w:r>
      <w:r w:rsidRPr="005E16B4">
        <w:rPr>
          <w:rFonts w:ascii="Cambria" w:eastAsia="Times New Roman" w:hAnsi="Cambria" w:cs="Times New Roman"/>
          <w:kern w:val="0"/>
          <w:sz w:val="24"/>
          <w:szCs w:val="24"/>
          <w:lang w:eastAsia="en-GB"/>
          <w14:ligatures w14:val="none"/>
        </w:rPr>
        <w:t xml:space="preserve"> include </w:t>
      </w:r>
      <w:r w:rsidR="00907236" w:rsidRPr="005E16B4">
        <w:rPr>
          <w:rFonts w:ascii="Cambria" w:eastAsia="Times New Roman" w:hAnsi="Cambria" w:cs="Times New Roman"/>
          <w:kern w:val="0"/>
          <w:sz w:val="24"/>
          <w:szCs w:val="24"/>
          <w:lang w:eastAsia="en-GB"/>
          <w14:ligatures w14:val="none"/>
        </w:rPr>
        <w:t xml:space="preserve">1) </w:t>
      </w:r>
      <w:r w:rsidRPr="005E16B4">
        <w:rPr>
          <w:rFonts w:ascii="Cambria" w:eastAsia="Times New Roman" w:hAnsi="Cambria" w:cs="Times New Roman"/>
          <w:kern w:val="0"/>
          <w:sz w:val="24"/>
          <w:szCs w:val="24"/>
          <w:lang w:eastAsia="en-GB"/>
          <w14:ligatures w14:val="none"/>
        </w:rPr>
        <w:t xml:space="preserve">water balance method which involves evaluation of </w:t>
      </w:r>
      <w:r w:rsidR="0076205F" w:rsidRPr="005E16B4">
        <w:rPr>
          <w:rFonts w:ascii="Cambria" w:eastAsia="Times New Roman" w:hAnsi="Cambria" w:cs="Times New Roman"/>
          <w:kern w:val="0"/>
          <w:sz w:val="24"/>
          <w:szCs w:val="24"/>
          <w:lang w:eastAsia="en-GB"/>
          <w14:ligatures w14:val="none"/>
        </w:rPr>
        <w:t>depletion of</w:t>
      </w:r>
      <w:r w:rsidRPr="005E16B4">
        <w:rPr>
          <w:rFonts w:ascii="Cambria" w:eastAsia="Times New Roman" w:hAnsi="Cambria" w:cs="Times New Roman"/>
          <w:kern w:val="0"/>
          <w:sz w:val="24"/>
          <w:szCs w:val="24"/>
          <w:lang w:eastAsia="en-GB"/>
          <w14:ligatures w14:val="none"/>
        </w:rPr>
        <w:t xml:space="preserve"> water in the soil</w:t>
      </w:r>
      <w:r w:rsidR="00907236" w:rsidRPr="005E16B4">
        <w:rPr>
          <w:rFonts w:ascii="Cambria" w:eastAsia="Times New Roman" w:hAnsi="Cambria" w:cs="Times New Roman"/>
          <w:kern w:val="0"/>
          <w:sz w:val="24"/>
          <w:szCs w:val="24"/>
          <w:lang w:eastAsia="en-GB"/>
          <w14:ligatures w14:val="none"/>
        </w:rPr>
        <w:t xml:space="preserve">, 2) </w:t>
      </w:r>
      <w:r w:rsidRPr="005E16B4">
        <w:rPr>
          <w:rFonts w:ascii="Cambria" w:eastAsia="Times New Roman" w:hAnsi="Cambria" w:cs="Times New Roman"/>
          <w:kern w:val="0"/>
          <w:sz w:val="24"/>
          <w:szCs w:val="24"/>
          <w:lang w:eastAsia="en-GB"/>
          <w14:ligatures w14:val="none"/>
        </w:rPr>
        <w:t>the weighing lysimeter which seek to weigh water loss</w:t>
      </w:r>
      <w:r w:rsidR="003D3ECE" w:rsidRPr="005E16B4">
        <w:rPr>
          <w:rFonts w:ascii="Cambria" w:eastAsia="Times New Roman" w:hAnsi="Cambria" w:cs="Times New Roman"/>
          <w:kern w:val="0"/>
          <w:sz w:val="24"/>
          <w:szCs w:val="24"/>
          <w:lang w:eastAsia="en-GB"/>
          <w14:ligatures w14:val="none"/>
        </w:rPr>
        <w:t>es</w:t>
      </w:r>
      <w:r w:rsidRPr="005E16B4">
        <w:rPr>
          <w:rFonts w:ascii="Cambria" w:eastAsia="Times New Roman" w:hAnsi="Cambria" w:cs="Times New Roman"/>
          <w:kern w:val="0"/>
          <w:sz w:val="24"/>
          <w:szCs w:val="24"/>
          <w:lang w:eastAsia="en-GB"/>
          <w14:ligatures w14:val="none"/>
        </w:rPr>
        <w:t xml:space="preserve"> from the soils and plants through measuring changes in weight</w:t>
      </w:r>
      <w:sdt>
        <w:sdtPr>
          <w:rPr>
            <w:rFonts w:ascii="Cambria" w:eastAsia="Times New Roman" w:hAnsi="Cambria" w:cs="Times New Roman"/>
            <w:kern w:val="0"/>
            <w:sz w:val="24"/>
            <w:szCs w:val="24"/>
            <w:lang w:eastAsia="en-GB"/>
            <w14:ligatures w14:val="none"/>
          </w:rPr>
          <w:id w:val="560991887"/>
          <w:citation/>
        </w:sdtPr>
        <w:sdtContent>
          <w:r w:rsidR="0076205F" w:rsidRPr="005E16B4">
            <w:rPr>
              <w:rFonts w:ascii="Cambria" w:eastAsia="Times New Roman" w:hAnsi="Cambria" w:cs="Times New Roman"/>
              <w:kern w:val="0"/>
              <w:sz w:val="24"/>
              <w:szCs w:val="24"/>
              <w:lang w:eastAsia="en-GB"/>
              <w14:ligatures w14:val="none"/>
            </w:rPr>
            <w:fldChar w:fldCharType="begin"/>
          </w:r>
          <w:r w:rsidR="0076205F" w:rsidRPr="005E16B4">
            <w:rPr>
              <w:rFonts w:ascii="Cambria" w:eastAsia="Times New Roman" w:hAnsi="Cambria" w:cs="Times New Roman"/>
              <w:kern w:val="0"/>
              <w:sz w:val="24"/>
              <w:szCs w:val="24"/>
              <w:lang w:eastAsia="en-GB"/>
              <w14:ligatures w14:val="none"/>
            </w:rPr>
            <w:instrText xml:space="preserve">CITATION Wil19 \l 1033 </w:instrText>
          </w:r>
          <w:r w:rsidR="0076205F" w:rsidRPr="005E16B4">
            <w:rPr>
              <w:rFonts w:ascii="Cambria" w:eastAsia="Times New Roman" w:hAnsi="Cambria" w:cs="Times New Roman"/>
              <w:kern w:val="0"/>
              <w:sz w:val="24"/>
              <w:szCs w:val="24"/>
              <w:lang w:eastAsia="en-GB"/>
              <w14:ligatures w14:val="none"/>
            </w:rPr>
            <w:fldChar w:fldCharType="separate"/>
          </w:r>
          <w:r w:rsidR="0076205F" w:rsidRPr="005E16B4">
            <w:rPr>
              <w:rFonts w:ascii="Cambria" w:eastAsia="Times New Roman" w:hAnsi="Cambria" w:cs="Times New Roman"/>
              <w:kern w:val="0"/>
              <w:sz w:val="24"/>
              <w:szCs w:val="24"/>
              <w:lang w:eastAsia="en-GB"/>
              <w14:ligatures w14:val="none"/>
            </w:rPr>
            <w:t xml:space="preserve"> (William Fenner, et. al., 2019)</w:t>
          </w:r>
          <w:r w:rsidR="0076205F" w:rsidRPr="005E16B4">
            <w:rPr>
              <w:rFonts w:ascii="Cambria" w:eastAsia="Times New Roman" w:hAnsi="Cambria" w:cs="Times New Roman"/>
              <w:kern w:val="0"/>
              <w:sz w:val="24"/>
              <w:szCs w:val="24"/>
              <w:lang w:eastAsia="en-GB"/>
              <w14:ligatures w14:val="none"/>
            </w:rPr>
            <w:fldChar w:fldCharType="end"/>
          </w:r>
        </w:sdtContent>
      </w:sdt>
      <w:r w:rsidRPr="005E16B4">
        <w:rPr>
          <w:rFonts w:ascii="Cambria" w:eastAsia="Times New Roman" w:hAnsi="Cambria" w:cs="Times New Roman"/>
          <w:kern w:val="0"/>
          <w:sz w:val="24"/>
          <w:szCs w:val="24"/>
          <w:lang w:eastAsia="en-GB"/>
          <w14:ligatures w14:val="none"/>
        </w:rPr>
        <w:t xml:space="preserve">. They offer precise direct measurements though they are expensive and are difficult to </w:t>
      </w:r>
      <w:r w:rsidR="003D3ECE" w:rsidRPr="005E16B4">
        <w:rPr>
          <w:rFonts w:ascii="Cambria" w:eastAsia="Times New Roman" w:hAnsi="Cambria" w:cs="Times New Roman"/>
          <w:kern w:val="0"/>
          <w:sz w:val="24"/>
          <w:szCs w:val="24"/>
          <w:lang w:eastAsia="en-GB"/>
          <w14:ligatures w14:val="none"/>
        </w:rPr>
        <w:t>fasten</w:t>
      </w:r>
      <w:r w:rsidR="00907236" w:rsidRPr="005E16B4">
        <w:rPr>
          <w:rFonts w:ascii="Cambria" w:eastAsia="Times New Roman" w:hAnsi="Cambria" w:cs="Times New Roman"/>
          <w:kern w:val="0"/>
          <w:sz w:val="24"/>
          <w:szCs w:val="24"/>
          <w:lang w:eastAsia="en-GB"/>
          <w14:ligatures w14:val="none"/>
        </w:rPr>
        <w:t xml:space="preserve">, 3) </w:t>
      </w:r>
      <w:r w:rsidRPr="005E16B4">
        <w:rPr>
          <w:rFonts w:ascii="Cambria" w:eastAsia="Times New Roman" w:hAnsi="Cambria" w:cs="Times New Roman"/>
          <w:kern w:val="0"/>
          <w:sz w:val="24"/>
          <w:szCs w:val="24"/>
          <w:lang w:eastAsia="en-GB"/>
          <w14:ligatures w14:val="none"/>
        </w:rPr>
        <w:t xml:space="preserve">PM equation, </w:t>
      </w:r>
      <w:r w:rsidR="00907236" w:rsidRPr="005E16B4">
        <w:rPr>
          <w:rFonts w:ascii="Cambria" w:eastAsia="Times New Roman" w:hAnsi="Cambria" w:cs="Times New Roman"/>
          <w:kern w:val="0"/>
          <w:sz w:val="24"/>
          <w:szCs w:val="24"/>
          <w:lang w:eastAsia="en-GB"/>
          <w14:ligatures w14:val="none"/>
        </w:rPr>
        <w:t xml:space="preserve">4) </w:t>
      </w:r>
      <w:r w:rsidRPr="005E16B4">
        <w:rPr>
          <w:rFonts w:ascii="Cambria" w:eastAsia="Times New Roman" w:hAnsi="Cambria" w:cs="Times New Roman"/>
          <w:kern w:val="0"/>
          <w:sz w:val="24"/>
          <w:szCs w:val="24"/>
          <w:lang w:eastAsia="en-GB"/>
          <w14:ligatures w14:val="none"/>
        </w:rPr>
        <w:t>Bowen ratio energy balance</w:t>
      </w:r>
      <w:r w:rsidR="003D3ECE" w:rsidRPr="005E16B4">
        <w:rPr>
          <w:rFonts w:ascii="Cambria" w:eastAsia="Times New Roman" w:hAnsi="Cambria" w:cs="Times New Roman"/>
          <w:kern w:val="0"/>
          <w:sz w:val="24"/>
          <w:szCs w:val="24"/>
          <w:lang w:eastAsia="en-GB"/>
          <w14:ligatures w14:val="none"/>
        </w:rPr>
        <w:t xml:space="preserve"> which helps estimate ET using the measurements of different temperature and humidity rates, mainly where the climate is wet</w:t>
      </w:r>
      <w:sdt>
        <w:sdtPr>
          <w:rPr>
            <w:rFonts w:ascii="Cambria" w:eastAsia="Times New Roman" w:hAnsi="Cambria" w:cs="Times New Roman"/>
            <w:kern w:val="0"/>
            <w:sz w:val="24"/>
            <w:szCs w:val="24"/>
            <w:lang w:eastAsia="en-GB"/>
            <w14:ligatures w14:val="none"/>
          </w:rPr>
          <w:id w:val="1462921437"/>
          <w:citation/>
        </w:sdtPr>
        <w:sdtContent>
          <w:r w:rsidR="003D3ECE" w:rsidRPr="005E16B4">
            <w:rPr>
              <w:rFonts w:ascii="Cambria" w:eastAsia="Times New Roman" w:hAnsi="Cambria" w:cs="Times New Roman"/>
              <w:kern w:val="0"/>
              <w:sz w:val="24"/>
              <w:szCs w:val="24"/>
              <w:lang w:eastAsia="en-GB"/>
              <w14:ligatures w14:val="none"/>
            </w:rPr>
            <w:fldChar w:fldCharType="begin"/>
          </w:r>
          <w:r w:rsidR="003D3ECE" w:rsidRPr="005E16B4">
            <w:rPr>
              <w:rFonts w:ascii="Cambria" w:eastAsia="Times New Roman" w:hAnsi="Cambria" w:cs="Times New Roman"/>
              <w:kern w:val="0"/>
              <w:sz w:val="24"/>
              <w:szCs w:val="24"/>
              <w:lang w:eastAsia="en-GB"/>
              <w14:ligatures w14:val="none"/>
            </w:rPr>
            <w:instrText xml:space="preserve"> CITATION DEA84 \l 1033 </w:instrText>
          </w:r>
          <w:r w:rsidR="003D3ECE" w:rsidRPr="005E16B4">
            <w:rPr>
              <w:rFonts w:ascii="Cambria" w:eastAsia="Times New Roman" w:hAnsi="Cambria" w:cs="Times New Roman"/>
              <w:kern w:val="0"/>
              <w:sz w:val="24"/>
              <w:szCs w:val="24"/>
              <w:lang w:eastAsia="en-GB"/>
              <w14:ligatures w14:val="none"/>
            </w:rPr>
            <w:fldChar w:fldCharType="separate"/>
          </w:r>
          <w:r w:rsidR="003D3ECE" w:rsidRPr="005E16B4">
            <w:rPr>
              <w:rFonts w:ascii="Cambria" w:eastAsia="Times New Roman" w:hAnsi="Cambria" w:cs="Times New Roman"/>
              <w:kern w:val="0"/>
              <w:sz w:val="24"/>
              <w:szCs w:val="24"/>
              <w:lang w:eastAsia="en-GB"/>
              <w14:ligatures w14:val="none"/>
            </w:rPr>
            <w:t xml:space="preserve"> (D.E. Angus, el. at., 1984)</w:t>
          </w:r>
          <w:r w:rsidR="003D3ECE" w:rsidRPr="005E16B4">
            <w:rPr>
              <w:rFonts w:ascii="Cambria" w:eastAsia="Times New Roman" w:hAnsi="Cambria" w:cs="Times New Roman"/>
              <w:kern w:val="0"/>
              <w:sz w:val="24"/>
              <w:szCs w:val="24"/>
              <w:lang w:eastAsia="en-GB"/>
              <w14:ligatures w14:val="none"/>
            </w:rPr>
            <w:fldChar w:fldCharType="end"/>
          </w:r>
        </w:sdtContent>
      </w:sdt>
      <w:r w:rsidR="003D3ECE" w:rsidRPr="005E16B4">
        <w:rPr>
          <w:rFonts w:ascii="Cambria" w:eastAsia="Times New Roman" w:hAnsi="Cambria" w:cs="Times New Roman"/>
          <w:kern w:val="0"/>
          <w:sz w:val="24"/>
          <w:szCs w:val="24"/>
          <w:lang w:eastAsia="en-GB"/>
          <w14:ligatures w14:val="none"/>
        </w:rPr>
        <w:t>. However, Bowen ratio is useful in the open field study, while its measures can be slightly off in very dry and windy conditions.</w:t>
      </w:r>
      <w:r w:rsidRPr="005E16B4">
        <w:rPr>
          <w:rFonts w:ascii="Cambria" w:eastAsia="Times New Roman" w:hAnsi="Cambria" w:cs="Times New Roman"/>
          <w:kern w:val="0"/>
          <w:sz w:val="24"/>
          <w:szCs w:val="24"/>
          <w:lang w:eastAsia="en-GB"/>
          <w14:ligatures w14:val="none"/>
        </w:rPr>
        <w:t xml:space="preserve">, </w:t>
      </w:r>
      <w:r w:rsidR="00907236" w:rsidRPr="005E16B4">
        <w:rPr>
          <w:rFonts w:ascii="Cambria" w:eastAsia="Times New Roman" w:hAnsi="Cambria" w:cs="Times New Roman"/>
          <w:kern w:val="0"/>
          <w:sz w:val="24"/>
          <w:szCs w:val="24"/>
          <w:lang w:eastAsia="en-GB"/>
          <w14:ligatures w14:val="none"/>
        </w:rPr>
        <w:t xml:space="preserve">5) </w:t>
      </w:r>
      <w:r w:rsidRPr="005E16B4">
        <w:rPr>
          <w:rFonts w:ascii="Cambria" w:eastAsia="Times New Roman" w:hAnsi="Cambria" w:cs="Times New Roman"/>
          <w:kern w:val="0"/>
          <w:sz w:val="24"/>
          <w:szCs w:val="24"/>
          <w:lang w:eastAsia="en-GB"/>
          <w14:ligatures w14:val="none"/>
        </w:rPr>
        <w:t>Eddy covariance</w:t>
      </w:r>
      <w:r w:rsidR="00907236" w:rsidRPr="005E16B4">
        <w:rPr>
          <w:rFonts w:ascii="Cambria" w:eastAsia="Times New Roman" w:hAnsi="Cambria" w:cs="Times New Roman"/>
          <w:kern w:val="0"/>
          <w:sz w:val="24"/>
          <w:szCs w:val="24"/>
          <w:lang w:eastAsia="en-GB"/>
          <w14:ligatures w14:val="none"/>
        </w:rPr>
        <w:t xml:space="preserve"> which directly measures water vapor and heat fluxes in the atmosphere using instance sensors and is applicable with large, uniform areas like forests and crop fields. It is a preferred micrometeorological method for continuous ET data collection, though it requires complex setup and calibration</w:t>
      </w:r>
      <w:r w:rsidRPr="005E16B4">
        <w:rPr>
          <w:rFonts w:ascii="Cambria" w:eastAsia="Times New Roman" w:hAnsi="Cambria" w:cs="Times New Roman"/>
          <w:kern w:val="0"/>
          <w:sz w:val="24"/>
          <w:szCs w:val="24"/>
          <w:lang w:eastAsia="en-GB"/>
          <w14:ligatures w14:val="none"/>
        </w:rPr>
        <w:t xml:space="preserve"> and large aperture reflection. However, these approaches are mostly nuanced, costly and used often in spatial domain, and are, therefore, most useful in the academic/research paradigms. While scaling up production of these types of equipment </w:t>
      </w:r>
      <w:r w:rsidR="003D3ECE" w:rsidRPr="005E16B4">
        <w:rPr>
          <w:rFonts w:ascii="Cambria" w:eastAsia="Times New Roman" w:hAnsi="Cambria" w:cs="Times New Roman"/>
          <w:kern w:val="0"/>
          <w:sz w:val="24"/>
          <w:szCs w:val="24"/>
          <w:lang w:eastAsia="en-GB"/>
          <w14:ligatures w14:val="none"/>
        </w:rPr>
        <w:t>remains</w:t>
      </w:r>
      <w:r w:rsidRPr="005E16B4">
        <w:rPr>
          <w:rFonts w:ascii="Cambria" w:eastAsia="Times New Roman" w:hAnsi="Cambria" w:cs="Times New Roman"/>
          <w:kern w:val="0"/>
          <w:sz w:val="24"/>
          <w:szCs w:val="24"/>
          <w:lang w:eastAsia="en-GB"/>
          <w14:ligatures w14:val="none"/>
        </w:rPr>
        <w:t xml:space="preserve"> an expensive proposition. At the larger scales from the irrigation scheme level up to water sheds and regional or even national scales, the options for measurement of actual evapotranspiration at present </w:t>
      </w:r>
      <w:r w:rsidR="003D3ECE" w:rsidRPr="005E16B4">
        <w:rPr>
          <w:rFonts w:ascii="Cambria" w:eastAsia="Times New Roman" w:hAnsi="Cambria" w:cs="Times New Roman"/>
          <w:kern w:val="0"/>
          <w:sz w:val="24"/>
          <w:szCs w:val="24"/>
          <w:lang w:eastAsia="en-GB"/>
          <w14:ligatures w14:val="none"/>
        </w:rPr>
        <w:t>are</w:t>
      </w:r>
      <w:r w:rsidRPr="005E16B4">
        <w:rPr>
          <w:rFonts w:ascii="Cambria" w:eastAsia="Times New Roman" w:hAnsi="Cambria" w:cs="Times New Roman"/>
          <w:kern w:val="0"/>
          <w:sz w:val="24"/>
          <w:szCs w:val="24"/>
          <w:lang w:eastAsia="en-GB"/>
          <w14:ligatures w14:val="none"/>
        </w:rPr>
        <w:t xml:space="preserve"> for satellite remote sensing (RS).</w:t>
      </w:r>
      <w:r w:rsidR="00AE11A9" w:rsidRPr="005E16B4">
        <w:rPr>
          <w:rFonts w:ascii="Cambria" w:eastAsia="Times New Roman" w:hAnsi="Cambria" w:cs="Times New Roman"/>
          <w:kern w:val="0"/>
          <w:sz w:val="24"/>
          <w:szCs w:val="24"/>
          <w:lang w:eastAsia="en-GB"/>
          <w14:ligatures w14:val="none"/>
        </w:rPr>
        <w:fldChar w:fldCharType="begin"/>
      </w:r>
      <w:r w:rsidR="00AE11A9" w:rsidRPr="005E16B4">
        <w:rPr>
          <w:rFonts w:ascii="Cambria" w:eastAsia="Times New Roman" w:hAnsi="Cambria" w:cs="Times New Roman"/>
          <w:kern w:val="0"/>
          <w:sz w:val="24"/>
          <w:szCs w:val="24"/>
          <w:lang w:eastAsia="en-GB"/>
          <w14:ligatures w14:val="none"/>
        </w:rPr>
        <w:instrText xml:space="preserve"> REF _Ref182436235 \h </w:instrText>
      </w:r>
      <w:r w:rsidR="005E16B4">
        <w:rPr>
          <w:rFonts w:ascii="Cambria" w:eastAsia="Times New Roman" w:hAnsi="Cambria" w:cs="Times New Roman"/>
          <w:kern w:val="0"/>
          <w:sz w:val="24"/>
          <w:szCs w:val="24"/>
          <w:lang w:eastAsia="en-GB"/>
          <w14:ligatures w14:val="none"/>
        </w:rPr>
        <w:instrText xml:space="preserve"> \* MERGEFORMAT </w:instrText>
      </w:r>
      <w:r w:rsidR="00AE11A9" w:rsidRPr="005E16B4">
        <w:rPr>
          <w:rFonts w:ascii="Cambria" w:eastAsia="Times New Roman" w:hAnsi="Cambria" w:cs="Times New Roman"/>
          <w:kern w:val="0"/>
          <w:sz w:val="24"/>
          <w:szCs w:val="24"/>
          <w:lang w:eastAsia="en-GB"/>
          <w14:ligatures w14:val="none"/>
        </w:rPr>
      </w:r>
      <w:r w:rsidR="00AE11A9" w:rsidRPr="005E16B4">
        <w:rPr>
          <w:rFonts w:ascii="Cambria" w:eastAsia="Times New Roman" w:hAnsi="Cambria" w:cs="Times New Roman"/>
          <w:kern w:val="0"/>
          <w:sz w:val="24"/>
          <w:szCs w:val="24"/>
          <w:lang w:eastAsia="en-GB"/>
          <w14:ligatures w14:val="none"/>
        </w:rPr>
        <w:fldChar w:fldCharType="separate"/>
      </w:r>
      <w:r w:rsidR="00AE11A9" w:rsidRPr="005E16B4">
        <w:rPr>
          <w:rFonts w:ascii="Cambria" w:eastAsia="Times New Roman" w:hAnsi="Cambria" w:cs="Times New Roman"/>
          <w:kern w:val="0"/>
          <w:sz w:val="24"/>
          <w:szCs w:val="24"/>
          <w:lang w:eastAsia="en-GB"/>
          <w14:ligatures w14:val="none"/>
        </w:rPr>
        <w:t>Figure 2</w:t>
      </w:r>
      <w:r w:rsidR="00AE11A9" w:rsidRPr="005E16B4">
        <w:rPr>
          <w:rFonts w:ascii="Cambria" w:eastAsia="Times New Roman" w:hAnsi="Cambria" w:cs="Times New Roman"/>
          <w:kern w:val="0"/>
          <w:sz w:val="24"/>
          <w:szCs w:val="24"/>
          <w:lang w:eastAsia="en-GB"/>
          <w14:ligatures w14:val="none"/>
        </w:rPr>
        <w:fldChar w:fldCharType="end"/>
      </w:r>
      <w:r w:rsidR="00AE11A9" w:rsidRPr="005E16B4">
        <w:rPr>
          <w:rFonts w:ascii="Cambria" w:eastAsia="Times New Roman" w:hAnsi="Cambria" w:cs="Times New Roman"/>
          <w:kern w:val="0"/>
          <w:sz w:val="24"/>
          <w:szCs w:val="24"/>
          <w:lang w:eastAsia="en-GB"/>
          <w14:ligatures w14:val="none"/>
        </w:rPr>
        <w:t xml:space="preserve"> display the dominant techniques to estimate evapotranspiration</w:t>
      </w:r>
    </w:p>
    <w:p w14:paraId="431C014E" w14:textId="77777777" w:rsidR="00AE11A9" w:rsidRDefault="00AE11A9" w:rsidP="00AE11A9">
      <w:pPr>
        <w:keepNext/>
        <w:jc w:val="center"/>
      </w:pPr>
      <w:r>
        <w:rPr>
          <w:noProof/>
        </w:rPr>
        <w:lastRenderedPageBreak/>
        <w:drawing>
          <wp:inline distT="0" distB="0" distL="0" distR="0" wp14:anchorId="2016949C" wp14:editId="48891844">
            <wp:extent cx="3796030" cy="3412485"/>
            <wp:effectExtent l="0" t="0" r="0" b="0"/>
            <wp:docPr id="12450519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51916" name="Picture 1245051916"/>
                    <pic:cNvPicPr/>
                  </pic:nvPicPr>
                  <pic:blipFill rotWithShape="1">
                    <a:blip r:embed="rId9" cstate="print">
                      <a:extLst>
                        <a:ext uri="{28A0092B-C50C-407E-A947-70E740481C1C}">
                          <a14:useLocalDpi xmlns:a14="http://schemas.microsoft.com/office/drawing/2010/main" val="0"/>
                        </a:ext>
                      </a:extLst>
                    </a:blip>
                    <a:srcRect t="5287"/>
                    <a:stretch/>
                  </pic:blipFill>
                  <pic:spPr bwMode="auto">
                    <a:xfrm>
                      <a:off x="0" y="0"/>
                      <a:ext cx="3802534" cy="3418332"/>
                    </a:xfrm>
                    <a:prstGeom prst="rect">
                      <a:avLst/>
                    </a:prstGeom>
                    <a:ln>
                      <a:noFill/>
                    </a:ln>
                    <a:extLst>
                      <a:ext uri="{53640926-AAD7-44D8-BBD7-CCE9431645EC}">
                        <a14:shadowObscured xmlns:a14="http://schemas.microsoft.com/office/drawing/2010/main"/>
                      </a:ext>
                    </a:extLst>
                  </pic:spPr>
                </pic:pic>
              </a:graphicData>
            </a:graphic>
          </wp:inline>
        </w:drawing>
      </w:r>
    </w:p>
    <w:p w14:paraId="153AB216" w14:textId="4D79D7D4" w:rsidR="003B6952" w:rsidRDefault="00AE11A9" w:rsidP="00AE11A9">
      <w:pPr>
        <w:pStyle w:val="Caption"/>
        <w:jc w:val="center"/>
      </w:pPr>
      <w:bookmarkStart w:id="3" w:name="_Ref182436235"/>
      <w:bookmarkStart w:id="4" w:name="_Toc182606012"/>
      <w:r>
        <w:t xml:space="preserve">Figure </w:t>
      </w:r>
      <w:fldSimple w:instr=" SEQ Figure \* ARABIC ">
        <w:r w:rsidR="00E37F3D">
          <w:rPr>
            <w:noProof/>
          </w:rPr>
          <w:t>2</w:t>
        </w:r>
      </w:fldSimple>
      <w:bookmarkEnd w:id="3"/>
      <w:r>
        <w:t xml:space="preserve"> Techniques for Evapotranspiration Estimation</w:t>
      </w:r>
      <w:bookmarkEnd w:id="4"/>
    </w:p>
    <w:p w14:paraId="29839F91" w14:textId="77777777" w:rsidR="00296C55" w:rsidRDefault="00296C55" w:rsidP="00296C55"/>
    <w:p w14:paraId="1CAE4E26" w14:textId="267401C4" w:rsidR="00C64B75" w:rsidRDefault="00C64B75" w:rsidP="00AA75CD">
      <w:pPr>
        <w:pStyle w:val="Heading1"/>
        <w:keepLines w:val="0"/>
        <w:numPr>
          <w:ilvl w:val="0"/>
          <w:numId w:val="2"/>
        </w:numPr>
        <w:spacing w:before="0" w:after="0" w:line="240" w:lineRule="auto"/>
        <w:ind w:left="0" w:right="567" w:firstLine="0"/>
        <w:contextualSpacing/>
        <w:rPr>
          <w:rFonts w:ascii="Cambria" w:eastAsia="Times New Roman" w:hAnsi="Cambria" w:cs="Arial"/>
          <w:b/>
          <w:bCs/>
          <w:color w:val="auto"/>
          <w:kern w:val="32"/>
          <w:sz w:val="24"/>
          <w:szCs w:val="24"/>
          <w:lang w:val="en-GB" w:eastAsia="en-GB"/>
          <w14:ligatures w14:val="none"/>
        </w:rPr>
      </w:pPr>
      <w:r>
        <w:rPr>
          <w:rFonts w:ascii="Cambria" w:eastAsia="Times New Roman" w:hAnsi="Cambria" w:cs="Arial"/>
          <w:b/>
          <w:bCs/>
          <w:color w:val="auto"/>
          <w:kern w:val="32"/>
          <w:sz w:val="24"/>
          <w:szCs w:val="24"/>
          <w:lang w:val="en-GB" w:eastAsia="en-GB"/>
          <w14:ligatures w14:val="none"/>
        </w:rPr>
        <w:t>Methods and Data</w:t>
      </w:r>
    </w:p>
    <w:p w14:paraId="4517D822" w14:textId="4617DE0C" w:rsidR="00296C55" w:rsidRPr="005E16B4" w:rsidRDefault="00296C55" w:rsidP="00AA75CD">
      <w:pPr>
        <w:pStyle w:val="Heading1"/>
        <w:keepLines w:val="0"/>
        <w:numPr>
          <w:ilvl w:val="1"/>
          <w:numId w:val="2"/>
        </w:numPr>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r w:rsidRPr="005E16B4">
        <w:rPr>
          <w:rFonts w:ascii="Cambria" w:eastAsia="Times New Roman" w:hAnsi="Cambria" w:cs="Arial"/>
          <w:b/>
          <w:bCs/>
          <w:color w:val="auto"/>
          <w:kern w:val="32"/>
          <w:sz w:val="24"/>
          <w:szCs w:val="24"/>
          <w:lang w:val="en-GB" w:eastAsia="en-GB"/>
          <w14:ligatures w14:val="none"/>
        </w:rPr>
        <w:t>Study areas description</w:t>
      </w:r>
    </w:p>
    <w:p w14:paraId="302CF793" w14:textId="6019A7EE" w:rsidR="00296C55" w:rsidRPr="00495817" w:rsidRDefault="00296C55" w:rsidP="00495817">
      <w:pPr>
        <w:jc w:val="both"/>
        <w:rPr>
          <w:rFonts w:ascii="Cambria" w:eastAsia="Times New Roman" w:hAnsi="Cambria" w:cs="Times New Roman"/>
          <w:kern w:val="0"/>
          <w:sz w:val="24"/>
          <w:szCs w:val="24"/>
          <w:lang w:eastAsia="en-GB"/>
          <w14:ligatures w14:val="none"/>
        </w:rPr>
      </w:pPr>
      <w:r w:rsidRPr="005E16B4">
        <w:rPr>
          <w:rFonts w:ascii="Cambria" w:eastAsia="Times New Roman" w:hAnsi="Cambria" w:cs="Times New Roman"/>
          <w:kern w:val="0"/>
          <w:sz w:val="24"/>
          <w:szCs w:val="24"/>
          <w:lang w:eastAsia="en-GB"/>
          <w14:ligatures w14:val="none"/>
        </w:rPr>
        <w:t xml:space="preserve">The Delta region in Egypt is one of the oldest agricultural areas worldwide where the ancient Egyptians built the oldest civilization. The Delta region covers around 22,000 Km2 </w:t>
      </w:r>
      <w:r w:rsidRPr="005E16B4">
        <w:rPr>
          <w:rFonts w:ascii="Cambria" w:eastAsia="Times New Roman" w:hAnsi="Cambria" w:cs="Times New Roman"/>
          <w:kern w:val="0"/>
          <w:sz w:val="24"/>
          <w:szCs w:val="24"/>
          <w:lang w:eastAsia="en-GB"/>
          <w14:ligatures w14:val="none"/>
        </w:rPr>
        <w:fldChar w:fldCharType="begin"/>
      </w:r>
      <w:r w:rsidRPr="005E16B4">
        <w:rPr>
          <w:rFonts w:ascii="Cambria" w:eastAsia="Times New Roman" w:hAnsi="Cambria" w:cs="Times New Roman"/>
          <w:kern w:val="0"/>
          <w:sz w:val="24"/>
          <w:szCs w:val="24"/>
          <w:lang w:eastAsia="en-GB"/>
          <w14:ligatures w14:val="none"/>
        </w:rPr>
        <w:instrText xml:space="preserve"> REF _Ref182594177 \h </w:instrText>
      </w:r>
      <w:r w:rsidR="005E16B4">
        <w:rPr>
          <w:rFonts w:ascii="Cambria" w:eastAsia="Times New Roman" w:hAnsi="Cambria" w:cs="Times New Roman"/>
          <w:kern w:val="0"/>
          <w:sz w:val="24"/>
          <w:szCs w:val="24"/>
          <w:lang w:eastAsia="en-GB"/>
          <w14:ligatures w14:val="none"/>
        </w:rPr>
        <w:instrText xml:space="preserve"> \* MERGEFORMAT </w:instrText>
      </w:r>
      <w:r w:rsidRPr="005E16B4">
        <w:rPr>
          <w:rFonts w:ascii="Cambria" w:eastAsia="Times New Roman" w:hAnsi="Cambria" w:cs="Times New Roman"/>
          <w:kern w:val="0"/>
          <w:sz w:val="24"/>
          <w:szCs w:val="24"/>
          <w:lang w:eastAsia="en-GB"/>
          <w14:ligatures w14:val="none"/>
        </w:rPr>
      </w:r>
      <w:r w:rsidRPr="005E16B4">
        <w:rPr>
          <w:rFonts w:ascii="Cambria" w:eastAsia="Times New Roman" w:hAnsi="Cambria" w:cs="Times New Roman"/>
          <w:kern w:val="0"/>
          <w:sz w:val="24"/>
          <w:szCs w:val="24"/>
          <w:lang w:eastAsia="en-GB"/>
          <w14:ligatures w14:val="none"/>
        </w:rPr>
        <w:fldChar w:fldCharType="separate"/>
      </w:r>
      <w:r w:rsidRPr="005E16B4">
        <w:rPr>
          <w:rFonts w:ascii="Cambria" w:eastAsia="Times New Roman" w:hAnsi="Cambria" w:cs="Times New Roman"/>
          <w:kern w:val="0"/>
          <w:sz w:val="24"/>
          <w:szCs w:val="24"/>
          <w:lang w:eastAsia="en-GB"/>
          <w14:ligatures w14:val="none"/>
        </w:rPr>
        <w:t>Figure 3</w:t>
      </w:r>
      <w:r w:rsidRPr="005E16B4">
        <w:rPr>
          <w:rFonts w:ascii="Cambria" w:eastAsia="Times New Roman" w:hAnsi="Cambria" w:cs="Times New Roman"/>
          <w:kern w:val="0"/>
          <w:sz w:val="24"/>
          <w:szCs w:val="24"/>
          <w:lang w:eastAsia="en-GB"/>
          <w14:ligatures w14:val="none"/>
        </w:rPr>
        <w:fldChar w:fldCharType="end"/>
      </w:r>
      <w:r w:rsidRPr="005E16B4">
        <w:rPr>
          <w:rFonts w:ascii="Cambria" w:eastAsia="Times New Roman" w:hAnsi="Cambria" w:cs="Times New Roman"/>
          <w:kern w:val="0"/>
          <w:sz w:val="24"/>
          <w:szCs w:val="24"/>
          <w:lang w:eastAsia="en-GB"/>
          <w14:ligatures w14:val="none"/>
        </w:rPr>
        <w:t xml:space="preserve"> and is considered as the most fertilized are in Egypt due to annual floods before High Aswan Dam's construction and operation in mid of the 19th century.</w:t>
      </w:r>
    </w:p>
    <w:p w14:paraId="2706781F" w14:textId="644645CF" w:rsidR="0050706C" w:rsidRDefault="00296C55" w:rsidP="001312D7">
      <w:pPr>
        <w:spacing w:line="276" w:lineRule="auto"/>
        <w:jc w:val="both"/>
        <w:rPr>
          <w:rFonts w:ascii="Cambria" w:eastAsia="Times New Roman" w:hAnsi="Cambria" w:cs="Times New Roman"/>
          <w:kern w:val="0"/>
          <w:sz w:val="24"/>
          <w:szCs w:val="24"/>
          <w:lang w:eastAsia="en-GB"/>
          <w14:ligatures w14:val="none"/>
        </w:rPr>
      </w:pPr>
      <w:r w:rsidRPr="005E16B4">
        <w:rPr>
          <w:rFonts w:ascii="Cambria" w:eastAsia="Times New Roman" w:hAnsi="Cambria" w:cs="Times New Roman"/>
          <w:kern w:val="0"/>
          <w:sz w:val="24"/>
          <w:szCs w:val="24"/>
          <w:lang w:eastAsia="en-GB"/>
          <w14:ligatures w14:val="none"/>
        </w:rPr>
        <w:t xml:space="preserve">This area used to use flood irrigation from early ages and still use these irrigation techniques to overcome increasing salinity and soil deterioration in this region. The Nile Delta is characterized as hyper-arid climate except the northern part, which is considered semi-arid with average rainfall of 200mm in the winter season. </w:t>
      </w:r>
      <w:sdt>
        <w:sdtPr>
          <w:rPr>
            <w:rFonts w:ascii="Cambria" w:eastAsia="Times New Roman" w:hAnsi="Cambria" w:cs="Times New Roman"/>
            <w:kern w:val="0"/>
            <w:sz w:val="24"/>
            <w:szCs w:val="24"/>
            <w:lang w:eastAsia="en-GB"/>
            <w14:ligatures w14:val="none"/>
          </w:rPr>
          <w:id w:val="777057263"/>
          <w:citation/>
        </w:sdtPr>
        <w:sdtContent>
          <w:r w:rsidRPr="005E16B4">
            <w:rPr>
              <w:rFonts w:ascii="Cambria" w:eastAsia="Times New Roman" w:hAnsi="Cambria" w:cs="Times New Roman"/>
              <w:kern w:val="0"/>
              <w:sz w:val="24"/>
              <w:szCs w:val="24"/>
              <w:lang w:eastAsia="en-GB"/>
              <w14:ligatures w14:val="none"/>
            </w:rPr>
            <w:fldChar w:fldCharType="begin"/>
          </w:r>
          <w:r w:rsidRPr="005E16B4">
            <w:rPr>
              <w:rFonts w:ascii="Cambria" w:eastAsia="Times New Roman" w:hAnsi="Cambria" w:cs="Times New Roman"/>
              <w:kern w:val="0"/>
              <w:sz w:val="24"/>
              <w:szCs w:val="24"/>
              <w:lang w:eastAsia="en-GB"/>
              <w14:ligatures w14:val="none"/>
            </w:rPr>
            <w:instrText xml:space="preserve">CITATION Oma19 \l 2057 </w:instrText>
          </w:r>
          <w:r w:rsidRPr="005E16B4">
            <w:rPr>
              <w:rFonts w:ascii="Cambria" w:eastAsia="Times New Roman" w:hAnsi="Cambria" w:cs="Times New Roman"/>
              <w:kern w:val="0"/>
              <w:sz w:val="24"/>
              <w:szCs w:val="24"/>
              <w:lang w:eastAsia="en-GB"/>
              <w14:ligatures w14:val="none"/>
            </w:rPr>
            <w:fldChar w:fldCharType="separate"/>
          </w:r>
          <w:r w:rsidRPr="005E16B4">
            <w:rPr>
              <w:rFonts w:ascii="Cambria" w:eastAsia="Times New Roman" w:hAnsi="Cambria" w:cs="Times New Roman"/>
              <w:kern w:val="0"/>
              <w:sz w:val="24"/>
              <w:szCs w:val="24"/>
              <w:lang w:eastAsia="en-GB"/>
              <w14:ligatures w14:val="none"/>
            </w:rPr>
            <w:t>(Omar, Mohie et al., 2019)</w:t>
          </w:r>
          <w:r w:rsidRPr="005E16B4">
            <w:rPr>
              <w:rFonts w:ascii="Cambria" w:eastAsia="Times New Roman" w:hAnsi="Cambria" w:cs="Times New Roman"/>
              <w:kern w:val="0"/>
              <w:sz w:val="24"/>
              <w:szCs w:val="24"/>
              <w:lang w:eastAsia="en-GB"/>
              <w14:ligatures w14:val="none"/>
            </w:rPr>
            <w:fldChar w:fldCharType="end"/>
          </w:r>
        </w:sdtContent>
      </w:sdt>
      <w:r w:rsidRPr="005E16B4">
        <w:rPr>
          <w:rFonts w:ascii="Cambria" w:eastAsia="Times New Roman" w:hAnsi="Cambria" w:cs="Times New Roman"/>
          <w:kern w:val="0"/>
          <w:sz w:val="24"/>
          <w:szCs w:val="24"/>
          <w:lang w:eastAsia="en-GB"/>
          <w14:ligatures w14:val="none"/>
        </w:rPr>
        <w:t xml:space="preserve">. Accordingly, the huge area of the delta region consumes a huge amount in the evapotranspiration process. Optimum utilization of available water resources in this region requires extensive study for evapotranspiration.  As it's acknowledged, the evapotranspiration process occurs due to interaction </w:t>
      </w:r>
      <w:r w:rsidR="001312D7" w:rsidRPr="005E16B4">
        <w:rPr>
          <w:rFonts w:ascii="Cambria" w:eastAsia="Times New Roman" w:hAnsi="Cambria" w:cs="Times New Roman"/>
          <w:kern w:val="0"/>
          <w:sz w:val="24"/>
          <w:szCs w:val="24"/>
          <w:lang w:eastAsia="en-GB"/>
          <w14:ligatures w14:val="none"/>
        </w:rPr>
        <w:t>between</w:t>
      </w:r>
      <w:r w:rsidRPr="005E16B4">
        <w:rPr>
          <w:rFonts w:ascii="Cambria" w:eastAsia="Times New Roman" w:hAnsi="Cambria" w:cs="Times New Roman"/>
          <w:kern w:val="0"/>
          <w:sz w:val="24"/>
          <w:szCs w:val="24"/>
          <w:lang w:eastAsia="en-GB"/>
          <w14:ligatures w14:val="none"/>
        </w:rPr>
        <w:t xml:space="preserve"> soil, water bodies, and plant based on attached metrological conditions.</w:t>
      </w:r>
      <w:r w:rsidR="001312D7">
        <w:rPr>
          <w:rFonts w:ascii="Cambria" w:eastAsia="Times New Roman" w:hAnsi="Cambria" w:cs="Times New Roman"/>
          <w:kern w:val="0"/>
          <w:sz w:val="24"/>
          <w:szCs w:val="24"/>
          <w:lang w:eastAsia="en-GB"/>
          <w14:ligatures w14:val="none"/>
        </w:rPr>
        <w:t xml:space="preserve"> </w:t>
      </w:r>
      <w:r w:rsidRPr="005E16B4">
        <w:rPr>
          <w:rFonts w:ascii="Cambria" w:eastAsia="Times New Roman" w:hAnsi="Cambria" w:cs="Times New Roman"/>
          <w:kern w:val="0"/>
          <w:sz w:val="24"/>
          <w:szCs w:val="24"/>
          <w:lang w:eastAsia="en-GB"/>
          <w14:ligatures w14:val="none"/>
        </w:rPr>
        <w:t xml:space="preserve">Evapotranspiration is one of the important surface land fluxes, which associates the process of evaporation from the soil, evaporation from water bodies, and that of transpiration from plants, re-counting the transformation of water </w:t>
      </w:r>
      <w:proofErr w:type="spellStart"/>
      <w:r w:rsidRPr="005E16B4">
        <w:rPr>
          <w:rFonts w:ascii="Cambria" w:eastAsia="Times New Roman" w:hAnsi="Cambria" w:cs="Times New Roman"/>
          <w:kern w:val="0"/>
          <w:sz w:val="24"/>
          <w:szCs w:val="24"/>
          <w:lang w:eastAsia="en-GB"/>
          <w14:ligatures w14:val="none"/>
        </w:rPr>
        <w:t>vapour</w:t>
      </w:r>
      <w:proofErr w:type="spellEnd"/>
      <w:r w:rsidRPr="005E16B4">
        <w:rPr>
          <w:rFonts w:ascii="Cambria" w:eastAsia="Times New Roman" w:hAnsi="Cambria" w:cs="Times New Roman"/>
          <w:kern w:val="0"/>
          <w:sz w:val="24"/>
          <w:szCs w:val="24"/>
          <w:lang w:eastAsia="en-GB"/>
          <w14:ligatures w14:val="none"/>
        </w:rPr>
        <w:t xml:space="preserve"> from the land to the atmosphere. Accurately estimating evapotranspiration in agricultural systems is of extremely difficult and high importance for efficient use of water resources and detailed irrigation scheduling operations.</w:t>
      </w:r>
      <w:sdt>
        <w:sdtPr>
          <w:rPr>
            <w:rFonts w:ascii="Cambria" w:eastAsia="Times New Roman" w:hAnsi="Cambria" w:cs="Times New Roman"/>
            <w:kern w:val="0"/>
            <w:sz w:val="24"/>
            <w:szCs w:val="24"/>
            <w:lang w:eastAsia="en-GB"/>
            <w14:ligatures w14:val="none"/>
          </w:rPr>
          <w:id w:val="2036230920"/>
          <w:citation/>
        </w:sdtPr>
        <w:sdtContent>
          <w:r w:rsidRPr="005E16B4">
            <w:rPr>
              <w:rFonts w:ascii="Cambria" w:eastAsia="Times New Roman" w:hAnsi="Cambria" w:cs="Times New Roman"/>
              <w:kern w:val="0"/>
              <w:sz w:val="24"/>
              <w:szCs w:val="24"/>
              <w:lang w:eastAsia="en-GB"/>
              <w14:ligatures w14:val="none"/>
            </w:rPr>
            <w:fldChar w:fldCharType="begin"/>
          </w:r>
          <w:r w:rsidRPr="005E16B4">
            <w:rPr>
              <w:rFonts w:ascii="Cambria" w:eastAsia="Times New Roman" w:hAnsi="Cambria" w:cs="Times New Roman"/>
              <w:kern w:val="0"/>
              <w:sz w:val="24"/>
              <w:szCs w:val="24"/>
              <w:lang w:eastAsia="en-GB"/>
              <w14:ligatures w14:val="none"/>
            </w:rPr>
            <w:instrText xml:space="preserve"> CITATION IGh21 \l 2057 </w:instrText>
          </w:r>
          <w:r w:rsidRPr="005E16B4">
            <w:rPr>
              <w:rFonts w:ascii="Cambria" w:eastAsia="Times New Roman" w:hAnsi="Cambria" w:cs="Times New Roman"/>
              <w:kern w:val="0"/>
              <w:sz w:val="24"/>
              <w:szCs w:val="24"/>
              <w:lang w:eastAsia="en-GB"/>
              <w14:ligatures w14:val="none"/>
            </w:rPr>
            <w:fldChar w:fldCharType="separate"/>
          </w:r>
          <w:r w:rsidRPr="005E16B4">
            <w:rPr>
              <w:rFonts w:ascii="Cambria" w:eastAsia="Times New Roman" w:hAnsi="Cambria" w:cs="Times New Roman"/>
              <w:kern w:val="0"/>
              <w:sz w:val="24"/>
              <w:szCs w:val="24"/>
              <w:lang w:eastAsia="en-GB"/>
              <w14:ligatures w14:val="none"/>
            </w:rPr>
            <w:t xml:space="preserve"> (I. Ghiat et al., 2021)</w:t>
          </w:r>
          <w:r w:rsidRPr="005E16B4">
            <w:rPr>
              <w:rFonts w:ascii="Cambria" w:eastAsia="Times New Roman" w:hAnsi="Cambria" w:cs="Times New Roman"/>
              <w:kern w:val="0"/>
              <w:sz w:val="24"/>
              <w:szCs w:val="24"/>
              <w:lang w:eastAsia="en-GB"/>
              <w14:ligatures w14:val="none"/>
            </w:rPr>
            <w:fldChar w:fldCharType="end"/>
          </w:r>
        </w:sdtContent>
      </w:sdt>
      <w:r w:rsidRPr="005E16B4">
        <w:rPr>
          <w:rFonts w:ascii="Cambria" w:eastAsia="Times New Roman" w:hAnsi="Cambria" w:cs="Times New Roman"/>
          <w:kern w:val="0"/>
          <w:sz w:val="24"/>
          <w:szCs w:val="24"/>
          <w:lang w:eastAsia="en-GB"/>
          <w14:ligatures w14:val="none"/>
        </w:rPr>
        <w:t xml:space="preserve">. Evapotranspiration modelling is a complex process and </w:t>
      </w:r>
      <w:r w:rsidRPr="005E16B4">
        <w:rPr>
          <w:rFonts w:ascii="Cambria" w:eastAsia="Times New Roman" w:hAnsi="Cambria" w:cs="Times New Roman"/>
          <w:kern w:val="0"/>
          <w:sz w:val="24"/>
          <w:szCs w:val="24"/>
          <w:lang w:eastAsia="en-GB"/>
          <w14:ligatures w14:val="none"/>
        </w:rPr>
        <w:lastRenderedPageBreak/>
        <w:t xml:space="preserve">requires field measurements for calibration and validation stages. Fortunately, </w:t>
      </w:r>
      <w:r w:rsidR="0069698D" w:rsidRPr="005E16B4">
        <w:rPr>
          <w:rFonts w:ascii="Cambria" w:eastAsia="Times New Roman" w:hAnsi="Cambria" w:cs="Times New Roman"/>
          <w:kern w:val="0"/>
          <w:sz w:val="24"/>
          <w:szCs w:val="24"/>
          <w:lang w:eastAsia="en-GB"/>
          <w14:ligatures w14:val="none"/>
        </w:rPr>
        <w:t>the Delta</w:t>
      </w:r>
      <w:r w:rsidRPr="005E16B4">
        <w:rPr>
          <w:rFonts w:ascii="Cambria" w:eastAsia="Times New Roman" w:hAnsi="Cambria" w:cs="Times New Roman"/>
          <w:kern w:val="0"/>
          <w:sz w:val="24"/>
          <w:szCs w:val="24"/>
          <w:lang w:eastAsia="en-GB"/>
          <w14:ligatures w14:val="none"/>
        </w:rPr>
        <w:t xml:space="preserve"> region hosts two mega research stations; one belongs to the ministry of water resources and irrigation and the other one belongs to ministry of agriculture and land reclamation. </w:t>
      </w:r>
    </w:p>
    <w:p w14:paraId="440C1032" w14:textId="77777777" w:rsidR="00637C88" w:rsidRPr="00637C88" w:rsidRDefault="00637C88" w:rsidP="00AA75CD">
      <w:pPr>
        <w:pStyle w:val="ListParagraph"/>
        <w:numPr>
          <w:ilvl w:val="0"/>
          <w:numId w:val="8"/>
        </w:numPr>
        <w:jc w:val="both"/>
        <w:rPr>
          <w:rFonts w:ascii="Cambria" w:eastAsia="Times New Roman" w:hAnsi="Cambria" w:cs="Times New Roman"/>
          <w:kern w:val="0"/>
          <w:sz w:val="24"/>
          <w:szCs w:val="24"/>
          <w:lang w:eastAsia="en-GB"/>
          <w14:ligatures w14:val="none"/>
        </w:rPr>
      </w:pPr>
      <w:r w:rsidRPr="00637C88">
        <w:rPr>
          <w:rFonts w:ascii="Cambria" w:eastAsia="Times New Roman" w:hAnsi="Cambria" w:cs="Times New Roman"/>
          <w:kern w:val="0"/>
          <w:sz w:val="24"/>
          <w:szCs w:val="24"/>
          <w:lang w:eastAsia="en-GB"/>
          <w14:ligatures w14:val="none"/>
        </w:rPr>
        <w:t>Sakha study area</w:t>
      </w:r>
    </w:p>
    <w:p w14:paraId="1DD6362B" w14:textId="593309B3" w:rsidR="00637C88" w:rsidRPr="00637C88" w:rsidRDefault="00637C88" w:rsidP="00637C88">
      <w:pPr>
        <w:spacing w:line="276" w:lineRule="auto"/>
        <w:jc w:val="both"/>
        <w:rPr>
          <w:rFonts w:ascii="Cambria" w:eastAsia="Times New Roman" w:hAnsi="Cambria" w:cs="Times New Roman"/>
          <w:kern w:val="0"/>
          <w:sz w:val="24"/>
          <w:szCs w:val="24"/>
          <w:lang w:eastAsia="en-GB"/>
          <w14:ligatures w14:val="none"/>
        </w:rPr>
      </w:pPr>
      <w:r w:rsidRPr="00637C88">
        <w:rPr>
          <w:rFonts w:ascii="Cambria" w:eastAsia="Times New Roman" w:hAnsi="Cambria" w:cs="Times New Roman"/>
          <w:kern w:val="0"/>
          <w:sz w:val="24"/>
          <w:szCs w:val="24"/>
          <w:lang w:eastAsia="en-GB"/>
          <w14:ligatures w14:val="none"/>
        </w:rPr>
        <w:t xml:space="preserve">Sakha research station is located in </w:t>
      </w:r>
      <w:proofErr w:type="spellStart"/>
      <w:r w:rsidRPr="00637C88">
        <w:rPr>
          <w:rFonts w:ascii="Cambria" w:eastAsia="Times New Roman" w:hAnsi="Cambria" w:cs="Times New Roman"/>
          <w:kern w:val="0"/>
          <w:sz w:val="24"/>
          <w:szCs w:val="24"/>
          <w:lang w:eastAsia="en-GB"/>
          <w14:ligatures w14:val="none"/>
        </w:rPr>
        <w:t>Kafr</w:t>
      </w:r>
      <w:proofErr w:type="spellEnd"/>
      <w:r w:rsidRPr="00637C88">
        <w:rPr>
          <w:rFonts w:ascii="Cambria" w:eastAsia="Times New Roman" w:hAnsi="Cambria" w:cs="Times New Roman"/>
          <w:kern w:val="0"/>
          <w:sz w:val="24"/>
          <w:szCs w:val="24"/>
          <w:lang w:eastAsia="en-GB"/>
          <w14:ligatures w14:val="none"/>
        </w:rPr>
        <w:t xml:space="preserve"> </w:t>
      </w:r>
      <w:proofErr w:type="spellStart"/>
      <w:r w:rsidRPr="00637C88">
        <w:rPr>
          <w:rFonts w:ascii="Cambria" w:eastAsia="Times New Roman" w:hAnsi="Cambria" w:cs="Times New Roman"/>
          <w:kern w:val="0"/>
          <w:sz w:val="24"/>
          <w:szCs w:val="24"/>
          <w:lang w:eastAsia="en-GB"/>
          <w14:ligatures w14:val="none"/>
        </w:rPr>
        <w:t>ElShiekh</w:t>
      </w:r>
      <w:proofErr w:type="spellEnd"/>
      <w:r w:rsidRPr="00637C88">
        <w:rPr>
          <w:rFonts w:ascii="Cambria" w:eastAsia="Times New Roman" w:hAnsi="Cambria" w:cs="Times New Roman"/>
          <w:kern w:val="0"/>
          <w:sz w:val="24"/>
          <w:szCs w:val="24"/>
          <w:lang w:eastAsia="en-GB"/>
          <w14:ligatures w14:val="none"/>
        </w:rPr>
        <w:t xml:space="preserve"> governorate in the </w:t>
      </w:r>
      <w:proofErr w:type="spellStart"/>
      <w:r w:rsidRPr="00637C88">
        <w:rPr>
          <w:rFonts w:ascii="Cambria" w:eastAsia="Times New Roman" w:hAnsi="Cambria" w:cs="Times New Roman"/>
          <w:kern w:val="0"/>
          <w:sz w:val="24"/>
          <w:szCs w:val="24"/>
          <w:lang w:eastAsia="en-GB"/>
          <w14:ligatures w14:val="none"/>
        </w:rPr>
        <w:t>centre</w:t>
      </w:r>
      <w:proofErr w:type="spellEnd"/>
      <w:r w:rsidRPr="00637C88">
        <w:rPr>
          <w:rFonts w:ascii="Cambria" w:eastAsia="Times New Roman" w:hAnsi="Cambria" w:cs="Times New Roman"/>
          <w:kern w:val="0"/>
          <w:sz w:val="24"/>
          <w:szCs w:val="24"/>
          <w:lang w:eastAsia="en-GB"/>
          <w14:ligatures w14:val="none"/>
        </w:rPr>
        <w:t xml:space="preserve"> of Delta region. It belongs to </w:t>
      </w:r>
      <w:r w:rsidR="0069698D" w:rsidRPr="00637C88">
        <w:rPr>
          <w:rFonts w:ascii="Cambria" w:eastAsia="Times New Roman" w:hAnsi="Cambria" w:cs="Times New Roman"/>
          <w:kern w:val="0"/>
          <w:sz w:val="24"/>
          <w:szCs w:val="24"/>
          <w:lang w:eastAsia="en-GB"/>
          <w14:ligatures w14:val="none"/>
        </w:rPr>
        <w:t>the Agriculture</w:t>
      </w:r>
      <w:r w:rsidRPr="00637C88">
        <w:rPr>
          <w:rFonts w:ascii="Cambria" w:eastAsia="Times New Roman" w:hAnsi="Cambria" w:cs="Times New Roman"/>
          <w:kern w:val="0"/>
          <w:sz w:val="24"/>
          <w:szCs w:val="24"/>
          <w:lang w:eastAsia="en-GB"/>
          <w14:ligatures w14:val="none"/>
        </w:rPr>
        <w:t xml:space="preserve"> Research Centre (ARC), Ministry of Agriculture and Land Reclamation (</w:t>
      </w:r>
      <w:proofErr w:type="spellStart"/>
      <w:r w:rsidRPr="00637C88">
        <w:rPr>
          <w:rFonts w:ascii="Cambria" w:eastAsia="Times New Roman" w:hAnsi="Cambria" w:cs="Times New Roman"/>
          <w:kern w:val="0"/>
          <w:sz w:val="24"/>
          <w:szCs w:val="24"/>
          <w:lang w:eastAsia="en-GB"/>
          <w14:ligatures w14:val="none"/>
        </w:rPr>
        <w:t>MoALR</w:t>
      </w:r>
      <w:proofErr w:type="spellEnd"/>
      <w:r w:rsidRPr="00637C88">
        <w:rPr>
          <w:rFonts w:ascii="Cambria" w:eastAsia="Times New Roman" w:hAnsi="Cambria" w:cs="Times New Roman"/>
          <w:kern w:val="0"/>
          <w:sz w:val="24"/>
          <w:szCs w:val="24"/>
          <w:lang w:eastAsia="en-GB"/>
          <w14:ligatures w14:val="none"/>
        </w:rPr>
        <w:t xml:space="preserve">). The station is located at </w:t>
      </w:r>
      <w:r>
        <w:rPr>
          <w:rFonts w:ascii="Cambria" w:eastAsia="Times New Roman" w:hAnsi="Cambria" w:cs="Times New Roman"/>
          <w:kern w:val="0"/>
          <w:sz w:val="24"/>
          <w:szCs w:val="24"/>
          <w:lang w:eastAsia="en-GB"/>
          <w14:ligatures w14:val="none"/>
        </w:rPr>
        <w:t>(</w:t>
      </w:r>
      <w:r w:rsidRPr="00637C88">
        <w:rPr>
          <w:rFonts w:ascii="Cambria" w:eastAsia="Times New Roman" w:hAnsi="Cambria" w:cs="Times New Roman"/>
          <w:kern w:val="0"/>
          <w:sz w:val="24"/>
          <w:szCs w:val="24"/>
          <w:lang w:eastAsia="en-GB"/>
          <w14:ligatures w14:val="none"/>
        </w:rPr>
        <w:t>31.094059 N, 30.933899 E</w:t>
      </w:r>
      <w:r>
        <w:rPr>
          <w:rFonts w:ascii="Cambria" w:eastAsia="Times New Roman" w:hAnsi="Cambria" w:cs="Times New Roman"/>
          <w:kern w:val="0"/>
          <w:sz w:val="24"/>
          <w:szCs w:val="24"/>
          <w:lang w:eastAsia="en-GB"/>
          <w14:ligatures w14:val="none"/>
        </w:rPr>
        <w:t>)</w:t>
      </w:r>
    </w:p>
    <w:p w14:paraId="3DE8C798" w14:textId="3BC2A867" w:rsidR="00637C88" w:rsidRDefault="00B77B22" w:rsidP="001312D7">
      <w:pPr>
        <w:keepNext/>
      </w:pPr>
      <w:r>
        <w:rPr>
          <w:noProof/>
        </w:rPr>
        <w:drawing>
          <wp:anchor distT="0" distB="0" distL="114300" distR="114300" simplePos="0" relativeHeight="251670016" behindDoc="0" locked="0" layoutInCell="1" allowOverlap="1" wp14:anchorId="6D026FBB" wp14:editId="2A55A690">
            <wp:simplePos x="0" y="0"/>
            <wp:positionH relativeFrom="column">
              <wp:posOffset>2851250</wp:posOffset>
            </wp:positionH>
            <wp:positionV relativeFrom="paragraph">
              <wp:posOffset>1094673</wp:posOffset>
            </wp:positionV>
            <wp:extent cx="866274" cy="981348"/>
            <wp:effectExtent l="0" t="0" r="0" b="0"/>
            <wp:wrapNone/>
            <wp:docPr id="747575685" name="Picture 1" descr="A solar panel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75685" name="Picture 1" descr="A solar panel in a fie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6274" cy="981348"/>
                    </a:xfrm>
                    <a:prstGeom prst="rect">
                      <a:avLst/>
                    </a:prstGeom>
                  </pic:spPr>
                </pic:pic>
              </a:graphicData>
            </a:graphic>
            <wp14:sizeRelH relativeFrom="page">
              <wp14:pctWidth>0</wp14:pctWidth>
            </wp14:sizeRelH>
            <wp14:sizeRelV relativeFrom="page">
              <wp14:pctHeight>0</wp14:pctHeight>
            </wp14:sizeRelV>
          </wp:anchor>
        </w:drawing>
      </w:r>
      <w:r w:rsidR="00945D8D">
        <w:rPr>
          <w:noProof/>
        </w:rPr>
        <mc:AlternateContent>
          <mc:Choice Requires="wps">
            <w:drawing>
              <wp:anchor distT="0" distB="0" distL="114300" distR="114300" simplePos="0" relativeHeight="251682816" behindDoc="0" locked="0" layoutInCell="1" allowOverlap="1" wp14:anchorId="6C487CC7" wp14:editId="7D9AEEA8">
                <wp:simplePos x="0" y="0"/>
                <wp:positionH relativeFrom="column">
                  <wp:posOffset>3035935</wp:posOffset>
                </wp:positionH>
                <wp:positionV relativeFrom="paragraph">
                  <wp:posOffset>631825</wp:posOffset>
                </wp:positionV>
                <wp:extent cx="2157730" cy="913130"/>
                <wp:effectExtent l="6985" t="5715" r="6985" b="5080"/>
                <wp:wrapNone/>
                <wp:docPr id="2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7730" cy="913130"/>
                        </a:xfrm>
                        <a:prstGeom prst="straightConnector1">
                          <a:avLst/>
                        </a:prstGeom>
                        <a:noFill/>
                        <a:ln w="9525">
                          <a:solidFill>
                            <a:srgbClr val="FFFF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60F0F94E" id="_x0000_t32" coordsize="21600,21600" o:spt="32" o:oned="t" path="m,l21600,21600e" filled="f">
                <v:path arrowok="t" fillok="f" o:connecttype="none"/>
                <o:lock v:ext="edit" shapetype="t"/>
              </v:shapetype>
              <v:shape id="AutoShape 36" o:spid="_x0000_s1026" type="#_x0000_t32" style="position:absolute;margin-left:239.05pt;margin-top:49.75pt;width:169.9pt;height:7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" strokecolor="yellow">
                <v:stroke dashstyle="dash"/>
              </v:shape>
            </w:pict>
          </mc:Fallback>
        </mc:AlternateContent>
      </w:r>
      <w:r w:rsidR="00945D8D">
        <w:rPr>
          <w:noProof/>
        </w:rPr>
        <mc:AlternateContent>
          <mc:Choice Requires="wps">
            <w:drawing>
              <wp:anchor distT="0" distB="0" distL="114300" distR="114300" simplePos="0" relativeHeight="251681792" behindDoc="0" locked="0" layoutInCell="1" allowOverlap="1" wp14:anchorId="6C487CC7" wp14:editId="5442FEE0">
                <wp:simplePos x="0" y="0"/>
                <wp:positionH relativeFrom="column">
                  <wp:posOffset>3152140</wp:posOffset>
                </wp:positionH>
                <wp:positionV relativeFrom="paragraph">
                  <wp:posOffset>370840</wp:posOffset>
                </wp:positionV>
                <wp:extent cx="2454275" cy="260985"/>
                <wp:effectExtent l="8890" t="11430" r="13335" b="13335"/>
                <wp:wrapNone/>
                <wp:docPr id="2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4275" cy="260985"/>
                        </a:xfrm>
                        <a:prstGeom prst="straightConnector1">
                          <a:avLst/>
                        </a:prstGeom>
                        <a:noFill/>
                        <a:ln w="9525">
                          <a:solidFill>
                            <a:srgbClr val="FFFF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D86A489" id="AutoShape 35" o:spid="_x0000_s1026" type="#_x0000_t32" style="position:absolute;margin-left:248.2pt;margin-top:29.2pt;width:193.25pt;height:2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" strokecolor="yellow">
                <v:stroke dashstyle="dash"/>
              </v:shape>
            </w:pict>
          </mc:Fallback>
        </mc:AlternateContent>
      </w:r>
      <w:r w:rsidR="00945D8D">
        <w:rPr>
          <w:noProof/>
        </w:rPr>
        <mc:AlternateContent>
          <mc:Choice Requires="wps">
            <w:drawing>
              <wp:anchor distT="0" distB="0" distL="114300" distR="114300" simplePos="0" relativeHeight="251680768" behindDoc="0" locked="0" layoutInCell="1" allowOverlap="1" wp14:anchorId="6C487CC7" wp14:editId="42DD0899">
                <wp:simplePos x="0" y="0"/>
                <wp:positionH relativeFrom="column">
                  <wp:posOffset>3035935</wp:posOffset>
                </wp:positionH>
                <wp:positionV relativeFrom="paragraph">
                  <wp:posOffset>370840</wp:posOffset>
                </wp:positionV>
                <wp:extent cx="0" cy="260985"/>
                <wp:effectExtent l="6985" t="11430" r="12065" b="13335"/>
                <wp:wrapNone/>
                <wp:docPr id="2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258BAA" id="AutoShape 34" o:spid="_x0000_s1026" type="#_x0000_t32" style="position:absolute;margin-left:239.05pt;margin-top:29.2pt;width:0;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" strokecolor="yellow"/>
            </w:pict>
          </mc:Fallback>
        </mc:AlternateContent>
      </w:r>
      <w:r w:rsidR="00945D8D">
        <w:rPr>
          <w:noProof/>
        </w:rPr>
        <mc:AlternateContent>
          <mc:Choice Requires="wps">
            <w:drawing>
              <wp:anchor distT="0" distB="0" distL="114300" distR="114300" simplePos="0" relativeHeight="251679744" behindDoc="0" locked="0" layoutInCell="1" allowOverlap="1" wp14:anchorId="6C487CC7" wp14:editId="4D9EE578">
                <wp:simplePos x="0" y="0"/>
                <wp:positionH relativeFrom="column">
                  <wp:posOffset>3152140</wp:posOffset>
                </wp:positionH>
                <wp:positionV relativeFrom="paragraph">
                  <wp:posOffset>370840</wp:posOffset>
                </wp:positionV>
                <wp:extent cx="0" cy="260985"/>
                <wp:effectExtent l="8890" t="11430" r="10160" b="13335"/>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E3FDCD" id="AutoShape 33" o:spid="_x0000_s1026" type="#_x0000_t32" style="position:absolute;margin-left:248.2pt;margin-top:29.2pt;width:0;height:2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" strokecolor="yellow"/>
            </w:pict>
          </mc:Fallback>
        </mc:AlternateContent>
      </w:r>
      <w:r w:rsidR="00945D8D">
        <w:rPr>
          <w:noProof/>
        </w:rPr>
        <mc:AlternateContent>
          <mc:Choice Requires="wps">
            <w:drawing>
              <wp:anchor distT="0" distB="0" distL="114300" distR="114300" simplePos="0" relativeHeight="251678720" behindDoc="0" locked="0" layoutInCell="1" allowOverlap="1" wp14:anchorId="6C487CC7" wp14:editId="167EEA0F">
                <wp:simplePos x="0" y="0"/>
                <wp:positionH relativeFrom="column">
                  <wp:posOffset>3035935</wp:posOffset>
                </wp:positionH>
                <wp:positionV relativeFrom="paragraph">
                  <wp:posOffset>631825</wp:posOffset>
                </wp:positionV>
                <wp:extent cx="116205" cy="0"/>
                <wp:effectExtent l="6985" t="5715" r="10160" b="13335"/>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4AFACE" id="AutoShape 32" o:spid="_x0000_s1026" type="#_x0000_t32" style="position:absolute;margin-left:239.05pt;margin-top:49.75pt;width:9.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" strokecolor="yellow"/>
            </w:pict>
          </mc:Fallback>
        </mc:AlternateContent>
      </w:r>
      <w:r w:rsidR="00B11235" w:rsidRPr="000F1A84">
        <w:rPr>
          <w:rFonts w:asciiTheme="majorBidi" w:hAnsiTheme="majorBidi" w:cstheme="majorBidi"/>
          <w:noProof/>
          <w:sz w:val="24"/>
          <w:szCs w:val="24"/>
        </w:rPr>
        <w:drawing>
          <wp:anchor distT="0" distB="0" distL="114300" distR="114300" simplePos="0" relativeHeight="251655680" behindDoc="1" locked="0" layoutInCell="1" allowOverlap="1" wp14:anchorId="23A25F42" wp14:editId="6C0C65A2">
            <wp:simplePos x="0" y="0"/>
            <wp:positionH relativeFrom="column">
              <wp:posOffset>2554271</wp:posOffset>
            </wp:positionH>
            <wp:positionV relativeFrom="paragraph">
              <wp:posOffset>-969</wp:posOffset>
            </wp:positionV>
            <wp:extent cx="2083058" cy="1565177"/>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3058" cy="1565177"/>
                    </a:xfrm>
                    <a:prstGeom prst="rect">
                      <a:avLst/>
                    </a:prstGeom>
                  </pic:spPr>
                </pic:pic>
              </a:graphicData>
            </a:graphic>
            <wp14:sizeRelH relativeFrom="page">
              <wp14:pctWidth>0</wp14:pctWidth>
            </wp14:sizeRelH>
            <wp14:sizeRelV relativeFrom="page">
              <wp14:pctHeight>0</wp14:pctHeight>
            </wp14:sizeRelV>
          </wp:anchor>
        </w:drawing>
      </w:r>
      <w:r w:rsidR="00945D8D">
        <w:rPr>
          <w:noProof/>
        </w:rPr>
        <mc:AlternateContent>
          <mc:Choice Requires="wps">
            <w:drawing>
              <wp:anchor distT="0" distB="0" distL="114300" distR="114300" simplePos="0" relativeHeight="251677696" behindDoc="0" locked="0" layoutInCell="1" allowOverlap="1" wp14:anchorId="6C487CC7" wp14:editId="688B9180">
                <wp:simplePos x="0" y="0"/>
                <wp:positionH relativeFrom="column">
                  <wp:posOffset>3035935</wp:posOffset>
                </wp:positionH>
                <wp:positionV relativeFrom="paragraph">
                  <wp:posOffset>354965</wp:posOffset>
                </wp:positionV>
                <wp:extent cx="116205" cy="15875"/>
                <wp:effectExtent l="6985" t="5080" r="10160" b="7620"/>
                <wp:wrapNone/>
                <wp:docPr id="2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205" cy="1587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701D6DA" id="AutoShape 31" o:spid="_x0000_s1026" type="#_x0000_t32" style="position:absolute;margin-left:239.05pt;margin-top:27.95pt;width:9.15pt;height:1.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" strokecolor="yellow"/>
            </w:pict>
          </mc:Fallback>
        </mc:AlternateContent>
      </w:r>
      <w:r w:rsidR="00B11235">
        <w:rPr>
          <w:noProof/>
        </w:rPr>
        <w:drawing>
          <wp:anchor distT="0" distB="0" distL="114300" distR="114300" simplePos="0" relativeHeight="251667968" behindDoc="0" locked="0" layoutInCell="1" allowOverlap="1" wp14:anchorId="50BAF540" wp14:editId="10AE3C95">
            <wp:simplePos x="0" y="0"/>
            <wp:positionH relativeFrom="column">
              <wp:posOffset>4799907</wp:posOffset>
            </wp:positionH>
            <wp:positionV relativeFrom="paragraph">
              <wp:posOffset>277956</wp:posOffset>
            </wp:positionV>
            <wp:extent cx="1413164" cy="1721531"/>
            <wp:effectExtent l="0" t="0" r="0" b="0"/>
            <wp:wrapNone/>
            <wp:docPr id="995970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7010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3164" cy="1721531"/>
                    </a:xfrm>
                    <a:prstGeom prst="rect">
                      <a:avLst/>
                    </a:prstGeom>
                  </pic:spPr>
                </pic:pic>
              </a:graphicData>
            </a:graphic>
            <wp14:sizeRelH relativeFrom="page">
              <wp14:pctWidth>0</wp14:pctWidth>
            </wp14:sizeRelH>
            <wp14:sizeRelV relativeFrom="page">
              <wp14:pctHeight>0</wp14:pctHeight>
            </wp14:sizeRelV>
          </wp:anchor>
        </w:drawing>
      </w:r>
      <w:r w:rsidR="00945D8D">
        <w:rPr>
          <w:rFonts w:asciiTheme="majorBidi" w:hAnsiTheme="majorBidi" w:cstheme="majorBidi"/>
          <w:noProof/>
          <w:sz w:val="24"/>
          <w:szCs w:val="24"/>
        </w:rPr>
        <mc:AlternateContent>
          <mc:Choice Requires="wps">
            <w:drawing>
              <wp:anchor distT="0" distB="0" distL="114300" distR="114300" simplePos="0" relativeHeight="251675648" behindDoc="0" locked="0" layoutInCell="1" allowOverlap="1" wp14:anchorId="719830CF" wp14:editId="76DC7A3B">
                <wp:simplePos x="0" y="0"/>
                <wp:positionH relativeFrom="column">
                  <wp:posOffset>1570990</wp:posOffset>
                </wp:positionH>
                <wp:positionV relativeFrom="paragraph">
                  <wp:posOffset>1474470</wp:posOffset>
                </wp:positionV>
                <wp:extent cx="971550" cy="70485"/>
                <wp:effectExtent l="8890" t="10160" r="10160" b="5080"/>
                <wp:wrapNone/>
                <wp:docPr id="1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70485"/>
                        </a:xfrm>
                        <a:prstGeom prst="straightConnector1">
                          <a:avLst/>
                        </a:prstGeom>
                        <a:noFill/>
                        <a:ln w="9525">
                          <a:solidFill>
                            <a:srgbClr val="FFFF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030F2CF" id="AutoShape 29" o:spid="_x0000_s1026" type="#_x0000_t32" style="position:absolute;margin-left:123.7pt;margin-top:116.1pt;width:76.5pt;height: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" strokecolor="yellow">
                <v:stroke dashstyle="dash"/>
              </v:shape>
            </w:pict>
          </mc:Fallback>
        </mc:AlternateContent>
      </w:r>
      <w:r w:rsidR="00945D8D">
        <w:rPr>
          <w:rFonts w:asciiTheme="majorBidi" w:hAnsiTheme="majorBidi" w:cstheme="majorBidi"/>
          <w:noProof/>
          <w:sz w:val="24"/>
          <w:szCs w:val="24"/>
        </w:rPr>
        <mc:AlternateContent>
          <mc:Choice Requires="wps">
            <w:drawing>
              <wp:anchor distT="0" distB="0" distL="114300" distR="114300" simplePos="0" relativeHeight="251674624" behindDoc="0" locked="0" layoutInCell="1" allowOverlap="1" wp14:anchorId="719830CF" wp14:editId="5BD49005">
                <wp:simplePos x="0" y="0"/>
                <wp:positionH relativeFrom="column">
                  <wp:posOffset>1500505</wp:posOffset>
                </wp:positionH>
                <wp:positionV relativeFrom="paragraph">
                  <wp:posOffset>27305</wp:posOffset>
                </wp:positionV>
                <wp:extent cx="1042035" cy="1212850"/>
                <wp:effectExtent l="5080" t="10795" r="10160" b="5080"/>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2035" cy="1212850"/>
                        </a:xfrm>
                        <a:prstGeom prst="straightConnector1">
                          <a:avLst/>
                        </a:prstGeom>
                        <a:noFill/>
                        <a:ln w="9525">
                          <a:solidFill>
                            <a:srgbClr val="FFFF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2CF3AE4" id="AutoShape 28" o:spid="_x0000_s1026" type="#_x0000_t32" style="position:absolute;margin-left:118.15pt;margin-top:2.15pt;width:82.05pt;height:9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" strokecolor="yellow">
                <v:stroke dashstyle="dash"/>
              </v:shape>
            </w:pict>
          </mc:Fallback>
        </mc:AlternateContent>
      </w:r>
      <w:r w:rsidR="00945D8D">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14:anchorId="065A7053" wp14:editId="2D34867F">
                <wp:simplePos x="0" y="0"/>
                <wp:positionH relativeFrom="column">
                  <wp:posOffset>1296035</wp:posOffset>
                </wp:positionH>
                <wp:positionV relativeFrom="paragraph">
                  <wp:posOffset>1240155</wp:posOffset>
                </wp:positionV>
                <wp:extent cx="334010" cy="263525"/>
                <wp:effectExtent l="10160" t="13970" r="17780" b="17780"/>
                <wp:wrapNone/>
                <wp:docPr id="1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63525"/>
                        </a:xfrm>
                        <a:prstGeom prst="ellipse">
                          <a:avLst/>
                        </a:prstGeom>
                        <a:noFill/>
                        <a:ln w="19050">
                          <a:solidFill>
                            <a:srgbClr val="FFFF00"/>
                          </a:solidFill>
                          <a:prstDash val="dash"/>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73B40A0" id="Oval 27" o:spid="_x0000_s1026" style="position:absolute;margin-left:102.05pt;margin-top:97.65pt;width:26.3pt;height: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" filled="f" fillcolor="white [3201]" strokecolor="yellow" strokeweight="1.5pt">
                <v:stroke dashstyle="dash"/>
                <v:shadow color="#868686"/>
              </v:oval>
            </w:pict>
          </mc:Fallback>
        </mc:AlternateContent>
      </w:r>
      <w:r w:rsidR="00495817">
        <w:rPr>
          <w:noProof/>
        </w:rPr>
        <w:drawing>
          <wp:inline distT="0" distB="0" distL="0" distR="0" wp14:anchorId="7B69A2CC" wp14:editId="35C595F6">
            <wp:extent cx="2432538" cy="2077792"/>
            <wp:effectExtent l="0" t="0" r="0" b="0"/>
            <wp:docPr id="1646757110" name="Picture 1" descr="A satellite view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7110" name="Picture 1" descr="A satellite view of a land&#10;&#10;Description automatically generated"/>
                    <pic:cNvPicPr/>
                  </pic:nvPicPr>
                  <pic:blipFill>
                    <a:blip r:embed="rId13"/>
                    <a:stretch>
                      <a:fillRect/>
                    </a:stretch>
                  </pic:blipFill>
                  <pic:spPr>
                    <a:xfrm>
                      <a:off x="0" y="0"/>
                      <a:ext cx="2480602" cy="2118846"/>
                    </a:xfrm>
                    <a:prstGeom prst="rect">
                      <a:avLst/>
                    </a:prstGeom>
                  </pic:spPr>
                </pic:pic>
              </a:graphicData>
            </a:graphic>
          </wp:inline>
        </w:drawing>
      </w:r>
    </w:p>
    <w:p w14:paraId="263DDFFF" w14:textId="072DD5E1" w:rsidR="00637C88" w:rsidRDefault="00637C88" w:rsidP="00637C88">
      <w:pPr>
        <w:pStyle w:val="Caption"/>
        <w:jc w:val="center"/>
        <w:rPr>
          <w:rFonts w:asciiTheme="majorBidi" w:hAnsiTheme="majorBidi" w:cstheme="majorBidi"/>
          <w:sz w:val="24"/>
          <w:szCs w:val="24"/>
        </w:rPr>
      </w:pPr>
      <w:bookmarkStart w:id="5" w:name="_Toc182606014"/>
      <w:r>
        <w:t xml:space="preserve">Figure </w:t>
      </w:r>
      <w:fldSimple w:instr=" SEQ Figure \* ARABIC ">
        <w:r w:rsidR="00495817">
          <w:rPr>
            <w:noProof/>
          </w:rPr>
          <w:t>3</w:t>
        </w:r>
      </w:fldSimple>
      <w:r>
        <w:t xml:space="preserve"> Sakha station, ARC, </w:t>
      </w:r>
      <w:proofErr w:type="spellStart"/>
      <w:r>
        <w:t>MoALR</w:t>
      </w:r>
      <w:proofErr w:type="spellEnd"/>
      <w:r>
        <w:t>, Egypt</w:t>
      </w:r>
      <w:bookmarkEnd w:id="5"/>
    </w:p>
    <w:p w14:paraId="43F90A47" w14:textId="3275BACC" w:rsidR="00637C88" w:rsidRPr="005E16B4" w:rsidRDefault="00637C88" w:rsidP="00637C88">
      <w:pPr>
        <w:spacing w:line="276" w:lineRule="auto"/>
        <w:jc w:val="both"/>
        <w:rPr>
          <w:rFonts w:ascii="Cambria" w:eastAsia="Times New Roman" w:hAnsi="Cambria" w:cs="Times New Roman"/>
          <w:kern w:val="0"/>
          <w:sz w:val="24"/>
          <w:szCs w:val="24"/>
          <w:lang w:eastAsia="en-GB"/>
          <w14:ligatures w14:val="none"/>
        </w:rPr>
      </w:pPr>
      <w:r w:rsidRPr="00637C88">
        <w:rPr>
          <w:rFonts w:ascii="Cambria" w:eastAsia="Times New Roman" w:hAnsi="Cambria" w:cs="Times New Roman"/>
          <w:kern w:val="0"/>
          <w:sz w:val="24"/>
          <w:szCs w:val="24"/>
          <w:lang w:eastAsia="en-GB"/>
          <w14:ligatures w14:val="none"/>
        </w:rPr>
        <w:t>The station hosts the most popular devices used to measure and estimate evapotranspiration with different approaches; eddy covariance that has been developed based on continuous determination of the carbon and water vapor flows of an ecosystem, and CORDOVA station that has been developed based on Surface Energy Balance (SEB) approach</w:t>
      </w:r>
      <w:r>
        <w:rPr>
          <w:rFonts w:ascii="Cambria" w:eastAsia="Times New Roman" w:hAnsi="Cambria" w:cs="Times New Roman"/>
          <w:kern w:val="0"/>
          <w:sz w:val="24"/>
          <w:szCs w:val="24"/>
          <w:lang w:eastAsia="en-GB"/>
          <w14:ligatures w14:val="none"/>
        </w:rPr>
        <w:t xml:space="preserve"> as well as </w:t>
      </w:r>
      <w:r w:rsidRPr="00637C88">
        <w:rPr>
          <w:rFonts w:ascii="Cambria" w:eastAsia="Times New Roman" w:hAnsi="Cambria" w:cs="Times New Roman"/>
          <w:kern w:val="0"/>
          <w:sz w:val="24"/>
          <w:szCs w:val="24"/>
          <w:lang w:eastAsia="en-GB"/>
          <w14:ligatures w14:val="none"/>
        </w:rPr>
        <w:t>Surface Energy Balance (SEB)</w:t>
      </w:r>
      <w:r>
        <w:rPr>
          <w:rFonts w:ascii="Cambria" w:eastAsia="Times New Roman" w:hAnsi="Cambria" w:cs="Times New Roman"/>
          <w:kern w:val="0"/>
          <w:sz w:val="24"/>
          <w:szCs w:val="24"/>
          <w:lang w:eastAsia="en-GB"/>
          <w14:ligatures w14:val="none"/>
        </w:rPr>
        <w:t xml:space="preserve"> tower which has been used in this paper</w:t>
      </w:r>
    </w:p>
    <w:p w14:paraId="7225BC02" w14:textId="1FB36AD8" w:rsidR="00C64B75" w:rsidRDefault="00296C55" w:rsidP="00073E86">
      <w:pPr>
        <w:pStyle w:val="Heading1"/>
        <w:keepLines w:val="0"/>
        <w:numPr>
          <w:ilvl w:val="1"/>
          <w:numId w:val="9"/>
        </w:numPr>
        <w:spacing w:after="0" w:line="240" w:lineRule="auto"/>
        <w:ind w:right="567"/>
        <w:contextualSpacing/>
        <w:rPr>
          <w:rFonts w:asciiTheme="majorBidi" w:hAnsiTheme="majorBidi"/>
          <w:b/>
          <w:color w:val="auto"/>
          <w:kern w:val="0"/>
          <w:sz w:val="24"/>
          <w:szCs w:val="26"/>
          <w14:ligatures w14:val="none"/>
        </w:rPr>
      </w:pPr>
      <w:r w:rsidRPr="00C64B75">
        <w:rPr>
          <w:rFonts w:ascii="Cambria" w:eastAsia="Times New Roman" w:hAnsi="Cambria" w:cs="Arial"/>
          <w:b/>
          <w:bCs/>
          <w:color w:val="auto"/>
          <w:kern w:val="32"/>
          <w:sz w:val="24"/>
          <w:szCs w:val="24"/>
          <w:lang w:val="en-GB" w:eastAsia="en-GB"/>
          <w14:ligatures w14:val="none"/>
        </w:rPr>
        <w:t xml:space="preserve">Evapotranspiration </w:t>
      </w:r>
      <w:r w:rsidR="00C64B75" w:rsidRPr="00C64B75">
        <w:rPr>
          <w:rFonts w:asciiTheme="majorBidi" w:hAnsiTheme="majorBidi"/>
          <w:b/>
          <w:color w:val="auto"/>
          <w:kern w:val="0"/>
          <w:sz w:val="24"/>
          <w:szCs w:val="26"/>
          <w14:ligatures w14:val="none"/>
        </w:rPr>
        <w:t>Remote sensing datasets</w:t>
      </w:r>
    </w:p>
    <w:p w14:paraId="561C8DB6" w14:textId="2AA274F4" w:rsidR="005601E5" w:rsidRPr="005601E5" w:rsidRDefault="005601E5" w:rsidP="00073E86">
      <w:pPr>
        <w:spacing w:before="360" w:line="276" w:lineRule="auto"/>
        <w:ind w:firstLine="450"/>
        <w:rPr>
          <w:rFonts w:ascii="Cambria" w:eastAsia="Times New Roman" w:hAnsi="Cambria" w:cs="Times New Roman"/>
          <w:kern w:val="0"/>
          <w:sz w:val="24"/>
          <w:szCs w:val="24"/>
          <w:lang w:eastAsia="en-GB"/>
          <w14:ligatures w14:val="none"/>
        </w:rPr>
      </w:pPr>
      <w:r>
        <w:rPr>
          <w:rFonts w:ascii="Cambria" w:eastAsia="Times New Roman" w:hAnsi="Cambria" w:cs="Times New Roman"/>
          <w:kern w:val="0"/>
          <w:sz w:val="24"/>
          <w:szCs w:val="24"/>
          <w:lang w:eastAsia="en-GB"/>
          <w14:ligatures w14:val="none"/>
        </w:rPr>
        <w:t>Remote sensing</w:t>
      </w:r>
      <w:r w:rsidRPr="005601E5">
        <w:rPr>
          <w:rFonts w:ascii="Cambria" w:eastAsia="Times New Roman" w:hAnsi="Cambria" w:cs="Times New Roman"/>
          <w:kern w:val="0"/>
          <w:sz w:val="24"/>
          <w:szCs w:val="24"/>
          <w:lang w:eastAsia="en-GB"/>
          <w14:ligatures w14:val="none"/>
        </w:rPr>
        <w:t xml:space="preserve"> data</w:t>
      </w:r>
      <w:r>
        <w:rPr>
          <w:rFonts w:ascii="Cambria" w:eastAsia="Times New Roman" w:hAnsi="Cambria" w:cs="Times New Roman"/>
          <w:kern w:val="0"/>
          <w:sz w:val="24"/>
          <w:szCs w:val="24"/>
          <w:lang w:eastAsia="en-GB"/>
          <w14:ligatures w14:val="none"/>
        </w:rPr>
        <w:t>sets</w:t>
      </w:r>
      <w:r w:rsidRPr="005601E5">
        <w:rPr>
          <w:rFonts w:ascii="Cambria" w:eastAsia="Times New Roman" w:hAnsi="Cambria" w:cs="Times New Roman"/>
          <w:kern w:val="0"/>
          <w:sz w:val="24"/>
          <w:szCs w:val="24"/>
          <w:lang w:eastAsia="en-GB"/>
          <w14:ligatures w14:val="none"/>
        </w:rPr>
        <w:t xml:space="preserve"> provide opportunities in terms of efficiency as well as scalability for ET estimates over different temporal and spatial scales. These datasets retrieve ET by incorporating surface energy balance models and vegetation index forage from spectral data in satellite observations. MODIS, and </w:t>
      </w:r>
      <w:proofErr w:type="spellStart"/>
      <w:r w:rsidRPr="005601E5">
        <w:rPr>
          <w:rFonts w:ascii="Cambria" w:eastAsia="Times New Roman" w:hAnsi="Cambria" w:cs="Times New Roman"/>
          <w:kern w:val="0"/>
          <w:sz w:val="24"/>
          <w:szCs w:val="24"/>
          <w:lang w:eastAsia="en-GB"/>
          <w14:ligatures w14:val="none"/>
        </w:rPr>
        <w:t>WaPOR</w:t>
      </w:r>
      <w:proofErr w:type="spellEnd"/>
      <w:r w:rsidRPr="005601E5">
        <w:rPr>
          <w:rFonts w:ascii="Cambria" w:eastAsia="Times New Roman" w:hAnsi="Cambria" w:cs="Times New Roman"/>
          <w:kern w:val="0"/>
          <w:sz w:val="24"/>
          <w:szCs w:val="24"/>
          <w:lang w:eastAsia="en-GB"/>
          <w14:ligatures w14:val="none"/>
        </w:rPr>
        <w:t xml:space="preserve"> are some of the well-known open-source datasets that can </w:t>
      </w:r>
      <w:r>
        <w:rPr>
          <w:rFonts w:ascii="Cambria" w:eastAsia="Times New Roman" w:hAnsi="Cambria" w:cs="Times New Roman"/>
          <w:kern w:val="0"/>
          <w:sz w:val="24"/>
          <w:szCs w:val="24"/>
          <w:lang w:eastAsia="en-GB"/>
          <w14:ligatures w14:val="none"/>
        </w:rPr>
        <w:t>be used to</w:t>
      </w:r>
      <w:r w:rsidRPr="005601E5">
        <w:rPr>
          <w:rFonts w:ascii="Cambria" w:eastAsia="Times New Roman" w:hAnsi="Cambria" w:cs="Times New Roman"/>
          <w:kern w:val="0"/>
          <w:sz w:val="24"/>
          <w:szCs w:val="24"/>
          <w:lang w:eastAsia="en-GB"/>
          <w14:ligatures w14:val="none"/>
        </w:rPr>
        <w:t xml:space="preserve"> estimate ET. </w:t>
      </w:r>
      <w:r>
        <w:rPr>
          <w:rFonts w:ascii="Cambria" w:eastAsia="Times New Roman" w:hAnsi="Cambria" w:cs="Times New Roman"/>
          <w:kern w:val="0"/>
          <w:sz w:val="24"/>
          <w:szCs w:val="24"/>
          <w:lang w:eastAsia="en-GB"/>
          <w14:ligatures w14:val="none"/>
        </w:rPr>
        <w:t xml:space="preserve"> </w:t>
      </w:r>
    </w:p>
    <w:p w14:paraId="7389A3B8" w14:textId="7C3B0688" w:rsidR="00D75E34" w:rsidRPr="005E16B4" w:rsidRDefault="00296C55" w:rsidP="005601E5">
      <w:pPr>
        <w:pStyle w:val="Heading1"/>
        <w:keepLines w:val="0"/>
        <w:numPr>
          <w:ilvl w:val="2"/>
          <w:numId w:val="9"/>
        </w:numPr>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r w:rsidRPr="005E16B4">
        <w:rPr>
          <w:rFonts w:ascii="Cambria" w:eastAsia="Times New Roman" w:hAnsi="Cambria" w:cs="Arial"/>
          <w:b/>
          <w:bCs/>
          <w:color w:val="auto"/>
          <w:kern w:val="32"/>
          <w:sz w:val="24"/>
          <w:szCs w:val="24"/>
          <w:lang w:val="en-GB" w:eastAsia="en-GB"/>
          <w14:ligatures w14:val="none"/>
        </w:rPr>
        <w:t xml:space="preserve">ET </w:t>
      </w:r>
      <w:r w:rsidR="00D75E34" w:rsidRPr="005E16B4">
        <w:rPr>
          <w:rFonts w:ascii="Cambria" w:eastAsia="Times New Roman" w:hAnsi="Cambria" w:cs="Arial"/>
          <w:b/>
          <w:bCs/>
          <w:color w:val="auto"/>
          <w:kern w:val="32"/>
          <w:sz w:val="24"/>
          <w:szCs w:val="24"/>
          <w:lang w:val="en-GB" w:eastAsia="en-GB"/>
          <w14:ligatures w14:val="none"/>
        </w:rPr>
        <w:t>MODIS16A2</w:t>
      </w:r>
      <w:r w:rsidRPr="005E16B4">
        <w:rPr>
          <w:rFonts w:ascii="Cambria" w:eastAsia="Times New Roman" w:hAnsi="Cambria" w:cs="Arial"/>
          <w:b/>
          <w:bCs/>
          <w:color w:val="auto"/>
          <w:kern w:val="32"/>
          <w:sz w:val="24"/>
          <w:szCs w:val="24"/>
          <w:lang w:val="en-GB" w:eastAsia="en-GB"/>
          <w14:ligatures w14:val="none"/>
        </w:rPr>
        <w:t xml:space="preserve"> Dataset</w:t>
      </w:r>
    </w:p>
    <w:p w14:paraId="20C5FFD9" w14:textId="05D979BA" w:rsidR="006F190B" w:rsidRPr="005E16B4" w:rsidRDefault="00C2092C" w:rsidP="00C47138">
      <w:pPr>
        <w:ind w:firstLine="360"/>
        <w:jc w:val="both"/>
        <w:rPr>
          <w:rFonts w:ascii="Cambria" w:eastAsia="Times New Roman" w:hAnsi="Cambria" w:cs="Times New Roman"/>
          <w:kern w:val="0"/>
          <w:sz w:val="24"/>
          <w:szCs w:val="24"/>
          <w:lang w:eastAsia="en-GB"/>
          <w14:ligatures w14:val="none"/>
        </w:rPr>
      </w:pPr>
      <w:r w:rsidRPr="005E16B4">
        <w:rPr>
          <w:rFonts w:ascii="Cambria" w:eastAsia="Times New Roman" w:hAnsi="Cambria" w:cs="Times New Roman"/>
          <w:kern w:val="0"/>
          <w:sz w:val="24"/>
          <w:szCs w:val="24"/>
          <w:lang w:eastAsia="en-GB"/>
          <w14:ligatures w14:val="none"/>
        </w:rPr>
        <w:t>MOD16A2</w:t>
      </w:r>
      <w:r w:rsidR="00D75E34" w:rsidRPr="005E16B4">
        <w:rPr>
          <w:rFonts w:ascii="Cambria" w:eastAsia="Times New Roman" w:hAnsi="Cambria" w:cs="Times New Roman"/>
          <w:kern w:val="0"/>
          <w:sz w:val="24"/>
          <w:szCs w:val="24"/>
          <w:lang w:eastAsia="en-GB"/>
          <w14:ligatures w14:val="none"/>
        </w:rPr>
        <w:t xml:space="preserve"> is an 8-day average global product derived from the MODIS which estimates terrestrial evapotranspiration and potential evapotranspiration at 500 meters spatial resolution. It turns out that this product is significant in hydrology, climate research, and water/resources management because it provides essential information on the water</w:t>
      </w:r>
      <w:r w:rsidR="00495817">
        <w:rPr>
          <w:rFonts w:ascii="Cambria" w:eastAsia="Times New Roman" w:hAnsi="Cambria" w:cs="Times New Roman"/>
          <w:kern w:val="0"/>
          <w:sz w:val="24"/>
          <w:szCs w:val="24"/>
          <w:lang w:eastAsia="en-GB"/>
          <w14:ligatures w14:val="none"/>
        </w:rPr>
        <w:t xml:space="preserve"> </w:t>
      </w:r>
      <w:r w:rsidR="00D75E34" w:rsidRPr="005E16B4">
        <w:rPr>
          <w:rFonts w:ascii="Cambria" w:eastAsia="Times New Roman" w:hAnsi="Cambria" w:cs="Times New Roman"/>
          <w:kern w:val="0"/>
          <w:sz w:val="24"/>
          <w:szCs w:val="24"/>
          <w:lang w:eastAsia="en-GB"/>
          <w14:ligatures w14:val="none"/>
        </w:rPr>
        <w:t>exchange between the land surface and the atmosphere.</w:t>
      </w:r>
      <w:r w:rsidR="006F190B" w:rsidRPr="005E16B4">
        <w:rPr>
          <w:rFonts w:ascii="Cambria" w:eastAsia="Times New Roman" w:hAnsi="Cambria" w:cs="Times New Roman"/>
          <w:kern w:val="0"/>
          <w:sz w:val="24"/>
          <w:szCs w:val="24"/>
          <w:lang w:eastAsia="en-GB"/>
          <w14:ligatures w14:val="none"/>
        </w:rPr>
        <w:t xml:space="preserve"> </w:t>
      </w:r>
      <w:r w:rsidR="00C75845" w:rsidRPr="005E16B4">
        <w:rPr>
          <w:rFonts w:ascii="Cambria" w:eastAsia="Times New Roman" w:hAnsi="Cambria" w:cs="Times New Roman"/>
          <w:kern w:val="0"/>
          <w:sz w:val="24"/>
          <w:szCs w:val="24"/>
          <w:lang w:eastAsia="en-GB"/>
          <w14:ligatures w14:val="none"/>
        </w:rPr>
        <w:t xml:space="preserve">MOD16A2 ET data encompasses </w:t>
      </w:r>
      <w:r w:rsidR="00C75845" w:rsidRPr="005E16B4">
        <w:rPr>
          <w:rFonts w:ascii="Cambria" w:eastAsia="Times New Roman" w:hAnsi="Cambria" w:cs="Times New Roman"/>
          <w:kern w:val="0"/>
          <w:sz w:val="24"/>
          <w:szCs w:val="24"/>
          <w:lang w:eastAsia="en-GB"/>
          <w14:ligatures w14:val="none"/>
        </w:rPr>
        <w:lastRenderedPageBreak/>
        <w:t xml:space="preserve">actual evapotranspiration, including both soil evaporation and plant transpiration, as well as potential ET estimates. It is derived from the MODIS sensors on NASA's Terra and Aqua satellites, covering all vegetated land areas globally. </w:t>
      </w:r>
    </w:p>
    <w:p w14:paraId="7C1CFF3E" w14:textId="4B84EC64" w:rsidR="00C75845" w:rsidRPr="005E16B4" w:rsidRDefault="006F190B" w:rsidP="00C47138">
      <w:pPr>
        <w:ind w:firstLine="360"/>
        <w:rPr>
          <w:rFonts w:ascii="Cambria" w:eastAsia="Times New Roman" w:hAnsi="Cambria" w:cs="Times New Roman"/>
          <w:kern w:val="0"/>
          <w:sz w:val="24"/>
          <w:szCs w:val="24"/>
          <w:lang w:eastAsia="en-GB"/>
          <w14:ligatures w14:val="none"/>
        </w:rPr>
      </w:pPr>
      <w:r w:rsidRPr="005E16B4">
        <w:rPr>
          <w:rFonts w:ascii="Cambria" w:eastAsia="Times New Roman" w:hAnsi="Cambria" w:cs="Times New Roman"/>
          <w:kern w:val="0"/>
          <w:sz w:val="24"/>
          <w:szCs w:val="24"/>
          <w:lang w:eastAsia="en-GB"/>
          <w14:ligatures w14:val="none"/>
        </w:rPr>
        <w:t>MOD16A2</w:t>
      </w:r>
      <w:r w:rsidR="00C75845" w:rsidRPr="005E16B4">
        <w:rPr>
          <w:rFonts w:ascii="Cambria" w:eastAsia="Times New Roman" w:hAnsi="Cambria" w:cs="Times New Roman"/>
          <w:kern w:val="0"/>
          <w:sz w:val="24"/>
          <w:szCs w:val="24"/>
          <w:lang w:eastAsia="en-GB"/>
          <w14:ligatures w14:val="none"/>
        </w:rPr>
        <w:t xml:space="preserve"> </w:t>
      </w:r>
      <w:r w:rsidRPr="005E16B4">
        <w:rPr>
          <w:rFonts w:ascii="Cambria" w:eastAsia="Times New Roman" w:hAnsi="Cambria" w:cs="Times New Roman"/>
          <w:kern w:val="0"/>
          <w:sz w:val="24"/>
          <w:szCs w:val="24"/>
          <w:lang w:eastAsia="en-GB"/>
          <w14:ligatures w14:val="none"/>
        </w:rPr>
        <w:t xml:space="preserve">is globally available every 8 days and </w:t>
      </w:r>
      <w:r w:rsidR="00C75845" w:rsidRPr="005E16B4">
        <w:rPr>
          <w:rFonts w:ascii="Cambria" w:eastAsia="Times New Roman" w:hAnsi="Cambria" w:cs="Times New Roman"/>
          <w:kern w:val="0"/>
          <w:sz w:val="24"/>
          <w:szCs w:val="24"/>
          <w:lang w:eastAsia="en-GB"/>
          <w14:ligatures w14:val="none"/>
        </w:rPr>
        <w:t>provides</w:t>
      </w:r>
      <w:r w:rsidRPr="005E16B4">
        <w:rPr>
          <w:rFonts w:ascii="Cambria" w:eastAsia="Times New Roman" w:hAnsi="Cambria" w:cs="Times New Roman"/>
          <w:kern w:val="0"/>
          <w:sz w:val="24"/>
          <w:szCs w:val="24"/>
          <w:lang w:eastAsia="en-GB"/>
          <w14:ligatures w14:val="none"/>
        </w:rPr>
        <w:t xml:space="preserve"> </w:t>
      </w:r>
      <w:r w:rsidR="00C47138">
        <w:rPr>
          <w:rFonts w:ascii="Cambria" w:eastAsia="Times New Roman" w:hAnsi="Cambria" w:cs="Times New Roman"/>
          <w:kern w:val="0"/>
          <w:sz w:val="24"/>
          <w:szCs w:val="24"/>
          <w:lang w:eastAsia="en-GB"/>
          <w14:ligatures w14:val="none"/>
        </w:rPr>
        <w:t xml:space="preserve">; </w:t>
      </w:r>
      <w:r w:rsidR="00C75845" w:rsidRPr="005E16B4">
        <w:rPr>
          <w:rFonts w:ascii="Cambria" w:eastAsia="Times New Roman" w:hAnsi="Cambria" w:cs="Times New Roman"/>
          <w:kern w:val="0"/>
          <w:sz w:val="24"/>
          <w:szCs w:val="24"/>
          <w:lang w:eastAsia="en-GB"/>
          <w14:ligatures w14:val="none"/>
        </w:rPr>
        <w:t xml:space="preserve">Evapotranspiration (ET) </w:t>
      </w:r>
      <w:r w:rsidR="00C47138">
        <w:rPr>
          <w:rFonts w:ascii="Cambria" w:eastAsia="Times New Roman" w:hAnsi="Cambria" w:cs="Times New Roman"/>
          <w:kern w:val="0"/>
          <w:sz w:val="24"/>
          <w:szCs w:val="24"/>
          <w:lang w:eastAsia="en-GB"/>
          <w14:ligatures w14:val="none"/>
        </w:rPr>
        <w:t>“</w:t>
      </w:r>
      <w:r w:rsidR="00C75845" w:rsidRPr="005E16B4">
        <w:rPr>
          <w:rFonts w:ascii="Cambria" w:eastAsia="Times New Roman" w:hAnsi="Cambria" w:cs="Times New Roman"/>
          <w:kern w:val="0"/>
          <w:sz w:val="24"/>
          <w:szCs w:val="24"/>
          <w:lang w:eastAsia="en-GB"/>
          <w14:ligatures w14:val="none"/>
        </w:rPr>
        <w:t xml:space="preserve">Total water vapor </w:t>
      </w:r>
      <w:r w:rsidR="003350BF" w:rsidRPr="005E16B4">
        <w:rPr>
          <w:rFonts w:ascii="Cambria" w:eastAsia="Times New Roman" w:hAnsi="Cambria" w:cs="Times New Roman"/>
          <w:kern w:val="0"/>
          <w:sz w:val="24"/>
          <w:szCs w:val="24"/>
          <w:lang w:eastAsia="en-GB"/>
          <w14:ligatures w14:val="none"/>
        </w:rPr>
        <w:t>fluxes</w:t>
      </w:r>
      <w:r w:rsidR="00C75845" w:rsidRPr="005E16B4">
        <w:rPr>
          <w:rFonts w:ascii="Cambria" w:eastAsia="Times New Roman" w:hAnsi="Cambria" w:cs="Times New Roman"/>
          <w:kern w:val="0"/>
          <w:sz w:val="24"/>
          <w:szCs w:val="24"/>
          <w:lang w:eastAsia="en-GB"/>
          <w14:ligatures w14:val="none"/>
        </w:rPr>
        <w:t xml:space="preserve"> to the atmosphere, integrating evaporation and transpiration from vegetation and bare soil</w:t>
      </w:r>
      <w:r w:rsidR="00C47138">
        <w:rPr>
          <w:rFonts w:ascii="Cambria" w:eastAsia="Times New Roman" w:hAnsi="Cambria" w:cs="Times New Roman"/>
          <w:kern w:val="0"/>
          <w:sz w:val="24"/>
          <w:szCs w:val="24"/>
          <w:lang w:eastAsia="en-GB"/>
          <w14:ligatures w14:val="none"/>
        </w:rPr>
        <w:t xml:space="preserve">”, </w:t>
      </w:r>
      <w:r w:rsidR="00C75845" w:rsidRPr="005E16B4">
        <w:rPr>
          <w:rFonts w:ascii="Cambria" w:eastAsia="Times New Roman" w:hAnsi="Cambria" w:cs="Times New Roman"/>
          <w:kern w:val="0"/>
          <w:sz w:val="24"/>
          <w:szCs w:val="24"/>
          <w:lang w:eastAsia="en-GB"/>
          <w14:ligatures w14:val="none"/>
        </w:rPr>
        <w:t>Potential Evapotranspiration (PET)</w:t>
      </w:r>
      <w:r w:rsidR="00C47138">
        <w:rPr>
          <w:rFonts w:ascii="Cambria" w:eastAsia="Times New Roman" w:hAnsi="Cambria" w:cs="Times New Roman"/>
          <w:kern w:val="0"/>
          <w:sz w:val="24"/>
          <w:szCs w:val="24"/>
          <w:lang w:eastAsia="en-GB"/>
          <w14:ligatures w14:val="none"/>
        </w:rPr>
        <w:t>”</w:t>
      </w:r>
      <w:r w:rsidR="00C75845" w:rsidRPr="005E16B4">
        <w:rPr>
          <w:rFonts w:ascii="Cambria" w:eastAsia="Times New Roman" w:hAnsi="Cambria" w:cs="Times New Roman"/>
          <w:kern w:val="0"/>
          <w:sz w:val="24"/>
          <w:szCs w:val="24"/>
          <w:lang w:eastAsia="en-GB"/>
          <w14:ligatures w14:val="none"/>
        </w:rPr>
        <w:t xml:space="preserve"> Maximum ET under idealized conditions of sufficient water availability</w:t>
      </w:r>
      <w:r w:rsidR="00C47138">
        <w:rPr>
          <w:rFonts w:ascii="Cambria" w:eastAsia="Times New Roman" w:hAnsi="Cambria" w:cs="Times New Roman"/>
          <w:kern w:val="0"/>
          <w:sz w:val="24"/>
          <w:szCs w:val="24"/>
          <w:lang w:eastAsia="en-GB"/>
          <w14:ligatures w14:val="none"/>
        </w:rPr>
        <w:t xml:space="preserve">”, and </w:t>
      </w:r>
      <w:r w:rsidR="00C75845" w:rsidRPr="005E16B4">
        <w:rPr>
          <w:rFonts w:ascii="Cambria" w:eastAsia="Times New Roman" w:hAnsi="Cambria" w:cs="Times New Roman"/>
          <w:kern w:val="0"/>
          <w:sz w:val="24"/>
          <w:szCs w:val="24"/>
          <w:lang w:eastAsia="en-GB"/>
          <w14:ligatures w14:val="none"/>
        </w:rPr>
        <w:t>8-Day Composite Data</w:t>
      </w:r>
      <w:r w:rsidR="00C47138">
        <w:rPr>
          <w:rFonts w:ascii="Cambria" w:eastAsia="Times New Roman" w:hAnsi="Cambria" w:cs="Times New Roman"/>
          <w:kern w:val="0"/>
          <w:sz w:val="24"/>
          <w:szCs w:val="24"/>
          <w:lang w:eastAsia="en-GB"/>
          <w14:ligatures w14:val="none"/>
        </w:rPr>
        <w:t>”</w:t>
      </w:r>
      <w:r w:rsidR="00C75845" w:rsidRPr="005E16B4">
        <w:rPr>
          <w:rFonts w:ascii="Cambria" w:eastAsia="Times New Roman" w:hAnsi="Cambria" w:cs="Times New Roman"/>
          <w:kern w:val="0"/>
          <w:sz w:val="24"/>
          <w:szCs w:val="24"/>
          <w:lang w:eastAsia="en-GB"/>
          <w14:ligatures w14:val="none"/>
        </w:rPr>
        <w:t xml:space="preserve"> The data is averaged over 8-day periods to mitigate issues related to cloud cover and noise, providing consistent temporal snapshots</w:t>
      </w:r>
      <w:r w:rsidR="00C47138">
        <w:rPr>
          <w:rFonts w:ascii="Cambria" w:eastAsia="Times New Roman" w:hAnsi="Cambria" w:cs="Times New Roman"/>
          <w:kern w:val="0"/>
          <w:sz w:val="24"/>
          <w:szCs w:val="24"/>
          <w:lang w:eastAsia="en-GB"/>
          <w14:ligatures w14:val="none"/>
        </w:rPr>
        <w:t>”.</w:t>
      </w:r>
    </w:p>
    <w:p w14:paraId="13BC079A" w14:textId="2F7C58DE" w:rsidR="00337D70" w:rsidRDefault="00E8772F" w:rsidP="00337D70">
      <w:pPr>
        <w:ind w:firstLine="360"/>
        <w:rPr>
          <w:rFonts w:ascii="Cambria" w:eastAsia="Times New Roman" w:hAnsi="Cambria" w:cs="Times New Roman"/>
          <w:kern w:val="0"/>
          <w:sz w:val="24"/>
          <w:szCs w:val="24"/>
          <w:lang w:eastAsia="en-GB"/>
          <w14:ligatures w14:val="none"/>
        </w:rPr>
      </w:pPr>
      <w:r w:rsidRPr="00E8772F">
        <w:rPr>
          <w:rFonts w:ascii="Cambria" w:eastAsia="Times New Roman" w:hAnsi="Cambria" w:cs="Times New Roman"/>
          <w:kern w:val="0"/>
          <w:sz w:val="24"/>
          <w:szCs w:val="24"/>
          <w:lang w:eastAsia="en-GB"/>
          <w14:ligatures w14:val="none"/>
        </w:rPr>
        <w:t xml:space="preserve">The MOD16A2 algorithm integrates various remote sensing inputs with meteorological data to calculate ET and PET, as described below in </w:t>
      </w:r>
      <w:r w:rsidRPr="00E8772F">
        <w:rPr>
          <w:rFonts w:ascii="Cambria" w:eastAsia="Times New Roman" w:hAnsi="Cambria" w:cs="Times New Roman"/>
          <w:kern w:val="0"/>
          <w:sz w:val="24"/>
          <w:szCs w:val="24"/>
          <w:lang w:eastAsia="en-GB"/>
          <w14:ligatures w14:val="none"/>
        </w:rPr>
        <w:fldChar w:fldCharType="begin"/>
      </w:r>
      <w:r w:rsidRPr="00E8772F">
        <w:rPr>
          <w:rFonts w:ascii="Cambria" w:eastAsia="Times New Roman" w:hAnsi="Cambria" w:cs="Times New Roman"/>
          <w:kern w:val="0"/>
          <w:sz w:val="24"/>
          <w:szCs w:val="24"/>
          <w:lang w:eastAsia="en-GB"/>
          <w14:ligatures w14:val="none"/>
        </w:rPr>
        <w:instrText xml:space="preserve"> REF _Ref182763304 \h </w:instrText>
      </w:r>
      <w:r w:rsidRPr="00E8772F">
        <w:rPr>
          <w:rFonts w:ascii="Cambria" w:eastAsia="Times New Roman" w:hAnsi="Cambria" w:cs="Times New Roman"/>
          <w:kern w:val="0"/>
          <w:sz w:val="24"/>
          <w:szCs w:val="24"/>
          <w:lang w:eastAsia="en-GB"/>
          <w14:ligatures w14:val="none"/>
        </w:rPr>
      </w:r>
      <w:r w:rsidRPr="00E8772F">
        <w:rPr>
          <w:rFonts w:ascii="Cambria" w:eastAsia="Times New Roman" w:hAnsi="Cambria" w:cs="Times New Roman"/>
          <w:kern w:val="0"/>
          <w:sz w:val="24"/>
          <w:szCs w:val="24"/>
          <w:lang w:eastAsia="en-GB"/>
          <w14:ligatures w14:val="none"/>
        </w:rPr>
        <w:fldChar w:fldCharType="separate"/>
      </w:r>
      <w:r>
        <w:t xml:space="preserve">Figure </w:t>
      </w:r>
      <w:r>
        <w:rPr>
          <w:noProof/>
        </w:rPr>
        <w:t>4</w:t>
      </w:r>
      <w:r w:rsidRPr="00E8772F">
        <w:rPr>
          <w:rFonts w:ascii="Cambria" w:eastAsia="Times New Roman" w:hAnsi="Cambria" w:cs="Times New Roman"/>
          <w:kern w:val="0"/>
          <w:sz w:val="24"/>
          <w:szCs w:val="24"/>
          <w:lang w:eastAsia="en-GB"/>
          <w14:ligatures w14:val="none"/>
        </w:rPr>
        <w:fldChar w:fldCharType="end"/>
      </w:r>
      <w:r>
        <w:rPr>
          <w:rFonts w:ascii="Cambria" w:eastAsia="Times New Roman" w:hAnsi="Cambria" w:cs="Times New Roman"/>
          <w:kern w:val="0"/>
          <w:sz w:val="24"/>
          <w:szCs w:val="24"/>
          <w:lang w:eastAsia="en-GB"/>
          <w14:ligatures w14:val="none"/>
        </w:rPr>
        <w:t xml:space="preserve">. </w:t>
      </w:r>
      <w:r w:rsidR="007459D0" w:rsidRPr="005E16B4">
        <w:rPr>
          <w:rFonts w:ascii="Cambria" w:eastAsia="Times New Roman" w:hAnsi="Cambria" w:cs="Times New Roman"/>
          <w:kern w:val="0"/>
          <w:sz w:val="24"/>
          <w:szCs w:val="24"/>
          <w:lang w:eastAsia="en-GB"/>
          <w14:ligatures w14:val="none"/>
        </w:rPr>
        <w:t>Penman-Monteith equation (PM) is the reference to</w:t>
      </w:r>
      <w:r w:rsidR="00C75845" w:rsidRPr="005E16B4">
        <w:rPr>
          <w:rFonts w:ascii="Cambria" w:eastAsia="Times New Roman" w:hAnsi="Cambria" w:cs="Times New Roman"/>
          <w:kern w:val="0"/>
          <w:sz w:val="24"/>
          <w:szCs w:val="24"/>
          <w:lang w:eastAsia="en-GB"/>
          <w14:ligatures w14:val="none"/>
        </w:rPr>
        <w:t xml:space="preserve"> </w:t>
      </w:r>
      <w:r w:rsidR="007459D0" w:rsidRPr="005E16B4">
        <w:rPr>
          <w:rFonts w:ascii="Cambria" w:eastAsia="Times New Roman" w:hAnsi="Cambria" w:cs="Times New Roman"/>
          <w:kern w:val="0"/>
          <w:sz w:val="24"/>
          <w:szCs w:val="24"/>
          <w:lang w:eastAsia="en-GB"/>
          <w14:ligatures w14:val="none"/>
        </w:rPr>
        <w:t>generating</w:t>
      </w:r>
      <w:r w:rsidR="00C75845" w:rsidRPr="005E16B4">
        <w:rPr>
          <w:rFonts w:ascii="Cambria" w:eastAsia="Times New Roman" w:hAnsi="Cambria" w:cs="Times New Roman"/>
          <w:kern w:val="0"/>
          <w:sz w:val="24"/>
          <w:szCs w:val="24"/>
          <w:lang w:eastAsia="en-GB"/>
          <w14:ligatures w14:val="none"/>
        </w:rPr>
        <w:t xml:space="preserve"> MOD16A2 ET data relies</w:t>
      </w:r>
      <w:r w:rsidR="007459D0" w:rsidRPr="005E16B4">
        <w:rPr>
          <w:rFonts w:ascii="Cambria" w:eastAsia="Times New Roman" w:hAnsi="Cambria" w:cs="Times New Roman"/>
          <w:kern w:val="0"/>
          <w:sz w:val="24"/>
          <w:szCs w:val="24"/>
          <w:lang w:eastAsia="en-GB"/>
          <w14:ligatures w14:val="none"/>
        </w:rPr>
        <w:t xml:space="preserve">. PM is </w:t>
      </w:r>
      <w:r w:rsidR="00C75845" w:rsidRPr="005E16B4">
        <w:rPr>
          <w:rFonts w:ascii="Cambria" w:eastAsia="Times New Roman" w:hAnsi="Cambria" w:cs="Times New Roman"/>
          <w:kern w:val="0"/>
          <w:sz w:val="24"/>
          <w:szCs w:val="24"/>
          <w:lang w:eastAsia="en-GB"/>
          <w14:ligatures w14:val="none"/>
        </w:rPr>
        <w:t xml:space="preserve">a widely accepted method for calculating ET based on surface energy balance principles. </w:t>
      </w:r>
      <w:r w:rsidR="00337D70" w:rsidRPr="005E16B4">
        <w:rPr>
          <w:rFonts w:ascii="Cambria" w:eastAsia="Times New Roman" w:hAnsi="Cambria" w:cs="Times New Roman"/>
          <w:kern w:val="0"/>
          <w:sz w:val="24"/>
          <w:szCs w:val="24"/>
          <w:lang w:eastAsia="en-GB"/>
          <w14:ligatures w14:val="none"/>
        </w:rPr>
        <w:t>The MOD16A2 product is widely used for applications requiring an understanding of water availability, agricultural productivity, and ecosystem health, as it provides a reliable ET estimate that is spatially continuous and temporally average</w:t>
      </w:r>
    </w:p>
    <w:p w14:paraId="101B379B" w14:textId="08D7AF25" w:rsidR="00141B52" w:rsidRDefault="00337D70" w:rsidP="00E8772F">
      <w:pPr>
        <w:ind w:firstLine="360"/>
      </w:pPr>
      <w:r>
        <w:rPr>
          <w:noProof/>
        </w:rPr>
        <mc:AlternateContent>
          <mc:Choice Requires="wps">
            <w:drawing>
              <wp:anchor distT="0" distB="0" distL="114300" distR="114300" simplePos="0" relativeHeight="251659264" behindDoc="0" locked="0" layoutInCell="1" allowOverlap="1" wp14:anchorId="51B84BD3" wp14:editId="05613F4F">
                <wp:simplePos x="0" y="0"/>
                <wp:positionH relativeFrom="column">
                  <wp:posOffset>1749485</wp:posOffset>
                </wp:positionH>
                <wp:positionV relativeFrom="paragraph">
                  <wp:posOffset>1954530</wp:posOffset>
                </wp:positionV>
                <wp:extent cx="3906520" cy="1137600"/>
                <wp:effectExtent l="19050" t="19050" r="17780" b="2476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6520" cy="1137600"/>
                        </a:xfrm>
                        <a:prstGeom prst="rect">
                          <a:avLst/>
                        </a:prstGeom>
                        <a:noFill/>
                        <a:ln w="31750">
                          <a:solidFill>
                            <a:schemeClr val="accent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468DA7" w14:textId="53433B7B" w:rsidR="005D1DE0" w:rsidRDefault="005D1DE0">
                            <w:r>
                              <w:t>Quality Control process includes:</w:t>
                            </w:r>
                          </w:p>
                          <w:p w14:paraId="33FD7219" w14:textId="3F4B19C9" w:rsidR="005D1DE0" w:rsidRDefault="005D1DE0" w:rsidP="00AA75CD">
                            <w:pPr>
                              <w:pStyle w:val="ListParagraph"/>
                              <w:numPr>
                                <w:ilvl w:val="0"/>
                                <w:numId w:val="1"/>
                              </w:numPr>
                            </w:pPr>
                            <w:r>
                              <w:t>C</w:t>
                            </w:r>
                            <w:r w:rsidRPr="00C75845">
                              <w:t xml:space="preserve">loud-filtering techniques </w:t>
                            </w:r>
                          </w:p>
                          <w:p w14:paraId="6DDE1777" w14:textId="25FFAE59" w:rsidR="005D1DE0" w:rsidRDefault="005D1DE0" w:rsidP="00AA75CD">
                            <w:pPr>
                              <w:pStyle w:val="ListParagraph"/>
                              <w:numPr>
                                <w:ilvl w:val="0"/>
                                <w:numId w:val="1"/>
                              </w:numPr>
                            </w:pPr>
                            <w:r>
                              <w:t>Q</w:t>
                            </w:r>
                            <w:r w:rsidRPr="00C75845">
                              <w:t>uality assurance flags to identify reliable data points</w:t>
                            </w:r>
                          </w:p>
                          <w:p w14:paraId="18190F5F" w14:textId="3E829EF9" w:rsidR="005D1DE0" w:rsidRPr="00C75845" w:rsidRDefault="005D1DE0" w:rsidP="00AA75CD">
                            <w:pPr>
                              <w:pStyle w:val="ListParagraph"/>
                              <w:numPr>
                                <w:ilvl w:val="0"/>
                                <w:numId w:val="1"/>
                              </w:numPr>
                            </w:pPr>
                            <w:r>
                              <w:t>M</w:t>
                            </w:r>
                            <w:r w:rsidRPr="00C75845">
                              <w:t>inimizing noise in ET estimations due to atmospheric interference.</w:t>
                            </w:r>
                          </w:p>
                          <w:p w14:paraId="617D1EF2" w14:textId="77777777" w:rsidR="005D1DE0" w:rsidRDefault="005D1DE0"/>
                          <w:p w14:paraId="4D63393A" w14:textId="77777777" w:rsidR="005D1DE0" w:rsidRDefault="005D1D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84BD3" id="Rectangle 4" o:spid="_x0000_s1026" style="position:absolute;left:0;text-align:left;margin-left:137.75pt;margin-top:153.9pt;width:307.6pt;height:8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" filled="f" fillcolor="white [3201]" strokecolor="#156082 [3204]" strokeweight="2.5pt">
                <v:shadow color="#868686"/>
                <v:textbox>
                  <w:txbxContent>
                    <w:p w14:paraId="53468DA7" w14:textId="53433B7B" w:rsidR="005D1DE0" w:rsidRDefault="005D1DE0">
                      <w:r>
                        <w:t>Quality Control process includes:</w:t>
                      </w:r>
                    </w:p>
                    <w:p w14:paraId="33FD7219" w14:textId="3F4B19C9" w:rsidR="005D1DE0" w:rsidRDefault="005D1DE0" w:rsidP="00AA75CD">
                      <w:pPr>
                        <w:pStyle w:val="ListParagraph"/>
                        <w:numPr>
                          <w:ilvl w:val="0"/>
                          <w:numId w:val="1"/>
                        </w:numPr>
                      </w:pPr>
                      <w:r>
                        <w:t>C</w:t>
                      </w:r>
                      <w:r w:rsidRPr="00C75845">
                        <w:t xml:space="preserve">loud-filtering techniques </w:t>
                      </w:r>
                    </w:p>
                    <w:p w14:paraId="6DDE1777" w14:textId="25FFAE59" w:rsidR="005D1DE0" w:rsidRDefault="005D1DE0" w:rsidP="00AA75CD">
                      <w:pPr>
                        <w:pStyle w:val="ListParagraph"/>
                        <w:numPr>
                          <w:ilvl w:val="0"/>
                          <w:numId w:val="1"/>
                        </w:numPr>
                      </w:pPr>
                      <w:r>
                        <w:t>Q</w:t>
                      </w:r>
                      <w:r w:rsidRPr="00C75845">
                        <w:t>uality assurance flags to identify reliable data points</w:t>
                      </w:r>
                    </w:p>
                    <w:p w14:paraId="18190F5F" w14:textId="3E829EF9" w:rsidR="005D1DE0" w:rsidRPr="00C75845" w:rsidRDefault="005D1DE0" w:rsidP="00AA75CD">
                      <w:pPr>
                        <w:pStyle w:val="ListParagraph"/>
                        <w:numPr>
                          <w:ilvl w:val="0"/>
                          <w:numId w:val="1"/>
                        </w:numPr>
                      </w:pPr>
                      <w:r>
                        <w:t>M</w:t>
                      </w:r>
                      <w:r w:rsidRPr="00C75845">
                        <w:t>inimizing noise in ET estimations due to atmospheric interference.</w:t>
                      </w:r>
                    </w:p>
                    <w:p w14:paraId="617D1EF2" w14:textId="77777777" w:rsidR="005D1DE0" w:rsidRDefault="005D1DE0"/>
                    <w:p w14:paraId="4D63393A" w14:textId="77777777" w:rsidR="005D1DE0" w:rsidRDefault="005D1DE0"/>
                  </w:txbxContent>
                </v:textbox>
              </v:rect>
            </w:pict>
          </mc:Fallback>
        </mc:AlternateContent>
      </w:r>
      <w:r w:rsidR="007459D0">
        <w:rPr>
          <w:noProof/>
        </w:rPr>
        <w:drawing>
          <wp:inline distT="0" distB="0" distL="0" distR="0" wp14:anchorId="313AD588" wp14:editId="64D3A216">
            <wp:extent cx="5486400" cy="1879600"/>
            <wp:effectExtent l="0" t="0" r="0" b="6350"/>
            <wp:docPr id="43893730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3B5AC72" w14:textId="412D7B15" w:rsidR="00495817" w:rsidRDefault="00495817" w:rsidP="00495817">
      <w:pPr>
        <w:keepNext/>
      </w:pPr>
    </w:p>
    <w:p w14:paraId="15059A2C" w14:textId="77777777" w:rsidR="00141B52" w:rsidRDefault="00141B52" w:rsidP="00141B52">
      <w:pPr>
        <w:pStyle w:val="Caption"/>
      </w:pPr>
    </w:p>
    <w:p w14:paraId="38246537" w14:textId="77777777" w:rsidR="009933D7" w:rsidRPr="008D17FE" w:rsidRDefault="009933D7" w:rsidP="008D17FE"/>
    <w:p w14:paraId="64B680B2" w14:textId="77777777" w:rsidR="00E8772F" w:rsidRDefault="00E8772F" w:rsidP="00141B52">
      <w:pPr>
        <w:pStyle w:val="Caption"/>
      </w:pPr>
      <w:bookmarkStart w:id="6" w:name="_Ref182763304"/>
      <w:bookmarkStart w:id="7" w:name="_Toc182606015"/>
    </w:p>
    <w:p w14:paraId="26A91B6D" w14:textId="7EA62925" w:rsidR="007459D0" w:rsidRPr="00C76AF6" w:rsidRDefault="00141B52" w:rsidP="00E8772F">
      <w:pPr>
        <w:pStyle w:val="Caption"/>
        <w:jc w:val="center"/>
      </w:pPr>
      <w:r w:rsidRPr="00C76AF6">
        <w:t xml:space="preserve">Figure </w:t>
      </w:r>
      <w:fldSimple w:instr=" SEQ Figure \* ARABIC ">
        <w:r w:rsidR="00495817" w:rsidRPr="00C76AF6">
          <w:t>4</w:t>
        </w:r>
      </w:fldSimple>
      <w:bookmarkEnd w:id="6"/>
      <w:r w:rsidRPr="00C76AF6">
        <w:t xml:space="preserve"> Schematic diagram shows the calculation and inputs to estimate MODIS16A2 Evapotranspiration data</w:t>
      </w:r>
      <w:bookmarkEnd w:id="7"/>
    </w:p>
    <w:p w14:paraId="52DC92DF" w14:textId="17071D51" w:rsidR="005F2DB6" w:rsidRPr="00C94C91" w:rsidRDefault="00C75845" w:rsidP="00C76AF6">
      <w:pPr>
        <w:pStyle w:val="Heading1"/>
        <w:keepLines w:val="0"/>
        <w:numPr>
          <w:ilvl w:val="2"/>
          <w:numId w:val="9"/>
        </w:numPr>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proofErr w:type="spellStart"/>
      <w:r w:rsidRPr="00C94C91">
        <w:rPr>
          <w:rFonts w:ascii="Cambria" w:eastAsia="Times New Roman" w:hAnsi="Cambria" w:cs="Arial"/>
          <w:b/>
          <w:bCs/>
          <w:color w:val="auto"/>
          <w:kern w:val="32"/>
          <w:sz w:val="24"/>
          <w:szCs w:val="24"/>
          <w:lang w:val="en-GB" w:eastAsia="en-GB"/>
          <w14:ligatures w14:val="none"/>
        </w:rPr>
        <w:t>WaPOR</w:t>
      </w:r>
      <w:proofErr w:type="spellEnd"/>
      <w:r w:rsidRPr="00C94C91">
        <w:rPr>
          <w:rFonts w:ascii="Cambria" w:eastAsia="Times New Roman" w:hAnsi="Cambria" w:cs="Arial"/>
          <w:b/>
          <w:bCs/>
          <w:color w:val="auto"/>
          <w:kern w:val="32"/>
          <w:sz w:val="24"/>
          <w:szCs w:val="24"/>
          <w:lang w:val="en-GB" w:eastAsia="en-GB"/>
          <w14:ligatures w14:val="none"/>
        </w:rPr>
        <w:t xml:space="preserve"> Data</w:t>
      </w:r>
    </w:p>
    <w:p w14:paraId="2233CA24" w14:textId="77777777" w:rsidR="00337D70" w:rsidRDefault="00591A0E" w:rsidP="00337D70">
      <w:pPr>
        <w:ind w:firstLine="90"/>
        <w:jc w:val="both"/>
      </w:pPr>
      <w:proofErr w:type="spellStart"/>
      <w:r w:rsidRPr="00591A0E">
        <w:t>WaPOR</w:t>
      </w:r>
      <w:proofErr w:type="spellEnd"/>
      <w:r w:rsidRPr="00591A0E">
        <w:t xml:space="preserve"> (Water Productivity </w:t>
      </w:r>
      <w:r w:rsidR="00344603" w:rsidRPr="00591A0E">
        <w:t>Open access</w:t>
      </w:r>
      <w:r w:rsidRPr="00591A0E">
        <w:t xml:space="preserve"> of Remote sensing data) is the FAO's portal designed to help countries monitor water productivity, identify productivity gaps, and suggest strategies to bridge these gaps. This platform is the result of a project funded by the Ministry of Foreign Affairs of the Kingdom of the Netherlands.</w:t>
      </w:r>
      <w:r>
        <w:t xml:space="preserve"> </w:t>
      </w:r>
      <w:proofErr w:type="spellStart"/>
      <w:r w:rsidR="00C75845" w:rsidRPr="00C75845">
        <w:t>WaPOR</w:t>
      </w:r>
      <w:proofErr w:type="spellEnd"/>
      <w:r w:rsidR="00C75845" w:rsidRPr="00C75845">
        <w:t xml:space="preserve"> provides detailed ET, precipitation, and biomass production data, helping to analyze water productivity on a pixel-by-pixel basis. It is particularly valuable for tracking water use in agriculture, supporting sustainable agricultural practices by enabling countries to monitor, analyze, and improve crop water productivity.</w:t>
      </w:r>
      <w:sdt>
        <w:sdtPr>
          <w:id w:val="-1063248731"/>
          <w:citation/>
        </w:sdtPr>
        <w:sdtContent>
          <w:r w:rsidR="00B8226B" w:rsidRPr="008B1B17">
            <w:fldChar w:fldCharType="begin"/>
          </w:r>
          <w:r w:rsidR="005F2DB6" w:rsidRPr="008B1B17">
            <w:instrText xml:space="preserve">CITATION FAO231 \l 1033 </w:instrText>
          </w:r>
          <w:r w:rsidR="00B8226B" w:rsidRPr="008B1B17">
            <w:fldChar w:fldCharType="separate"/>
          </w:r>
          <w:r w:rsidR="005F2DB6" w:rsidRPr="008B1B17">
            <w:t xml:space="preserve"> (FAO, WaPOR - portal, 2023.)</w:t>
          </w:r>
          <w:r w:rsidR="00B8226B" w:rsidRPr="008B1B17">
            <w:fldChar w:fldCharType="end"/>
          </w:r>
        </w:sdtContent>
      </w:sdt>
      <w:r w:rsidR="00344603">
        <w:t xml:space="preserve">. </w:t>
      </w:r>
      <w:proofErr w:type="spellStart"/>
      <w:r w:rsidR="00344603" w:rsidRPr="00C75845">
        <w:t>WaPOR</w:t>
      </w:r>
      <w:proofErr w:type="spellEnd"/>
      <w:r w:rsidR="00344603" w:rsidRPr="00C75845">
        <w:t xml:space="preserve"> is available at different spatial (250 </w:t>
      </w:r>
      <w:r w:rsidR="00344603" w:rsidRPr="00C75845">
        <w:lastRenderedPageBreak/>
        <w:t>m, 100 m, and 30 m) and temporal (daily, monthly, and yearly) resolutions, tailored to different agricultural and hydrological applications.</w:t>
      </w:r>
      <w:r w:rsidR="00344603">
        <w:t xml:space="preserve"> WAPOR data can be used for </w:t>
      </w:r>
      <w:r w:rsidR="00344603" w:rsidRPr="00C75845">
        <w:t>Assessing water productivity and efficiency in agriculture</w:t>
      </w:r>
      <w:r w:rsidR="00344603">
        <w:t>, s</w:t>
      </w:r>
      <w:r w:rsidR="00344603" w:rsidRPr="00C75845">
        <w:t>upporting irrigation planning and drought response strategies</w:t>
      </w:r>
      <w:r w:rsidR="00344603">
        <w:t xml:space="preserve">, </w:t>
      </w:r>
      <w:r w:rsidR="003350BF">
        <w:t>p</w:t>
      </w:r>
      <w:r w:rsidR="003350BF" w:rsidRPr="00C75845">
        <w:t>roviding</w:t>
      </w:r>
      <w:r w:rsidR="00344603" w:rsidRPr="00C75845">
        <w:t xml:space="preserve"> actionable data for policymakers and farmers to optimize water use.</w:t>
      </w:r>
    </w:p>
    <w:p w14:paraId="232E9A8D" w14:textId="40BE1634" w:rsidR="00E427E8" w:rsidRDefault="00C75845" w:rsidP="00337D70">
      <w:pPr>
        <w:ind w:firstLine="720"/>
        <w:jc w:val="both"/>
      </w:pPr>
      <w:r w:rsidRPr="00C75845">
        <w:t xml:space="preserve">The </w:t>
      </w:r>
      <w:proofErr w:type="spellStart"/>
      <w:r w:rsidRPr="00C75845">
        <w:t>WaPOR</w:t>
      </w:r>
      <w:proofErr w:type="spellEnd"/>
      <w:r w:rsidRPr="00C75845">
        <w:t xml:space="preserve"> algorithm is based on the </w:t>
      </w:r>
      <w:r w:rsidRPr="00E427E8">
        <w:t>FAO's Surface Energy Balance Algorithm for Land (SEBAL)</w:t>
      </w:r>
      <w:r w:rsidRPr="00C75845">
        <w:t xml:space="preserve"> and adaptations of the </w:t>
      </w:r>
      <w:proofErr w:type="spellStart"/>
      <w:r w:rsidR="00E427E8" w:rsidRPr="00E427E8">
        <w:t>ETLook</w:t>
      </w:r>
      <w:proofErr w:type="spellEnd"/>
      <w:r w:rsidR="00E427E8" w:rsidRPr="00E427E8">
        <w:t xml:space="preserve"> model, which is a two-source energy balance approach for estimating ET and requires land surface temperature, vegetation indices, and meteorological data from satellites. ET</w:t>
      </w:r>
      <w:r w:rsidR="00337D70">
        <w:t xml:space="preserve"> </w:t>
      </w:r>
      <w:r w:rsidR="00E427E8" w:rsidRPr="00E427E8">
        <w:t>Look is most useful since it operates under a range of atmospheres, including cloudy conditions, against which other models such as METRIC are confined to</w:t>
      </w:r>
      <w:sdt>
        <w:sdtPr>
          <w:id w:val="962540187"/>
          <w:citation/>
        </w:sdtPr>
        <w:sdtContent>
          <w:r w:rsidR="00E427E8">
            <w:fldChar w:fldCharType="begin"/>
          </w:r>
          <w:r w:rsidR="00E427E8">
            <w:instrText xml:space="preserve"> CITATION Mos19 \l 1033 </w:instrText>
          </w:r>
          <w:r w:rsidR="00E427E8">
            <w:fldChar w:fldCharType="separate"/>
          </w:r>
          <w:r w:rsidR="00E427E8">
            <w:rPr>
              <w:noProof/>
            </w:rPr>
            <w:t xml:space="preserve"> (Mostafa Javadian, et. al., 2019)</w:t>
          </w:r>
          <w:r w:rsidR="00E427E8">
            <w:fldChar w:fldCharType="end"/>
          </w:r>
        </w:sdtContent>
      </w:sdt>
      <w:r w:rsidR="00E427E8" w:rsidRPr="00E427E8">
        <w:t>.</w:t>
      </w:r>
      <w:r w:rsidR="00E427E8">
        <w:t xml:space="preserve"> </w:t>
      </w:r>
      <w:r w:rsidRPr="00C75845">
        <w:t xml:space="preserve">The key processes in the </w:t>
      </w:r>
      <w:proofErr w:type="spellStart"/>
      <w:r w:rsidRPr="00C75845">
        <w:t>WaPOR</w:t>
      </w:r>
      <w:proofErr w:type="spellEnd"/>
      <w:r w:rsidRPr="00C75845">
        <w:t xml:space="preserve"> algorithm involve the following steps</w:t>
      </w:r>
      <w:r w:rsidR="00495817">
        <w:t xml:space="preserve"> as shown in </w:t>
      </w:r>
      <w:r w:rsidR="00495817">
        <w:fldChar w:fldCharType="begin"/>
      </w:r>
      <w:r w:rsidR="00495817">
        <w:instrText xml:space="preserve"> REF _Ref182763348 \h </w:instrText>
      </w:r>
      <w:r w:rsidR="00495817">
        <w:fldChar w:fldCharType="separate"/>
      </w:r>
      <w:r w:rsidR="00495817">
        <w:t xml:space="preserve">Figure </w:t>
      </w:r>
      <w:r w:rsidR="00495817">
        <w:rPr>
          <w:noProof/>
        </w:rPr>
        <w:t>5</w:t>
      </w:r>
      <w:r w:rsidR="00495817">
        <w:fldChar w:fldCharType="end"/>
      </w:r>
    </w:p>
    <w:p w14:paraId="188F173E" w14:textId="74C4A6F3" w:rsidR="00141B52" w:rsidRDefault="00945D8D" w:rsidP="00141B52">
      <w:pPr>
        <w:keepNext/>
      </w:pPr>
      <w:r>
        <w:rPr>
          <w:noProof/>
        </w:rPr>
        <mc:AlternateContent>
          <mc:Choice Requires="wps">
            <w:drawing>
              <wp:anchor distT="0" distB="0" distL="114300" distR="114300" simplePos="0" relativeHeight="251658240" behindDoc="0" locked="0" layoutInCell="1" allowOverlap="1" wp14:anchorId="2009E9C0" wp14:editId="0971FB5C">
                <wp:simplePos x="0" y="0"/>
                <wp:positionH relativeFrom="column">
                  <wp:posOffset>-109855</wp:posOffset>
                </wp:positionH>
                <wp:positionV relativeFrom="paragraph">
                  <wp:posOffset>2327275</wp:posOffset>
                </wp:positionV>
                <wp:extent cx="6604000" cy="2279650"/>
                <wp:effectExtent l="13970" t="12700" r="11430" b="1270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0" cy="2279650"/>
                        </a:xfrm>
                        <a:prstGeom prst="rect">
                          <a:avLst/>
                        </a:prstGeom>
                        <a:noFill/>
                        <a:ln w="12700">
                          <a:solidFill>
                            <a:schemeClr val="accent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6D0E11" w14:textId="77777777" w:rsidR="005D1DE0" w:rsidRDefault="005D1DE0" w:rsidP="008B1B17">
                            <w:pPr>
                              <w:tabs>
                                <w:tab w:val="num" w:pos="1440"/>
                              </w:tabs>
                              <w:ind w:left="1440" w:hanging="360"/>
                            </w:pPr>
                          </w:p>
                          <w:p w14:paraId="23B4A5AF" w14:textId="77777777" w:rsidR="005D1DE0" w:rsidRDefault="005D1DE0" w:rsidP="006F190B"/>
                          <w:p w14:paraId="44D2FEAF" w14:textId="77777777" w:rsidR="005D1DE0" w:rsidRDefault="005D1DE0" w:rsidP="008B1B17"/>
                          <w:p w14:paraId="0D94DAC4" w14:textId="337CD86A" w:rsidR="005D1DE0" w:rsidRPr="00C75845" w:rsidRDefault="005D1DE0" w:rsidP="008B1B17">
                            <w:r w:rsidRPr="00C75845">
                              <w:t xml:space="preserve">The algorithm separates </w:t>
                            </w:r>
                            <w:r w:rsidRPr="00C75845">
                              <w:rPr>
                                <w:b/>
                                <w:bCs/>
                              </w:rPr>
                              <w:t>transpiration</w:t>
                            </w:r>
                            <w:r w:rsidRPr="00C75845">
                              <w:t xml:space="preserve"> from vegetation and </w:t>
                            </w:r>
                            <w:r w:rsidRPr="00C75845">
                              <w:rPr>
                                <w:b/>
                                <w:bCs/>
                              </w:rPr>
                              <w:t>evaporation</w:t>
                            </w:r>
                            <w:r w:rsidRPr="00C75845">
                              <w:t xml:space="preserve"> from soil using inputs from NDVI, soil moisture, and thermal bands</w:t>
                            </w:r>
                            <w:r>
                              <w:t xml:space="preserve"> to calculate </w:t>
                            </w:r>
                            <w:r w:rsidRPr="008B1B17">
                              <w:rPr>
                                <w:b/>
                                <w:bCs/>
                              </w:rPr>
                              <w:t>Daily and Monthly ET</w:t>
                            </w:r>
                            <w:r w:rsidRPr="00C75845">
                              <w:t xml:space="preserve"> is estimated by aggregating instantaneous ET values over time, accounting for daily variations in weather and vegetation growth.</w:t>
                            </w:r>
                          </w:p>
                          <w:p w14:paraId="65BB281A" w14:textId="39EFEF5E" w:rsidR="005D1DE0" w:rsidRPr="00C75845" w:rsidRDefault="005D1DE0" w:rsidP="008B1B17">
                            <w:r>
                              <w:t xml:space="preserve">Then calculate </w:t>
                            </w:r>
                            <w:r w:rsidRPr="008B1B17">
                              <w:rPr>
                                <w:b/>
                                <w:bCs/>
                              </w:rPr>
                              <w:t>Biomass Production</w:t>
                            </w:r>
                            <w:r w:rsidRPr="00C75845">
                              <w:t xml:space="preserve"> by integrating ET with crop coefficient data, estimating how efficiently crops use water for growth</w:t>
                            </w:r>
                            <w:r>
                              <w:t xml:space="preserve">, and </w:t>
                            </w:r>
                            <w:r w:rsidRPr="008B1B17">
                              <w:rPr>
                                <w:b/>
                                <w:bCs/>
                              </w:rPr>
                              <w:t>Water Productivity</w:t>
                            </w:r>
                            <w:r w:rsidRPr="00C75845">
                              <w:t xml:space="preserve"> by relating biomass to ET, providing metrics on water use efficiency across various agricultural areas.</w:t>
                            </w:r>
                          </w:p>
                          <w:p w14:paraId="4C1437F6" w14:textId="77777777" w:rsidR="005D1DE0" w:rsidRDefault="005D1D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9E9C0" id="Rectangle 2" o:spid="_x0000_s1027" style="position:absolute;margin-left:-8.65pt;margin-top:183.25pt;width:520pt;height:1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" filled="f" fillcolor="white [3201]" strokecolor="#156082 [3204]" strokeweight="1pt">
                <v:stroke dashstyle="dash"/>
                <v:shadow color="#868686"/>
                <v:textbox>
                  <w:txbxContent>
                    <w:p w14:paraId="046D0E11" w14:textId="77777777" w:rsidR="005D1DE0" w:rsidRDefault="005D1DE0" w:rsidP="008B1B17">
                      <w:pPr>
                        <w:tabs>
                          <w:tab w:val="num" w:pos="1440"/>
                        </w:tabs>
                        <w:ind w:left="1440" w:hanging="360"/>
                      </w:pPr>
                    </w:p>
                    <w:p w14:paraId="23B4A5AF" w14:textId="77777777" w:rsidR="005D1DE0" w:rsidRDefault="005D1DE0" w:rsidP="006F190B"/>
                    <w:p w14:paraId="44D2FEAF" w14:textId="77777777" w:rsidR="005D1DE0" w:rsidRDefault="005D1DE0" w:rsidP="008B1B17"/>
                    <w:p w14:paraId="0D94DAC4" w14:textId="337CD86A" w:rsidR="005D1DE0" w:rsidRPr="00C75845" w:rsidRDefault="005D1DE0" w:rsidP="008B1B17">
                      <w:r w:rsidRPr="00C75845">
                        <w:t xml:space="preserve">The algorithm separates </w:t>
                      </w:r>
                      <w:r w:rsidRPr="00C75845">
                        <w:rPr>
                          <w:b/>
                          <w:bCs/>
                        </w:rPr>
                        <w:t>transpiration</w:t>
                      </w:r>
                      <w:r w:rsidRPr="00C75845">
                        <w:t xml:space="preserve"> from vegetation and </w:t>
                      </w:r>
                      <w:r w:rsidRPr="00C75845">
                        <w:rPr>
                          <w:b/>
                          <w:bCs/>
                        </w:rPr>
                        <w:t>evaporation</w:t>
                      </w:r>
                      <w:r w:rsidRPr="00C75845">
                        <w:t xml:space="preserve"> from soil using inputs from NDVI, soil moisture, and thermal bands</w:t>
                      </w:r>
                      <w:r>
                        <w:t xml:space="preserve"> to calculate </w:t>
                      </w:r>
                      <w:r w:rsidRPr="008B1B17">
                        <w:rPr>
                          <w:b/>
                          <w:bCs/>
                        </w:rPr>
                        <w:t>Daily and Monthly ET</w:t>
                      </w:r>
                      <w:r w:rsidRPr="00C75845">
                        <w:t xml:space="preserve"> is estimated by aggregating instantaneous ET values over time, accounting for daily variations in weather and vegetation growth.</w:t>
                      </w:r>
                    </w:p>
                    <w:p w14:paraId="65BB281A" w14:textId="39EFEF5E" w:rsidR="005D1DE0" w:rsidRPr="00C75845" w:rsidRDefault="005D1DE0" w:rsidP="008B1B17">
                      <w:r>
                        <w:t xml:space="preserve">Then calculate </w:t>
                      </w:r>
                      <w:r w:rsidRPr="008B1B17">
                        <w:rPr>
                          <w:b/>
                          <w:bCs/>
                        </w:rPr>
                        <w:t>Biomass Production</w:t>
                      </w:r>
                      <w:r w:rsidRPr="00C75845">
                        <w:t xml:space="preserve"> by integrating ET with crop coefficient data, estimating how efficiently crops use water for growth</w:t>
                      </w:r>
                      <w:r>
                        <w:t xml:space="preserve">, and </w:t>
                      </w:r>
                      <w:r w:rsidRPr="008B1B17">
                        <w:rPr>
                          <w:b/>
                          <w:bCs/>
                        </w:rPr>
                        <w:t>Water Productivity</w:t>
                      </w:r>
                      <w:r w:rsidRPr="00C75845">
                        <w:t xml:space="preserve"> by relating biomass to ET, providing metrics on water use efficiency across various agricultural areas.</w:t>
                      </w:r>
                    </w:p>
                    <w:p w14:paraId="4C1437F6" w14:textId="77777777" w:rsidR="005D1DE0" w:rsidRDefault="005D1DE0"/>
                  </w:txbxContent>
                </v:textbox>
              </v:rect>
            </w:pict>
          </mc:Fallback>
        </mc:AlternateContent>
      </w:r>
      <w:r w:rsidR="00344603">
        <w:rPr>
          <w:noProof/>
        </w:rPr>
        <w:drawing>
          <wp:inline distT="0" distB="0" distL="0" distR="0" wp14:anchorId="59F43AE1" wp14:editId="08867014">
            <wp:extent cx="6400800" cy="3463290"/>
            <wp:effectExtent l="0" t="0" r="19050" b="0"/>
            <wp:docPr id="199344433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0F0D03B" w14:textId="77777777" w:rsidR="00141B52" w:rsidRDefault="00141B52" w:rsidP="00141B52">
      <w:pPr>
        <w:keepNext/>
      </w:pPr>
    </w:p>
    <w:p w14:paraId="6D8392E6" w14:textId="77777777" w:rsidR="00141B52" w:rsidRDefault="00141B52" w:rsidP="00141B52">
      <w:pPr>
        <w:keepNext/>
      </w:pPr>
    </w:p>
    <w:p w14:paraId="0FA640C1" w14:textId="77777777" w:rsidR="00141B52" w:rsidRDefault="00141B52" w:rsidP="00141B52">
      <w:pPr>
        <w:keepNext/>
      </w:pPr>
    </w:p>
    <w:p w14:paraId="54B4F36E" w14:textId="77777777" w:rsidR="00141B52" w:rsidRDefault="00141B52" w:rsidP="00141B52">
      <w:pPr>
        <w:keepNext/>
      </w:pPr>
    </w:p>
    <w:p w14:paraId="37E98B77" w14:textId="3CB10A58" w:rsidR="00344603" w:rsidRPr="00C75845" w:rsidRDefault="00141B52" w:rsidP="00337D70">
      <w:pPr>
        <w:pStyle w:val="Caption"/>
        <w:jc w:val="center"/>
      </w:pPr>
      <w:bookmarkStart w:id="8" w:name="_Ref182763348"/>
      <w:bookmarkStart w:id="9" w:name="_Toc182606016"/>
      <w:r>
        <w:t xml:space="preserve">Figure </w:t>
      </w:r>
      <w:fldSimple w:instr=" SEQ Figure \* ARABIC ">
        <w:r w:rsidR="00495817">
          <w:rPr>
            <w:noProof/>
          </w:rPr>
          <w:t>5</w:t>
        </w:r>
      </w:fldSimple>
      <w:bookmarkEnd w:id="8"/>
      <w:r>
        <w:t xml:space="preserve"> Schematic diagram shows the calculation and inputs to estimate </w:t>
      </w:r>
      <w:proofErr w:type="spellStart"/>
      <w:r>
        <w:t>WaPOR</w:t>
      </w:r>
      <w:proofErr w:type="spellEnd"/>
      <w:r>
        <w:t xml:space="preserve"> Evapotranspiration data</w:t>
      </w:r>
      <w:bookmarkEnd w:id="9"/>
    </w:p>
    <w:p w14:paraId="5FD27758" w14:textId="2B277FDF" w:rsidR="00DA2857" w:rsidRPr="00296C55" w:rsidRDefault="00DA2857" w:rsidP="00C76AF6">
      <w:pPr>
        <w:pStyle w:val="Heading1"/>
        <w:keepLines w:val="0"/>
        <w:numPr>
          <w:ilvl w:val="1"/>
          <w:numId w:val="9"/>
        </w:numPr>
        <w:spacing w:before="0" w:after="0" w:line="240" w:lineRule="auto"/>
        <w:ind w:right="567"/>
        <w:contextualSpacing/>
        <w:rPr>
          <w:rFonts w:asciiTheme="majorBidi" w:hAnsiTheme="majorBidi"/>
          <w:b/>
          <w:color w:val="auto"/>
          <w:kern w:val="0"/>
          <w:sz w:val="24"/>
          <w:szCs w:val="26"/>
          <w14:ligatures w14:val="none"/>
        </w:rPr>
      </w:pPr>
      <w:r w:rsidRPr="00296C55">
        <w:rPr>
          <w:rFonts w:asciiTheme="majorBidi" w:hAnsiTheme="majorBidi"/>
          <w:b/>
          <w:color w:val="auto"/>
          <w:kern w:val="0"/>
          <w:sz w:val="24"/>
          <w:szCs w:val="26"/>
          <w14:ligatures w14:val="none"/>
        </w:rPr>
        <w:t>In-Situ Data</w:t>
      </w:r>
    </w:p>
    <w:p w14:paraId="3DF0B977" w14:textId="65DA563C" w:rsidR="000C790D" w:rsidRPr="005C0875" w:rsidRDefault="00842568" w:rsidP="005C0875">
      <w:pPr>
        <w:jc w:val="both"/>
        <w:rPr>
          <w:rFonts w:cstheme="minorHAnsi"/>
        </w:rPr>
      </w:pPr>
      <w:r w:rsidRPr="00842568">
        <w:t xml:space="preserve">Actual evapotranspiration data was collected over five agriculture seasons at Sakha research station, part of Agriculture Research Center (ARC). Among different instruments, Energy Balance (EB) flux tower has been installed and equipped with a range of meteorological instruments designed to measure various components of the surface energy balance (EB). Sensible heat flux (H) was calculated using high-frequency data collected by a datalogger. Low-frequency measurements of net solar radiation and soil heat flux were </w:t>
      </w:r>
      <w:r w:rsidRPr="00842568">
        <w:lastRenderedPageBreak/>
        <w:t>utilized to determine the 30-minute averages of net radiation (Rn) and soil heat flux (G). Additional measurements of soil temperature gradient and soil moisture enabled the calculation of heat storage (S) within the soil surface layer</w:t>
      </w:r>
      <w:r w:rsidR="005C0875" w:rsidRPr="005C0875">
        <w:rPr>
          <w:rFonts w:cstheme="minorHAnsi"/>
        </w:rPr>
        <w:t>.</w:t>
      </w:r>
      <w:r w:rsidR="005C0875">
        <w:rPr>
          <w:rFonts w:cstheme="minorHAnsi"/>
        </w:rPr>
        <w:t xml:space="preserve"> </w:t>
      </w:r>
      <w:r>
        <w:rPr>
          <w:rFonts w:cstheme="minorHAnsi"/>
        </w:rPr>
        <w:t xml:space="preserve">The collected data from EB sensors have been illustrated in </w:t>
      </w:r>
      <w:r>
        <w:rPr>
          <w:rFonts w:cstheme="minorHAnsi"/>
        </w:rPr>
        <w:fldChar w:fldCharType="begin"/>
      </w:r>
      <w:r>
        <w:rPr>
          <w:rFonts w:cstheme="minorHAnsi"/>
        </w:rPr>
        <w:instrText xml:space="preserve"> REF _Ref182002694 \h </w:instrText>
      </w:r>
      <w:r>
        <w:rPr>
          <w:rFonts w:cstheme="minorHAnsi"/>
        </w:rPr>
      </w:r>
      <w:r>
        <w:rPr>
          <w:rFonts w:cstheme="minorHAnsi"/>
        </w:rPr>
        <w:fldChar w:fldCharType="separate"/>
      </w:r>
      <w:r>
        <w:t xml:space="preserve">Figure </w:t>
      </w:r>
      <w:r>
        <w:rPr>
          <w:noProof/>
        </w:rPr>
        <w:t>6</w:t>
      </w:r>
      <w:r>
        <w:rPr>
          <w:rFonts w:cstheme="minorHAnsi"/>
        </w:rPr>
        <w:fldChar w:fldCharType="end"/>
      </w:r>
      <w:r>
        <w:rPr>
          <w:rFonts w:cstheme="minorHAnsi"/>
        </w:rPr>
        <w:t xml:space="preserve">. </w:t>
      </w:r>
      <w:r w:rsidR="00076F00">
        <w:fldChar w:fldCharType="begin"/>
      </w:r>
      <w:r w:rsidR="00076F00">
        <w:instrText xml:space="preserve"> REF _Ref181997878 \h </w:instrText>
      </w:r>
      <w:r w:rsidR="000C790D">
        <w:instrText xml:space="preserve"> \* MERGEFORMAT </w:instrText>
      </w:r>
      <w:r w:rsidR="00076F00">
        <w:fldChar w:fldCharType="separate"/>
      </w:r>
      <w:r w:rsidR="00076F00">
        <w:t xml:space="preserve">Table </w:t>
      </w:r>
      <w:r w:rsidR="00076F00">
        <w:rPr>
          <w:noProof/>
        </w:rPr>
        <w:t>1</w:t>
      </w:r>
      <w:r w:rsidR="00076F00">
        <w:fldChar w:fldCharType="end"/>
      </w:r>
      <w:r w:rsidR="00076F00">
        <w:t xml:space="preserve"> lists each dataset’s season, </w:t>
      </w:r>
      <w:r w:rsidR="00E91BD4">
        <w:t xml:space="preserve">the </w:t>
      </w:r>
      <w:r w:rsidR="00076F00">
        <w:t xml:space="preserve">cultivated crop, cultivation start date, and harvesting date. </w:t>
      </w:r>
      <w:r w:rsidR="00E91BD4">
        <w:t>W</w:t>
      </w:r>
      <w:r w:rsidR="00076F00" w:rsidRPr="00076F00">
        <w:rPr>
          <w:i/>
          <w:iCs/>
        </w:rPr>
        <w:t>heat</w:t>
      </w:r>
      <w:r w:rsidR="005C0875">
        <w:t xml:space="preserve"> is</w:t>
      </w:r>
      <w:r w:rsidR="00076F00">
        <w:t xml:space="preserve"> </w:t>
      </w:r>
      <w:r w:rsidR="00E91BD4">
        <w:t>the</w:t>
      </w:r>
      <w:r w:rsidR="000C790D">
        <w:t xml:space="preserve"> dominant </w:t>
      </w:r>
      <w:r w:rsidR="00E91BD4">
        <w:t xml:space="preserve">winter </w:t>
      </w:r>
      <w:r w:rsidR="000C790D">
        <w:t xml:space="preserve">crop </w:t>
      </w:r>
      <w:r w:rsidR="00076F00">
        <w:t xml:space="preserve">in this </w:t>
      </w:r>
      <w:r w:rsidR="00E91BD4">
        <w:t xml:space="preserve">region, </w:t>
      </w:r>
      <w:r w:rsidR="008277B4">
        <w:t>showing</w:t>
      </w:r>
      <w:bookmarkStart w:id="10" w:name="_GoBack"/>
      <w:bookmarkEnd w:id="10"/>
      <w:r w:rsidR="00E91BD4">
        <w:t xml:space="preserve"> recorded minimum</w:t>
      </w:r>
      <w:r w:rsidR="000C790D">
        <w:t xml:space="preserve"> actual evapotranspiration </w:t>
      </w:r>
      <w:r w:rsidR="00BB1401">
        <w:t>values</w:t>
      </w:r>
      <w:r w:rsidR="00E91BD4">
        <w:t xml:space="preserve"> of</w:t>
      </w:r>
      <w:r w:rsidR="00BB1401">
        <w:t xml:space="preserve"> 0.3, </w:t>
      </w:r>
      <w:r w:rsidR="00741872">
        <w:t>0.5, and 0.02</w:t>
      </w:r>
      <w:r w:rsidR="00E91BD4">
        <w:t xml:space="preserve">mm, with </w:t>
      </w:r>
      <w:r w:rsidR="000C790D">
        <w:t xml:space="preserve">maximum values </w:t>
      </w:r>
      <w:r w:rsidR="00E91BD4">
        <w:t>reaching</w:t>
      </w:r>
      <w:r w:rsidR="000C790D">
        <w:t xml:space="preserve"> 4.7, 4.3, and 6.5 mm for </w:t>
      </w:r>
      <w:r w:rsidR="00E91BD4">
        <w:t xml:space="preserve">the </w:t>
      </w:r>
      <w:r w:rsidR="000C790D">
        <w:t xml:space="preserve">winter </w:t>
      </w:r>
      <w:r w:rsidR="00E91BD4">
        <w:t xml:space="preserve">of </w:t>
      </w:r>
      <w:r w:rsidR="000C790D">
        <w:t xml:space="preserve">2020, </w:t>
      </w:r>
      <w:r w:rsidR="00E91BD4">
        <w:t>20</w:t>
      </w:r>
      <w:r w:rsidR="000C790D">
        <w:t xml:space="preserve">21, and </w:t>
      </w:r>
      <w:r w:rsidR="00E91BD4">
        <w:t>20</w:t>
      </w:r>
      <w:r w:rsidR="000C790D">
        <w:t xml:space="preserve">22 </w:t>
      </w:r>
      <w:r w:rsidR="00E91BD4" w:rsidRPr="00E91BD4">
        <w:t>respectively</w:t>
      </w:r>
      <w:r w:rsidR="000C790D">
        <w:t xml:space="preserve">. </w:t>
      </w:r>
      <w:r w:rsidR="00E91BD4">
        <w:t xml:space="preserve">The dataset includes </w:t>
      </w:r>
      <w:r w:rsidR="000C790D">
        <w:t xml:space="preserve">152 records for winter 2020, 157 for 2021, and 162 for 2022. For </w:t>
      </w:r>
      <w:r w:rsidR="00342145">
        <w:t xml:space="preserve">the </w:t>
      </w:r>
      <w:r w:rsidR="000C790D">
        <w:t xml:space="preserve">summer season, </w:t>
      </w:r>
      <w:r w:rsidR="00342145" w:rsidRPr="00342145">
        <w:t xml:space="preserve">data was collected for maize in 2020, with minimum and maximum </w:t>
      </w:r>
      <w:r w:rsidR="00342145">
        <w:t xml:space="preserve">actual </w:t>
      </w:r>
      <w:r w:rsidR="00342145" w:rsidRPr="00342145">
        <w:t>evapotranspiration values of 1.1 mm and 5.8 mm, respectively, and for rice in 2021, with a minimum of 2 mm and a maximum of 5.9 mm</w:t>
      </w:r>
      <w:r w:rsidR="000C790D">
        <w:t>.</w:t>
      </w:r>
      <w:r w:rsidR="007F71B8">
        <w:t xml:space="preserve"> </w:t>
      </w:r>
      <w:r w:rsidR="007F71B8">
        <w:fldChar w:fldCharType="begin"/>
      </w:r>
      <w:r w:rsidR="007F71B8">
        <w:instrText xml:space="preserve"> REF _Ref182002694 \h </w:instrText>
      </w:r>
      <w:r w:rsidR="007F71B8">
        <w:fldChar w:fldCharType="separate"/>
      </w:r>
      <w:r w:rsidR="00495817">
        <w:t xml:space="preserve">Figure </w:t>
      </w:r>
      <w:r w:rsidR="00495817">
        <w:rPr>
          <w:noProof/>
        </w:rPr>
        <w:t>6</w:t>
      </w:r>
      <w:r w:rsidR="007F71B8">
        <w:fldChar w:fldCharType="end"/>
      </w:r>
      <w:r w:rsidR="007F71B8">
        <w:t xml:space="preserve">, illustrates the five seasons </w:t>
      </w:r>
      <w:r w:rsidR="005D1DE0">
        <w:t xml:space="preserve">of </w:t>
      </w:r>
      <w:r w:rsidR="007F71B8">
        <w:t>actual evapotranspiration data.</w:t>
      </w:r>
    </w:p>
    <w:p w14:paraId="78FFC608" w14:textId="349BE5B7" w:rsidR="00076F00" w:rsidRPr="005C408E" w:rsidRDefault="00076F00" w:rsidP="005C408E">
      <w:pPr>
        <w:pStyle w:val="Caption"/>
        <w:keepNext/>
        <w:jc w:val="center"/>
        <w:rPr>
          <w:i w:val="0"/>
          <w:iCs w:val="0"/>
          <w:color w:val="auto"/>
          <w:sz w:val="24"/>
          <w:szCs w:val="24"/>
        </w:rPr>
      </w:pPr>
      <w:bookmarkStart w:id="11" w:name="_Ref181997878"/>
      <w:r w:rsidRPr="005C408E">
        <w:rPr>
          <w:i w:val="0"/>
          <w:iCs w:val="0"/>
          <w:color w:val="auto"/>
          <w:sz w:val="24"/>
          <w:szCs w:val="24"/>
        </w:rPr>
        <w:t xml:space="preserve">Table </w:t>
      </w:r>
      <w:r w:rsidR="00C64B75" w:rsidRPr="005C408E">
        <w:rPr>
          <w:i w:val="0"/>
          <w:iCs w:val="0"/>
          <w:color w:val="auto"/>
          <w:sz w:val="24"/>
          <w:szCs w:val="24"/>
        </w:rPr>
        <w:fldChar w:fldCharType="begin"/>
      </w:r>
      <w:r w:rsidR="00C64B75" w:rsidRPr="005C408E">
        <w:rPr>
          <w:i w:val="0"/>
          <w:iCs w:val="0"/>
          <w:color w:val="auto"/>
          <w:sz w:val="24"/>
          <w:szCs w:val="24"/>
        </w:rPr>
        <w:instrText xml:space="preserve"> SEQ Table \* ARABIC </w:instrText>
      </w:r>
      <w:r w:rsidR="00C64B75" w:rsidRPr="005C408E">
        <w:rPr>
          <w:i w:val="0"/>
          <w:iCs w:val="0"/>
          <w:color w:val="auto"/>
          <w:sz w:val="24"/>
          <w:szCs w:val="24"/>
        </w:rPr>
        <w:fldChar w:fldCharType="separate"/>
      </w:r>
      <w:r w:rsidR="00DC4A75" w:rsidRPr="005C408E">
        <w:rPr>
          <w:i w:val="0"/>
          <w:iCs w:val="0"/>
          <w:noProof/>
          <w:color w:val="auto"/>
          <w:sz w:val="24"/>
          <w:szCs w:val="24"/>
        </w:rPr>
        <w:t>1</w:t>
      </w:r>
      <w:r w:rsidR="00C64B75" w:rsidRPr="005C408E">
        <w:rPr>
          <w:i w:val="0"/>
          <w:iCs w:val="0"/>
          <w:noProof/>
          <w:color w:val="auto"/>
          <w:sz w:val="24"/>
          <w:szCs w:val="24"/>
        </w:rPr>
        <w:fldChar w:fldCharType="end"/>
      </w:r>
      <w:bookmarkEnd w:id="11"/>
      <w:r w:rsidRPr="005C408E">
        <w:rPr>
          <w:i w:val="0"/>
          <w:iCs w:val="0"/>
          <w:color w:val="auto"/>
          <w:sz w:val="24"/>
          <w:szCs w:val="24"/>
        </w:rPr>
        <w:t xml:space="preserve"> </w:t>
      </w:r>
      <w:r w:rsidR="005D1DE0">
        <w:rPr>
          <w:i w:val="0"/>
          <w:iCs w:val="0"/>
          <w:color w:val="auto"/>
          <w:sz w:val="24"/>
          <w:szCs w:val="24"/>
        </w:rPr>
        <w:t>Attribute</w:t>
      </w:r>
      <w:r w:rsidRPr="005C408E">
        <w:rPr>
          <w:i w:val="0"/>
          <w:iCs w:val="0"/>
          <w:color w:val="auto"/>
          <w:sz w:val="24"/>
          <w:szCs w:val="24"/>
        </w:rPr>
        <w:t xml:space="preserve"> of each agriculture season</w:t>
      </w:r>
    </w:p>
    <w:tbl>
      <w:tblPr>
        <w:tblStyle w:val="GridTable1Light"/>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358"/>
        <w:gridCol w:w="1980"/>
        <w:gridCol w:w="1800"/>
        <w:gridCol w:w="1620"/>
      </w:tblGrid>
      <w:tr w:rsidR="00FC3D95" w:rsidRPr="005C408E" w14:paraId="7DB588C6" w14:textId="75549DB0" w:rsidTr="005C40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bottom w:val="none" w:sz="0" w:space="0" w:color="auto"/>
            </w:tcBorders>
          </w:tcPr>
          <w:p w14:paraId="3BABB79D" w14:textId="0F7ED58D" w:rsidR="00FC3D95" w:rsidRPr="005C408E" w:rsidRDefault="00FC3D95" w:rsidP="003A1FB2">
            <w:pPr>
              <w:jc w:val="center"/>
              <w:rPr>
                <w:rFonts w:asciiTheme="majorBidi" w:hAnsiTheme="majorBidi" w:cstheme="majorBidi"/>
                <w:b w:val="0"/>
                <w:bCs w:val="0"/>
              </w:rPr>
            </w:pPr>
            <w:r w:rsidRPr="005C408E">
              <w:rPr>
                <w:rFonts w:asciiTheme="majorBidi" w:hAnsiTheme="majorBidi" w:cstheme="majorBidi"/>
                <w:b w:val="0"/>
                <w:bCs w:val="0"/>
              </w:rPr>
              <w:t>Season</w:t>
            </w:r>
          </w:p>
        </w:tc>
        <w:tc>
          <w:tcPr>
            <w:tcW w:w="1980" w:type="dxa"/>
            <w:tcBorders>
              <w:bottom w:val="none" w:sz="0" w:space="0" w:color="auto"/>
            </w:tcBorders>
          </w:tcPr>
          <w:p w14:paraId="45AFD86D" w14:textId="0E4301F0" w:rsidR="00FC3D95" w:rsidRPr="005C408E" w:rsidRDefault="00FC3D95" w:rsidP="003A1FB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5C408E">
              <w:rPr>
                <w:rFonts w:asciiTheme="majorBidi" w:hAnsiTheme="majorBidi" w:cstheme="majorBidi"/>
                <w:b w:val="0"/>
                <w:bCs w:val="0"/>
              </w:rPr>
              <w:t>Cultivated Crop</w:t>
            </w:r>
          </w:p>
        </w:tc>
        <w:tc>
          <w:tcPr>
            <w:tcW w:w="1800" w:type="dxa"/>
            <w:tcBorders>
              <w:bottom w:val="none" w:sz="0" w:space="0" w:color="auto"/>
            </w:tcBorders>
          </w:tcPr>
          <w:p w14:paraId="060EB800" w14:textId="5A2DC452" w:rsidR="00FC3D95" w:rsidRPr="005C408E" w:rsidRDefault="003A1FB2" w:rsidP="003A1FB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5C408E">
              <w:rPr>
                <w:rFonts w:asciiTheme="majorBidi" w:hAnsiTheme="majorBidi" w:cstheme="majorBidi"/>
                <w:b w:val="0"/>
                <w:bCs w:val="0"/>
              </w:rPr>
              <w:t>Strat Date</w:t>
            </w:r>
          </w:p>
        </w:tc>
        <w:tc>
          <w:tcPr>
            <w:tcW w:w="1620" w:type="dxa"/>
            <w:tcBorders>
              <w:bottom w:val="none" w:sz="0" w:space="0" w:color="auto"/>
            </w:tcBorders>
          </w:tcPr>
          <w:p w14:paraId="4A32719B" w14:textId="255DF916" w:rsidR="00FC3D95" w:rsidRPr="005C408E" w:rsidRDefault="003A1FB2" w:rsidP="003A1FB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5C408E">
              <w:rPr>
                <w:rFonts w:asciiTheme="majorBidi" w:hAnsiTheme="majorBidi" w:cstheme="majorBidi"/>
                <w:b w:val="0"/>
                <w:bCs w:val="0"/>
              </w:rPr>
              <w:t>End Date</w:t>
            </w:r>
          </w:p>
        </w:tc>
      </w:tr>
      <w:tr w:rsidR="00FC3D95" w:rsidRPr="005C408E" w14:paraId="56D7CDCC" w14:textId="0C3D2D24" w:rsidTr="005C408E">
        <w:tc>
          <w:tcPr>
            <w:cnfStyle w:val="001000000000" w:firstRow="0" w:lastRow="0" w:firstColumn="1" w:lastColumn="0" w:oddVBand="0" w:evenVBand="0" w:oddHBand="0" w:evenHBand="0" w:firstRowFirstColumn="0" w:firstRowLastColumn="0" w:lastRowFirstColumn="0" w:lastRowLastColumn="0"/>
            <w:tcW w:w="2358" w:type="dxa"/>
          </w:tcPr>
          <w:p w14:paraId="384D1DA6" w14:textId="548667B5" w:rsidR="00FC3D95" w:rsidRPr="005C408E" w:rsidRDefault="00FC3D95" w:rsidP="00FC3D95">
            <w:pPr>
              <w:rPr>
                <w:rFonts w:asciiTheme="majorBidi" w:hAnsiTheme="majorBidi" w:cstheme="majorBidi"/>
                <w:b w:val="0"/>
                <w:bCs w:val="0"/>
              </w:rPr>
            </w:pPr>
            <w:r w:rsidRPr="005C408E">
              <w:rPr>
                <w:rFonts w:asciiTheme="majorBidi" w:hAnsiTheme="majorBidi" w:cstheme="majorBidi"/>
                <w:b w:val="0"/>
                <w:bCs w:val="0"/>
              </w:rPr>
              <w:t>Winter 2019-2020</w:t>
            </w:r>
          </w:p>
        </w:tc>
        <w:tc>
          <w:tcPr>
            <w:tcW w:w="1980" w:type="dxa"/>
          </w:tcPr>
          <w:p w14:paraId="01773DC1" w14:textId="2B88E433" w:rsidR="00FC3D95" w:rsidRPr="005C408E" w:rsidRDefault="00FC3D95"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Wheat</w:t>
            </w:r>
          </w:p>
        </w:tc>
        <w:tc>
          <w:tcPr>
            <w:tcW w:w="1800" w:type="dxa"/>
          </w:tcPr>
          <w:p w14:paraId="5688BD6C" w14:textId="6BE688EE" w:rsidR="00FC3D95" w:rsidRPr="005C408E" w:rsidRDefault="00FC3D95"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1 Dec 2019</w:t>
            </w:r>
          </w:p>
        </w:tc>
        <w:tc>
          <w:tcPr>
            <w:tcW w:w="1620" w:type="dxa"/>
          </w:tcPr>
          <w:p w14:paraId="21F96BC9" w14:textId="4FA0128D" w:rsidR="00FC3D95" w:rsidRPr="005C408E" w:rsidRDefault="00FC3D95"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30 April 2020</w:t>
            </w:r>
          </w:p>
        </w:tc>
      </w:tr>
      <w:tr w:rsidR="00FC3D95" w:rsidRPr="005C408E" w14:paraId="70058AC2" w14:textId="78A8D036" w:rsidTr="005C408E">
        <w:tc>
          <w:tcPr>
            <w:cnfStyle w:val="001000000000" w:firstRow="0" w:lastRow="0" w:firstColumn="1" w:lastColumn="0" w:oddVBand="0" w:evenVBand="0" w:oddHBand="0" w:evenHBand="0" w:firstRowFirstColumn="0" w:firstRowLastColumn="0" w:lastRowFirstColumn="0" w:lastRowLastColumn="0"/>
            <w:tcW w:w="2358" w:type="dxa"/>
          </w:tcPr>
          <w:p w14:paraId="2FFEF030" w14:textId="5D0E8250" w:rsidR="00FC3D95" w:rsidRPr="005C408E" w:rsidRDefault="00FC3D95" w:rsidP="00FC3D95">
            <w:pPr>
              <w:rPr>
                <w:rFonts w:asciiTheme="majorBidi" w:hAnsiTheme="majorBidi" w:cstheme="majorBidi"/>
                <w:b w:val="0"/>
                <w:bCs w:val="0"/>
              </w:rPr>
            </w:pPr>
            <w:r w:rsidRPr="005C408E">
              <w:rPr>
                <w:rFonts w:asciiTheme="majorBidi" w:hAnsiTheme="majorBidi" w:cstheme="majorBidi"/>
                <w:b w:val="0"/>
                <w:bCs w:val="0"/>
              </w:rPr>
              <w:t>Summer 2020</w:t>
            </w:r>
          </w:p>
        </w:tc>
        <w:tc>
          <w:tcPr>
            <w:tcW w:w="1980" w:type="dxa"/>
          </w:tcPr>
          <w:p w14:paraId="62513C8C" w14:textId="374BF541" w:rsidR="00FC3D95" w:rsidRPr="005C408E" w:rsidRDefault="00FC3D95"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Maize</w:t>
            </w:r>
          </w:p>
        </w:tc>
        <w:tc>
          <w:tcPr>
            <w:tcW w:w="1800" w:type="dxa"/>
          </w:tcPr>
          <w:p w14:paraId="618CC244" w14:textId="1540E395" w:rsidR="00FC3D95" w:rsidRPr="005C408E" w:rsidRDefault="00FC3D95"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20 July 2020</w:t>
            </w:r>
          </w:p>
        </w:tc>
        <w:tc>
          <w:tcPr>
            <w:tcW w:w="1620" w:type="dxa"/>
          </w:tcPr>
          <w:p w14:paraId="7F48B1C8" w14:textId="208D94E7" w:rsidR="00FC3D95" w:rsidRPr="005C408E" w:rsidRDefault="00FC3D95"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31</w:t>
            </w:r>
            <w:r w:rsidR="005C408E">
              <w:rPr>
                <w:rFonts w:asciiTheme="majorBidi" w:hAnsiTheme="majorBidi" w:cstheme="majorBidi"/>
              </w:rPr>
              <w:t xml:space="preserve"> </w:t>
            </w:r>
            <w:r w:rsidRPr="005C408E">
              <w:rPr>
                <w:rFonts w:asciiTheme="majorBidi" w:hAnsiTheme="majorBidi" w:cstheme="majorBidi"/>
              </w:rPr>
              <w:t>Oct 2020</w:t>
            </w:r>
          </w:p>
        </w:tc>
      </w:tr>
      <w:tr w:rsidR="00FC3D95" w:rsidRPr="005C408E" w14:paraId="4075AEB2" w14:textId="22D943C3" w:rsidTr="005C408E">
        <w:tc>
          <w:tcPr>
            <w:cnfStyle w:val="001000000000" w:firstRow="0" w:lastRow="0" w:firstColumn="1" w:lastColumn="0" w:oddVBand="0" w:evenVBand="0" w:oddHBand="0" w:evenHBand="0" w:firstRowFirstColumn="0" w:firstRowLastColumn="0" w:lastRowFirstColumn="0" w:lastRowLastColumn="0"/>
            <w:tcW w:w="2358" w:type="dxa"/>
          </w:tcPr>
          <w:p w14:paraId="1FA92F70" w14:textId="7633C277" w:rsidR="00FC3D95" w:rsidRPr="005C408E" w:rsidRDefault="00FC3D95" w:rsidP="00FC3D95">
            <w:pPr>
              <w:rPr>
                <w:rFonts w:asciiTheme="majorBidi" w:hAnsiTheme="majorBidi" w:cstheme="majorBidi"/>
                <w:b w:val="0"/>
                <w:bCs w:val="0"/>
              </w:rPr>
            </w:pPr>
            <w:r w:rsidRPr="005C408E">
              <w:rPr>
                <w:rFonts w:asciiTheme="majorBidi" w:hAnsiTheme="majorBidi" w:cstheme="majorBidi"/>
                <w:b w:val="0"/>
                <w:bCs w:val="0"/>
              </w:rPr>
              <w:t>Winter 2020-2021</w:t>
            </w:r>
          </w:p>
        </w:tc>
        <w:tc>
          <w:tcPr>
            <w:tcW w:w="1980" w:type="dxa"/>
          </w:tcPr>
          <w:p w14:paraId="388D9203" w14:textId="05D455A1" w:rsidR="00FC3D95" w:rsidRPr="005C408E" w:rsidRDefault="00FC3D95"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Wheat</w:t>
            </w:r>
          </w:p>
        </w:tc>
        <w:tc>
          <w:tcPr>
            <w:tcW w:w="1800" w:type="dxa"/>
          </w:tcPr>
          <w:p w14:paraId="2A274B04" w14:textId="4528D966" w:rsidR="00FC3D95" w:rsidRPr="005C408E" w:rsidRDefault="00FC3D95"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25 Nov. 2020</w:t>
            </w:r>
          </w:p>
        </w:tc>
        <w:tc>
          <w:tcPr>
            <w:tcW w:w="1620" w:type="dxa"/>
          </w:tcPr>
          <w:p w14:paraId="04095E4B" w14:textId="580DD5F3" w:rsidR="00FC3D95" w:rsidRPr="005C408E" w:rsidRDefault="00FC3D95"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30 April 2021</w:t>
            </w:r>
          </w:p>
        </w:tc>
      </w:tr>
      <w:tr w:rsidR="00FC3D95" w:rsidRPr="005C408E" w14:paraId="53E18916" w14:textId="76731D8A" w:rsidTr="005C408E">
        <w:tc>
          <w:tcPr>
            <w:cnfStyle w:val="001000000000" w:firstRow="0" w:lastRow="0" w:firstColumn="1" w:lastColumn="0" w:oddVBand="0" w:evenVBand="0" w:oddHBand="0" w:evenHBand="0" w:firstRowFirstColumn="0" w:firstRowLastColumn="0" w:lastRowFirstColumn="0" w:lastRowLastColumn="0"/>
            <w:tcW w:w="2358" w:type="dxa"/>
          </w:tcPr>
          <w:p w14:paraId="7DBBBF1F" w14:textId="7F519461" w:rsidR="00FC3D95" w:rsidRPr="005C408E" w:rsidRDefault="00FC3D95" w:rsidP="00FC3D95">
            <w:pPr>
              <w:rPr>
                <w:rFonts w:asciiTheme="majorBidi" w:hAnsiTheme="majorBidi" w:cstheme="majorBidi"/>
                <w:b w:val="0"/>
                <w:bCs w:val="0"/>
              </w:rPr>
            </w:pPr>
            <w:r w:rsidRPr="005C408E">
              <w:rPr>
                <w:rFonts w:asciiTheme="majorBidi" w:hAnsiTheme="majorBidi" w:cstheme="majorBidi"/>
                <w:b w:val="0"/>
                <w:bCs w:val="0"/>
              </w:rPr>
              <w:t>Summer 2021</w:t>
            </w:r>
          </w:p>
        </w:tc>
        <w:tc>
          <w:tcPr>
            <w:tcW w:w="1980" w:type="dxa"/>
          </w:tcPr>
          <w:p w14:paraId="26A00E03" w14:textId="3B47F91F" w:rsidR="00FC3D95" w:rsidRPr="005C408E" w:rsidRDefault="00FC3D95"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Rice</w:t>
            </w:r>
          </w:p>
        </w:tc>
        <w:tc>
          <w:tcPr>
            <w:tcW w:w="1800" w:type="dxa"/>
          </w:tcPr>
          <w:p w14:paraId="65464568" w14:textId="2898682F" w:rsidR="00FC3D95" w:rsidRPr="005C408E" w:rsidRDefault="00FC3D95"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16 June 2021</w:t>
            </w:r>
          </w:p>
        </w:tc>
        <w:tc>
          <w:tcPr>
            <w:tcW w:w="1620" w:type="dxa"/>
          </w:tcPr>
          <w:p w14:paraId="39411D1C" w14:textId="47EB5C59" w:rsidR="00FC3D95" w:rsidRPr="005C408E" w:rsidRDefault="00FC3D95"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31 Oct. 2021</w:t>
            </w:r>
          </w:p>
        </w:tc>
      </w:tr>
      <w:tr w:rsidR="00FC3D95" w:rsidRPr="005C408E" w14:paraId="54AE887C" w14:textId="77777777" w:rsidTr="005C408E">
        <w:tc>
          <w:tcPr>
            <w:cnfStyle w:val="001000000000" w:firstRow="0" w:lastRow="0" w:firstColumn="1" w:lastColumn="0" w:oddVBand="0" w:evenVBand="0" w:oddHBand="0" w:evenHBand="0" w:firstRowFirstColumn="0" w:firstRowLastColumn="0" w:lastRowFirstColumn="0" w:lastRowLastColumn="0"/>
            <w:tcW w:w="2358" w:type="dxa"/>
          </w:tcPr>
          <w:p w14:paraId="50F41433" w14:textId="7E90CC99" w:rsidR="00FC3D95" w:rsidRPr="005C408E" w:rsidRDefault="00FC3D95" w:rsidP="00FC3D95">
            <w:pPr>
              <w:rPr>
                <w:rFonts w:asciiTheme="majorBidi" w:hAnsiTheme="majorBidi" w:cstheme="majorBidi"/>
                <w:b w:val="0"/>
                <w:bCs w:val="0"/>
              </w:rPr>
            </w:pPr>
            <w:r w:rsidRPr="005C408E">
              <w:rPr>
                <w:rFonts w:asciiTheme="majorBidi" w:hAnsiTheme="majorBidi" w:cstheme="majorBidi"/>
                <w:b w:val="0"/>
                <w:bCs w:val="0"/>
              </w:rPr>
              <w:t>Winter 2021-2022</w:t>
            </w:r>
          </w:p>
        </w:tc>
        <w:tc>
          <w:tcPr>
            <w:tcW w:w="1980" w:type="dxa"/>
          </w:tcPr>
          <w:p w14:paraId="3EB7CE95" w14:textId="3805B24C" w:rsidR="00FC3D95" w:rsidRPr="005C408E" w:rsidRDefault="003A1FB2"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Wheat</w:t>
            </w:r>
          </w:p>
        </w:tc>
        <w:tc>
          <w:tcPr>
            <w:tcW w:w="1800" w:type="dxa"/>
          </w:tcPr>
          <w:p w14:paraId="2C7CECBE" w14:textId="0C09848D" w:rsidR="00FC3D95" w:rsidRPr="005C408E" w:rsidRDefault="003A1FB2"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5 Dec. 2021</w:t>
            </w:r>
          </w:p>
        </w:tc>
        <w:tc>
          <w:tcPr>
            <w:tcW w:w="1620" w:type="dxa"/>
          </w:tcPr>
          <w:p w14:paraId="4F92FADB" w14:textId="5C2CA8CD" w:rsidR="00FC3D95" w:rsidRPr="005C408E" w:rsidRDefault="003A1FB2" w:rsidP="003A1FB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408E">
              <w:rPr>
                <w:rFonts w:asciiTheme="majorBidi" w:hAnsiTheme="majorBidi" w:cstheme="majorBidi"/>
              </w:rPr>
              <w:t>15 May. 2022</w:t>
            </w:r>
          </w:p>
        </w:tc>
      </w:tr>
    </w:tbl>
    <w:p w14:paraId="06E24478" w14:textId="77777777" w:rsidR="000B5A3A" w:rsidRDefault="000B5A3A" w:rsidP="000C790D">
      <w:pPr>
        <w:pStyle w:val="Caption"/>
        <w:keepNext/>
      </w:pPr>
    </w:p>
    <w:p w14:paraId="63D8577B" w14:textId="48FF5810" w:rsidR="000C790D" w:rsidRDefault="00330809" w:rsidP="000C790D">
      <w:pPr>
        <w:pStyle w:val="Caption"/>
        <w:keepNext/>
      </w:pPr>
      <w:r>
        <w:rPr>
          <w:noProof/>
        </w:rPr>
        <w:drawing>
          <wp:inline distT="0" distB="0" distL="0" distR="0" wp14:anchorId="04335894" wp14:editId="28FE352A">
            <wp:extent cx="5943600" cy="2298065"/>
            <wp:effectExtent l="0" t="0" r="0" b="0"/>
            <wp:docPr id="1258672589" name="Chart 1">
              <a:extLst xmlns:a="http://schemas.openxmlformats.org/drawingml/2006/main">
                <a:ext uri="{FF2B5EF4-FFF2-40B4-BE49-F238E27FC236}">
                  <a16:creationId xmlns:a16="http://schemas.microsoft.com/office/drawing/2014/main" id="{8636B136-C055-454D-8EE1-4C54BDE46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6CCBC7" w14:textId="38ECEB03" w:rsidR="00DA2857" w:rsidRPr="00C76AF6" w:rsidRDefault="000C790D" w:rsidP="005C408E">
      <w:pPr>
        <w:pStyle w:val="Caption"/>
        <w:jc w:val="center"/>
      </w:pPr>
      <w:bookmarkStart w:id="12" w:name="_Ref182002694"/>
      <w:bookmarkStart w:id="13" w:name="_Toc182606017"/>
      <w:r w:rsidRPr="00C76AF6">
        <w:t xml:space="preserve">Figure </w:t>
      </w:r>
      <w:fldSimple w:instr=" SEQ Figure \* ARABIC ">
        <w:r w:rsidR="00495817" w:rsidRPr="00C76AF6">
          <w:t>6</w:t>
        </w:r>
      </w:fldSimple>
      <w:bookmarkEnd w:id="12"/>
      <w:r w:rsidR="00DA10EB" w:rsidRPr="00C76AF6">
        <w:t xml:space="preserve"> in-situ actual evaporation along five agriculture seasons from winter 2019/20 to summer 2020</w:t>
      </w:r>
      <w:bookmarkEnd w:id="13"/>
    </w:p>
    <w:p w14:paraId="1102B46A" w14:textId="77777777" w:rsidR="000D1F19" w:rsidRDefault="000D1F19" w:rsidP="00AA75CD">
      <w:pPr>
        <w:pStyle w:val="ListParagraph"/>
        <w:numPr>
          <w:ilvl w:val="1"/>
          <w:numId w:val="9"/>
        </w:numPr>
      </w:pPr>
      <w:r>
        <w:t xml:space="preserve">Performance indicators criterions used to assess ET product “MODIS16A2 and </w:t>
      </w:r>
      <w:proofErr w:type="spellStart"/>
      <w:r>
        <w:t>WaPOR</w:t>
      </w:r>
      <w:proofErr w:type="spellEnd"/>
      <w:r>
        <w:t xml:space="preserve"> data”</w:t>
      </w:r>
    </w:p>
    <w:p w14:paraId="2FCFFDBB" w14:textId="12BC9EA4" w:rsidR="000D1F19" w:rsidRDefault="000D1F19" w:rsidP="000D1F19">
      <w:pPr>
        <w:ind w:firstLine="360"/>
      </w:pPr>
      <w:r>
        <w:t xml:space="preserve">Eight </w:t>
      </w:r>
      <w:r w:rsidRPr="00A5462C">
        <w:t xml:space="preserve">statistical </w:t>
      </w:r>
      <w:r>
        <w:t>indicators</w:t>
      </w:r>
      <w:r w:rsidRPr="00A5462C">
        <w:t xml:space="preserve"> </w:t>
      </w:r>
      <w:r>
        <w:t>have been used to assess</w:t>
      </w:r>
      <w:r w:rsidRPr="00A5462C">
        <w:t xml:space="preserve"> </w:t>
      </w:r>
      <w:r>
        <w:t xml:space="preserve">remotely sensed </w:t>
      </w:r>
      <w:r w:rsidRPr="00A5462C">
        <w:t>ET data</w:t>
      </w:r>
      <w:r>
        <w:t xml:space="preserve"> reference to ET measurements. </w:t>
      </w:r>
      <w:r>
        <w:fldChar w:fldCharType="begin"/>
      </w:r>
      <w:r>
        <w:instrText xml:space="preserve"> REF _Ref182176545 \h </w:instrText>
      </w:r>
      <w:r>
        <w:fldChar w:fldCharType="separate"/>
      </w:r>
      <w:r>
        <w:t xml:space="preserve">Table </w:t>
      </w:r>
      <w:r>
        <w:rPr>
          <w:noProof/>
        </w:rPr>
        <w:t>2</w:t>
      </w:r>
      <w:r>
        <w:fldChar w:fldCharType="end"/>
      </w:r>
      <w:r>
        <w:t xml:space="preserve"> illustrate each factor with definition, formula, ideal value, and interpretation of the values</w:t>
      </w:r>
    </w:p>
    <w:p w14:paraId="70042F09" w14:textId="77777777" w:rsidR="000D1F19" w:rsidRDefault="000D1F19" w:rsidP="000D1F19">
      <w:pPr>
        <w:ind w:firstLine="360"/>
        <w:sectPr w:rsidR="000D1F19">
          <w:pgSz w:w="12240" w:h="15840"/>
          <w:pgMar w:top="1440" w:right="1440" w:bottom="1440" w:left="1440" w:header="720" w:footer="720" w:gutter="0"/>
          <w:cols w:space="720"/>
          <w:docGrid w:linePitch="360"/>
        </w:sectPr>
      </w:pPr>
    </w:p>
    <w:p w14:paraId="5945C3C0" w14:textId="77777777" w:rsidR="000D1F19" w:rsidRPr="00C76AF6" w:rsidRDefault="000D1F19" w:rsidP="00C76AF6">
      <w:pPr>
        <w:pStyle w:val="Caption"/>
      </w:pPr>
      <w:bookmarkStart w:id="14" w:name="_Ref182176545"/>
      <w:r w:rsidRPr="00C76AF6">
        <w:lastRenderedPageBreak/>
        <w:t xml:space="preserve">Table </w:t>
      </w:r>
      <w:fldSimple w:instr=" SEQ Table \* ARABIC ">
        <w:r w:rsidRPr="00C76AF6">
          <w:t>2</w:t>
        </w:r>
      </w:fldSimple>
      <w:bookmarkEnd w:id="14"/>
      <w:r w:rsidRPr="00C76AF6">
        <w:t xml:space="preserve"> List of statistical indicators with attached definition, formula, ideal values, and interpretation of the values</w:t>
      </w:r>
    </w:p>
    <w:tbl>
      <w:tblPr>
        <w:tblStyle w:val="GridTable1Light"/>
        <w:tblW w:w="14742" w:type="dxa"/>
        <w:tblInd w:w="-70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875"/>
        <w:gridCol w:w="3525"/>
        <w:gridCol w:w="4122"/>
        <w:gridCol w:w="915"/>
        <w:gridCol w:w="4305"/>
      </w:tblGrid>
      <w:tr w:rsidR="000D1F19" w14:paraId="7734393B" w14:textId="77777777" w:rsidTr="000D1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Borders>
              <w:bottom w:val="none" w:sz="0" w:space="0" w:color="auto"/>
            </w:tcBorders>
          </w:tcPr>
          <w:p w14:paraId="64738E44" w14:textId="0CBA98F3" w:rsidR="000D1F19" w:rsidRDefault="00BA375D" w:rsidP="00A10C39">
            <w:pPr>
              <w:jc w:val="center"/>
            </w:pPr>
            <w:r>
              <w:t>I</w:t>
            </w:r>
            <w:r w:rsidR="000D1F19">
              <w:t>ndicator</w:t>
            </w:r>
          </w:p>
        </w:tc>
        <w:tc>
          <w:tcPr>
            <w:tcW w:w="3525" w:type="dxa"/>
            <w:tcBorders>
              <w:bottom w:val="none" w:sz="0" w:space="0" w:color="auto"/>
            </w:tcBorders>
          </w:tcPr>
          <w:p w14:paraId="4025A7A9" w14:textId="77777777" w:rsidR="000D1F19" w:rsidRDefault="000D1F19" w:rsidP="00A10C39">
            <w:pPr>
              <w:jc w:val="center"/>
              <w:cnfStyle w:val="100000000000" w:firstRow="1" w:lastRow="0" w:firstColumn="0" w:lastColumn="0" w:oddVBand="0" w:evenVBand="0" w:oddHBand="0" w:evenHBand="0" w:firstRowFirstColumn="0" w:firstRowLastColumn="0" w:lastRowFirstColumn="0" w:lastRowLastColumn="0"/>
            </w:pPr>
            <w:r>
              <w:t>Definition</w:t>
            </w:r>
          </w:p>
        </w:tc>
        <w:tc>
          <w:tcPr>
            <w:tcW w:w="4122" w:type="dxa"/>
            <w:tcBorders>
              <w:bottom w:val="none" w:sz="0" w:space="0" w:color="auto"/>
            </w:tcBorders>
          </w:tcPr>
          <w:p w14:paraId="7F9DD9E1" w14:textId="77777777" w:rsidR="000D1F19" w:rsidRDefault="000D1F19" w:rsidP="00A10C39">
            <w:pPr>
              <w:jc w:val="center"/>
              <w:cnfStyle w:val="100000000000" w:firstRow="1" w:lastRow="0" w:firstColumn="0" w:lastColumn="0" w:oddVBand="0" w:evenVBand="0" w:oddHBand="0" w:evenHBand="0" w:firstRowFirstColumn="0" w:firstRowLastColumn="0" w:lastRowFirstColumn="0" w:lastRowLastColumn="0"/>
            </w:pPr>
            <w:r>
              <w:t>Formula</w:t>
            </w:r>
          </w:p>
        </w:tc>
        <w:tc>
          <w:tcPr>
            <w:tcW w:w="915" w:type="dxa"/>
            <w:tcBorders>
              <w:bottom w:val="none" w:sz="0" w:space="0" w:color="auto"/>
            </w:tcBorders>
          </w:tcPr>
          <w:p w14:paraId="65BC849F" w14:textId="77777777" w:rsidR="000D1F19" w:rsidRDefault="000D1F19" w:rsidP="00A10C39">
            <w:pPr>
              <w:jc w:val="center"/>
              <w:cnfStyle w:val="100000000000" w:firstRow="1" w:lastRow="0" w:firstColumn="0" w:lastColumn="0" w:oddVBand="0" w:evenVBand="0" w:oddHBand="0" w:evenHBand="0" w:firstRowFirstColumn="0" w:firstRowLastColumn="0" w:lastRowFirstColumn="0" w:lastRowLastColumn="0"/>
            </w:pPr>
            <w:r>
              <w:t>Ideal value</w:t>
            </w:r>
          </w:p>
        </w:tc>
        <w:tc>
          <w:tcPr>
            <w:tcW w:w="4305" w:type="dxa"/>
            <w:tcBorders>
              <w:bottom w:val="none" w:sz="0" w:space="0" w:color="auto"/>
            </w:tcBorders>
          </w:tcPr>
          <w:p w14:paraId="0C38B995" w14:textId="77777777" w:rsidR="000D1F19" w:rsidRDefault="000D1F19" w:rsidP="00A10C39">
            <w:pPr>
              <w:jc w:val="center"/>
              <w:cnfStyle w:val="100000000000" w:firstRow="1" w:lastRow="0" w:firstColumn="0" w:lastColumn="0" w:oddVBand="0" w:evenVBand="0" w:oddHBand="0" w:evenHBand="0" w:firstRowFirstColumn="0" w:firstRowLastColumn="0" w:lastRowFirstColumn="0" w:lastRowLastColumn="0"/>
            </w:pPr>
            <w:r w:rsidRPr="001B05AB">
              <w:t>Interpretation</w:t>
            </w:r>
          </w:p>
        </w:tc>
      </w:tr>
      <w:tr w:rsidR="000D1F19" w14:paraId="475FDE48" w14:textId="77777777" w:rsidTr="000D1F19">
        <w:tc>
          <w:tcPr>
            <w:cnfStyle w:val="001000000000" w:firstRow="0" w:lastRow="0" w:firstColumn="1" w:lastColumn="0" w:oddVBand="0" w:evenVBand="0" w:oddHBand="0" w:evenHBand="0" w:firstRowFirstColumn="0" w:firstRowLastColumn="0" w:lastRowFirstColumn="0" w:lastRowLastColumn="0"/>
            <w:tcW w:w="1875" w:type="dxa"/>
          </w:tcPr>
          <w:p w14:paraId="29847DCD" w14:textId="77777777" w:rsidR="000D1F19" w:rsidRDefault="000D1F19" w:rsidP="00A10C39">
            <w:pPr>
              <w:rPr>
                <w:b w:val="0"/>
                <w:bCs w:val="0"/>
              </w:rPr>
            </w:pPr>
            <w:r w:rsidRPr="00A5462C">
              <w:t xml:space="preserve">R² </w:t>
            </w:r>
          </w:p>
          <w:p w14:paraId="5ADAF491" w14:textId="77777777" w:rsidR="000D1F19" w:rsidRDefault="000D1F19" w:rsidP="00A10C39">
            <w:r w:rsidRPr="00A5462C">
              <w:t>(Coefficient of Determination)</w:t>
            </w:r>
          </w:p>
        </w:tc>
        <w:tc>
          <w:tcPr>
            <w:tcW w:w="3525" w:type="dxa"/>
          </w:tcPr>
          <w:p w14:paraId="1CE54960"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w:r w:rsidRPr="00A5462C">
              <w:t>Calculates the extent to which attributes and features in observed data are accounted for by the model</w:t>
            </w:r>
          </w:p>
        </w:tc>
        <w:tc>
          <w:tcPr>
            <w:tcW w:w="4122" w:type="dxa"/>
          </w:tcPr>
          <w:p w14:paraId="233CB487" w14:textId="77777777" w:rsidR="000D1F19" w:rsidRDefault="005D1DE0" w:rsidP="00A10C39">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eastAsia="Cambria Math" w:hAnsi="Cambria Math" w:cs="Cambria Math"/>
                  </w:rPr>
                  <m:t>=1-</m:t>
                </m:r>
                <m:f>
                  <m:fPr>
                    <m:ctrlPr>
                      <w:rPr>
                        <w:rFonts w:ascii="Cambria Math" w:eastAsia="Cambria Math" w:hAnsi="Cambria Math" w:cs="Cambria Math"/>
                        <w:i/>
                      </w:rPr>
                    </m:ctrlPr>
                  </m:fPr>
                  <m:num>
                    <m:sSup>
                      <m:sSupPr>
                        <m:ctrlPr>
                          <w:rPr>
                            <w:rFonts w:ascii="Cambria Math" w:eastAsia="Cambria Math" w:hAnsi="Cambria Math" w:cs="Cambria Math"/>
                            <w:i/>
                          </w:rPr>
                        </m:ctrlPr>
                      </m:sSupPr>
                      <m:e>
                        <m:nary>
                          <m:naryPr>
                            <m:chr m:val="∑"/>
                            <m:limLoc m:val="undOvr"/>
                            <m:ctrlPr>
                              <w:rPr>
                                <w:rFonts w:ascii="Cambria Math" w:eastAsia="Cambria Math" w:hAnsi="Cambria Math" w:cs="Cambria Math"/>
                                <w:i/>
                              </w:rPr>
                            </m:ctrlPr>
                          </m:naryPr>
                          <m:sub>
                            <m:r>
                              <w:rPr>
                                <w:rFonts w:ascii="Cambria Math" w:eastAsia="Cambria Math" w:hAnsi="Cambria Math" w:cs="Cambria Math"/>
                              </w:rPr>
                              <m:t>i=1</m:t>
                            </m:r>
                          </m:sub>
                          <m:sup>
                            <m:r>
                              <w:rPr>
                                <w:rFonts w:ascii="Cambria Math" w:eastAsia="Cambria Math" w:hAnsi="Cambria Math" w:cs="Cambria Math"/>
                              </w:rPr>
                              <m:t>n</m:t>
                            </m:r>
                          </m:sup>
                          <m:e>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O</m:t>
                                </m:r>
                              </m:e>
                              <m:sub>
                                <m:r>
                                  <w:rPr>
                                    <w:rFonts w:ascii="Cambria Math" w:eastAsia="Cambria Math" w:hAnsi="Cambria Math" w:cs="Cambria Math"/>
                                  </w:rPr>
                                  <m:t>i</m:t>
                                </m:r>
                              </m:sub>
                            </m:sSub>
                          </m:e>
                        </m:nary>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P</m:t>
                            </m:r>
                          </m:e>
                          <m:sub>
                            <m:r>
                              <w:rPr>
                                <w:rFonts w:ascii="Cambria Math" w:eastAsia="Cambria Math" w:hAnsi="Cambria Math" w:cs="Cambria Math"/>
                              </w:rPr>
                              <m:t>i</m:t>
                            </m:r>
                          </m:sub>
                        </m:sSub>
                        <m:r>
                          <w:rPr>
                            <w:rFonts w:ascii="Cambria Math" w:eastAsia="Cambria Math" w:hAnsi="Cambria Math" w:cs="Cambria Math"/>
                          </w:rPr>
                          <m:t>)</m:t>
                        </m:r>
                      </m:e>
                      <m:sup>
                        <m:r>
                          <w:rPr>
                            <w:rFonts w:ascii="Cambria Math" w:eastAsia="Cambria Math" w:hAnsi="Cambria Math" w:cs="Cambria Math"/>
                          </w:rPr>
                          <m:t>2</m:t>
                        </m:r>
                      </m:sup>
                    </m:sSup>
                  </m:num>
                  <m:den>
                    <m:sSup>
                      <m:sSupPr>
                        <m:ctrlPr>
                          <w:rPr>
                            <w:rFonts w:ascii="Cambria Math" w:eastAsia="Cambria Math" w:hAnsi="Cambria Math" w:cs="Cambria Math"/>
                            <w:i/>
                          </w:rPr>
                        </m:ctrlPr>
                      </m:sSupPr>
                      <m:e>
                        <m:nary>
                          <m:naryPr>
                            <m:chr m:val="∑"/>
                            <m:limLoc m:val="undOvr"/>
                            <m:ctrlPr>
                              <w:rPr>
                                <w:rFonts w:ascii="Cambria Math" w:eastAsia="Cambria Math" w:hAnsi="Cambria Math" w:cs="Cambria Math"/>
                                <w:i/>
                              </w:rPr>
                            </m:ctrlPr>
                          </m:naryPr>
                          <m:sub>
                            <m:r>
                              <w:rPr>
                                <w:rFonts w:ascii="Cambria Math" w:eastAsia="Cambria Math" w:hAnsi="Cambria Math" w:cs="Cambria Math"/>
                              </w:rPr>
                              <m:t>i=1</m:t>
                            </m:r>
                          </m:sub>
                          <m:sup>
                            <m:r>
                              <w:rPr>
                                <w:rFonts w:ascii="Cambria Math" w:eastAsia="Cambria Math" w:hAnsi="Cambria Math" w:cs="Cambria Math"/>
                              </w:rPr>
                              <m:t>n</m:t>
                            </m:r>
                          </m:sup>
                          <m:e>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O</m:t>
                                </m:r>
                              </m:e>
                              <m:sub>
                                <m:r>
                                  <w:rPr>
                                    <w:rFonts w:ascii="Cambria Math" w:eastAsia="Cambria Math" w:hAnsi="Cambria Math" w:cs="Cambria Math"/>
                                  </w:rPr>
                                  <m:t>i</m:t>
                                </m:r>
                              </m:sub>
                            </m:sSub>
                          </m:e>
                        </m:nary>
                        <m:r>
                          <w:rPr>
                            <w:rFonts w:ascii="Cambria Math" w:eastAsia="Cambria Math" w:hAnsi="Cambria Math" w:cs="Cambria Math"/>
                          </w:rPr>
                          <m:t>-</m:t>
                        </m:r>
                        <m:sSub>
                          <m:sSubPr>
                            <m:ctrlPr>
                              <w:rPr>
                                <w:rFonts w:ascii="Cambria Math" w:eastAsia="Cambria Math" w:hAnsi="Cambria Math" w:cs="Cambria Math"/>
                                <w:i/>
                              </w:rPr>
                            </m:ctrlPr>
                          </m:sSubPr>
                          <m:e>
                            <m:acc>
                              <m:accPr>
                                <m:chr m:val="̅"/>
                                <m:ctrlPr>
                                  <w:rPr>
                                    <w:rFonts w:ascii="Cambria Math" w:eastAsia="Cambria Math" w:hAnsi="Cambria Math" w:cs="Cambria Math"/>
                                    <w:i/>
                                  </w:rPr>
                                </m:ctrlPr>
                              </m:accPr>
                              <m:e>
                                <m:r>
                                  <w:rPr>
                                    <w:rFonts w:ascii="Cambria Math" w:eastAsia="Cambria Math" w:hAnsi="Cambria Math" w:cs="Cambria Math"/>
                                  </w:rPr>
                                  <m:t>O</m:t>
                                </m:r>
                              </m:e>
                            </m:acc>
                          </m:e>
                          <m:sub>
                            <m:r>
                              <w:rPr>
                                <w:rFonts w:ascii="Cambria Math" w:eastAsia="Cambria Math" w:hAnsi="Cambria Math" w:cs="Cambria Math"/>
                              </w:rPr>
                              <m:t>i</m:t>
                            </m:r>
                          </m:sub>
                        </m:sSub>
                        <m:r>
                          <w:rPr>
                            <w:rFonts w:ascii="Cambria Math" w:eastAsia="Cambria Math" w:hAnsi="Cambria Math" w:cs="Cambria Math"/>
                          </w:rPr>
                          <m:t>)</m:t>
                        </m:r>
                      </m:e>
                      <m:sup>
                        <m:r>
                          <w:rPr>
                            <w:rFonts w:ascii="Cambria Math" w:eastAsia="Cambria Math" w:hAnsi="Cambria Math" w:cs="Cambria Math"/>
                          </w:rPr>
                          <m:t>2</m:t>
                        </m:r>
                      </m:sup>
                    </m:sSup>
                  </m:den>
                </m:f>
              </m:oMath>
            </m:oMathPara>
          </w:p>
          <w:p w14:paraId="6AE671E9" w14:textId="77777777" w:rsidR="000D1F19" w:rsidRPr="00690BD8" w:rsidRDefault="005D1DE0" w:rsidP="00A10C39">
            <w:pPr>
              <w:cnfStyle w:val="000000000000" w:firstRow="0" w:lastRow="0" w:firstColumn="0" w:lastColumn="0" w:oddVBand="0" w:evenVBand="0" w:oddHBand="0" w:evenHBand="0" w:firstRowFirstColumn="0" w:firstRowLastColumn="0" w:lastRowFirstColumn="0" w:lastRowLastColumn="0"/>
              <w:rPr>
                <w:sz w:val="16"/>
                <w:szCs w:val="16"/>
              </w:rPr>
            </w:pPr>
            <m:oMath>
              <m:sSub>
                <m:sSubPr>
                  <m:ctrlPr>
                    <w:rPr>
                      <w:rFonts w:ascii="Cambria Math" w:eastAsia="Cambria Math" w:hAnsi="Cambria Math" w:cs="Cambria Math"/>
                      <w:i/>
                      <w:sz w:val="16"/>
                      <w:szCs w:val="16"/>
                    </w:rPr>
                  </m:ctrlPr>
                </m:sSubPr>
                <m:e>
                  <m:r>
                    <w:rPr>
                      <w:rFonts w:ascii="Cambria Math" w:eastAsia="Cambria Math" w:hAnsi="Cambria Math" w:cs="Cambria Math"/>
                      <w:sz w:val="16"/>
                      <w:szCs w:val="16"/>
                    </w:rPr>
                    <m:t>O</m:t>
                  </m:r>
                </m:e>
                <m:sub>
                  <m:r>
                    <w:rPr>
                      <w:rFonts w:ascii="Cambria Math" w:eastAsia="Cambria Math" w:hAnsi="Cambria Math" w:cs="Cambria Math"/>
                      <w:sz w:val="16"/>
                      <w:szCs w:val="16"/>
                    </w:rPr>
                    <m:t>i</m:t>
                  </m:r>
                </m:sub>
              </m:sSub>
            </m:oMath>
            <w:r w:rsidR="000D1F19" w:rsidRPr="00690BD8">
              <w:rPr>
                <w:rFonts w:ascii="Arial" w:hAnsi="Arial" w:cs="Arial"/>
                <w:sz w:val="16"/>
                <w:szCs w:val="16"/>
              </w:rPr>
              <w:t>​</w:t>
            </w:r>
            <w:r w:rsidR="000D1F19" w:rsidRPr="00690BD8">
              <w:rPr>
                <w:sz w:val="16"/>
                <w:szCs w:val="16"/>
              </w:rPr>
              <w:t>: Observed value</w:t>
            </w:r>
          </w:p>
          <w:p w14:paraId="25ACF3CD" w14:textId="77777777" w:rsidR="000D1F19" w:rsidRPr="00690BD8" w:rsidRDefault="005D1DE0" w:rsidP="00A10C39">
            <w:pPr>
              <w:cnfStyle w:val="000000000000" w:firstRow="0" w:lastRow="0" w:firstColumn="0" w:lastColumn="0" w:oddVBand="0" w:evenVBand="0" w:oddHBand="0" w:evenHBand="0" w:firstRowFirstColumn="0" w:firstRowLastColumn="0" w:lastRowFirstColumn="0" w:lastRowLastColumn="0"/>
              <w:rPr>
                <w:sz w:val="16"/>
                <w:szCs w:val="16"/>
              </w:rPr>
            </w:pPr>
            <m:oMath>
              <m:sSub>
                <m:sSubPr>
                  <m:ctrlPr>
                    <w:rPr>
                      <w:rFonts w:ascii="Cambria Math" w:eastAsia="Cambria Math" w:hAnsi="Cambria Math" w:cs="Cambria Math"/>
                      <w:i/>
                      <w:sz w:val="16"/>
                      <w:szCs w:val="16"/>
                    </w:rPr>
                  </m:ctrlPr>
                </m:sSubPr>
                <m:e>
                  <m:r>
                    <w:rPr>
                      <w:rFonts w:ascii="Cambria Math" w:eastAsia="Cambria Math" w:hAnsi="Cambria Math" w:cs="Cambria Math"/>
                      <w:sz w:val="16"/>
                      <w:szCs w:val="16"/>
                    </w:rPr>
                    <m:t>P</m:t>
                  </m:r>
                </m:e>
                <m:sub>
                  <m:r>
                    <w:rPr>
                      <w:rFonts w:ascii="Cambria Math" w:eastAsia="Cambria Math" w:hAnsi="Cambria Math" w:cs="Cambria Math"/>
                      <w:sz w:val="16"/>
                      <w:szCs w:val="16"/>
                    </w:rPr>
                    <m:t>i</m:t>
                  </m:r>
                </m:sub>
              </m:sSub>
            </m:oMath>
            <w:r w:rsidR="000D1F19" w:rsidRPr="00690BD8">
              <w:rPr>
                <w:rFonts w:ascii="Arial" w:hAnsi="Arial" w:cs="Arial"/>
                <w:sz w:val="16"/>
                <w:szCs w:val="16"/>
              </w:rPr>
              <w:t>​</w:t>
            </w:r>
            <w:r w:rsidR="000D1F19" w:rsidRPr="00690BD8">
              <w:rPr>
                <w:sz w:val="16"/>
                <w:szCs w:val="16"/>
              </w:rPr>
              <w:t>: Predicted value</w:t>
            </w:r>
          </w:p>
          <w:p w14:paraId="7711D88F" w14:textId="77777777" w:rsidR="000D1F19" w:rsidRPr="00690BD8" w:rsidRDefault="005D1DE0" w:rsidP="00A10C39">
            <w:pPr>
              <w:cnfStyle w:val="000000000000" w:firstRow="0" w:lastRow="0" w:firstColumn="0" w:lastColumn="0" w:oddVBand="0" w:evenVBand="0" w:oddHBand="0" w:evenHBand="0" w:firstRowFirstColumn="0" w:firstRowLastColumn="0" w:lastRowFirstColumn="0" w:lastRowLastColumn="0"/>
              <w:rPr>
                <w:sz w:val="16"/>
                <w:szCs w:val="16"/>
              </w:rPr>
            </w:pPr>
            <m:oMath>
              <m:acc>
                <m:accPr>
                  <m:chr m:val="̅"/>
                  <m:ctrlPr>
                    <w:rPr>
                      <w:rFonts w:ascii="Cambria Math" w:eastAsia="Cambria Math" w:hAnsi="Cambria Math" w:cs="Cambria Math"/>
                      <w:i/>
                      <w:sz w:val="16"/>
                      <w:szCs w:val="16"/>
                    </w:rPr>
                  </m:ctrlPr>
                </m:accPr>
                <m:e>
                  <m:r>
                    <w:rPr>
                      <w:rFonts w:ascii="Cambria Math" w:eastAsia="Cambria Math" w:hAnsi="Cambria Math" w:cs="Cambria Math"/>
                      <w:sz w:val="16"/>
                      <w:szCs w:val="16"/>
                    </w:rPr>
                    <m:t>O</m:t>
                  </m:r>
                </m:e>
              </m:acc>
            </m:oMath>
            <w:r w:rsidR="000D1F19" w:rsidRPr="00690BD8">
              <w:rPr>
                <w:sz w:val="16"/>
                <w:szCs w:val="16"/>
              </w:rPr>
              <w:t>: Mean of observed values</w:t>
            </w:r>
          </w:p>
          <w:p w14:paraId="02ADE508"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m:oMath>
              <m:r>
                <w:rPr>
                  <w:rFonts w:ascii="Cambria Math" w:eastAsia="Cambria Math" w:hAnsi="Cambria Math" w:cs="Cambria Math"/>
                  <w:sz w:val="16"/>
                  <w:szCs w:val="16"/>
                </w:rPr>
                <m:t>n</m:t>
              </m:r>
            </m:oMath>
            <w:r w:rsidRPr="00690BD8">
              <w:rPr>
                <w:sz w:val="16"/>
                <w:szCs w:val="16"/>
              </w:rPr>
              <w:t>: Number of observations</w:t>
            </w:r>
          </w:p>
        </w:tc>
        <w:tc>
          <w:tcPr>
            <w:tcW w:w="915" w:type="dxa"/>
          </w:tcPr>
          <w:p w14:paraId="643819C7"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w:r>
              <w:t>1</w:t>
            </w:r>
          </w:p>
        </w:tc>
        <w:tc>
          <w:tcPr>
            <w:tcW w:w="4305" w:type="dxa"/>
          </w:tcPr>
          <w:p w14:paraId="5741D823" w14:textId="77777777" w:rsidR="000D1F19" w:rsidRPr="001B05AB" w:rsidRDefault="000D1F19" w:rsidP="00AA75CD">
            <w:pPr>
              <w:pStyle w:val="ListParagraph"/>
              <w:numPr>
                <w:ilvl w:val="0"/>
                <w:numId w:val="4"/>
              </w:numPr>
              <w:ind w:left="194" w:hanging="180"/>
              <w:cnfStyle w:val="000000000000" w:firstRow="0" w:lastRow="0" w:firstColumn="0" w:lastColumn="0" w:oddVBand="0" w:evenVBand="0" w:oddHBand="0" w:evenHBand="0" w:firstRowFirstColumn="0" w:firstRowLastColumn="0" w:lastRowFirstColumn="0" w:lastRowLastColumn="0"/>
              <w:rPr>
                <w:vanish/>
              </w:rPr>
            </w:pPr>
            <w:r w:rsidRPr="001B05AB">
              <w:t xml:space="preserve">0.8 - 1: Excellent fit </w:t>
            </w:r>
          </w:p>
          <w:p w14:paraId="140D9654" w14:textId="77777777" w:rsidR="000D1F19" w:rsidRPr="001B05AB" w:rsidRDefault="000D1F19" w:rsidP="00AA75CD">
            <w:pPr>
              <w:pStyle w:val="ListParagraph"/>
              <w:numPr>
                <w:ilvl w:val="0"/>
                <w:numId w:val="4"/>
              </w:numPr>
              <w:ind w:left="194" w:hanging="180"/>
              <w:cnfStyle w:val="000000000000" w:firstRow="0" w:lastRow="0" w:firstColumn="0" w:lastColumn="0" w:oddVBand="0" w:evenVBand="0" w:oddHBand="0" w:evenHBand="0" w:firstRowFirstColumn="0" w:firstRowLastColumn="0" w:lastRowFirstColumn="0" w:lastRowLastColumn="0"/>
              <w:rPr>
                <w:vanish/>
              </w:rPr>
            </w:pPr>
          </w:p>
          <w:p w14:paraId="684CBF4C" w14:textId="77777777" w:rsidR="000D1F19" w:rsidRPr="001B05AB" w:rsidRDefault="000D1F19" w:rsidP="00AA75CD">
            <w:pPr>
              <w:pStyle w:val="ListParagraph"/>
              <w:numPr>
                <w:ilvl w:val="0"/>
                <w:numId w:val="4"/>
              </w:numPr>
              <w:ind w:left="194" w:hanging="180"/>
              <w:cnfStyle w:val="000000000000" w:firstRow="0" w:lastRow="0" w:firstColumn="0" w:lastColumn="0" w:oddVBand="0" w:evenVBand="0" w:oddHBand="0" w:evenHBand="0" w:firstRowFirstColumn="0" w:firstRowLastColumn="0" w:lastRowFirstColumn="0" w:lastRowLastColumn="0"/>
              <w:rPr>
                <w:vanish/>
              </w:rPr>
            </w:pPr>
          </w:p>
          <w:p w14:paraId="6353BBF2" w14:textId="77777777" w:rsidR="000D1F19" w:rsidRDefault="000D1F19" w:rsidP="00A10C39">
            <w:pPr>
              <w:ind w:left="194" w:hanging="180"/>
              <w:cnfStyle w:val="000000000000" w:firstRow="0" w:lastRow="0" w:firstColumn="0" w:lastColumn="0" w:oddVBand="0" w:evenVBand="0" w:oddHBand="0" w:evenHBand="0" w:firstRowFirstColumn="0" w:firstRowLastColumn="0" w:lastRowFirstColumn="0" w:lastRowLastColumn="0"/>
            </w:pPr>
          </w:p>
          <w:p w14:paraId="1E5E1DFD" w14:textId="77777777" w:rsidR="000D1F19" w:rsidRPr="001B05AB" w:rsidRDefault="000D1F19" w:rsidP="00AA75CD">
            <w:pPr>
              <w:pStyle w:val="ListParagraph"/>
              <w:numPr>
                <w:ilvl w:val="0"/>
                <w:numId w:val="4"/>
              </w:numPr>
              <w:ind w:left="194" w:hanging="180"/>
              <w:cnfStyle w:val="000000000000" w:firstRow="0" w:lastRow="0" w:firstColumn="0" w:lastColumn="0" w:oddVBand="0" w:evenVBand="0" w:oddHBand="0" w:evenHBand="0" w:firstRowFirstColumn="0" w:firstRowLastColumn="0" w:lastRowFirstColumn="0" w:lastRowLastColumn="0"/>
              <w:rPr>
                <w:vanish/>
              </w:rPr>
            </w:pPr>
            <w:r w:rsidRPr="001B05AB">
              <w:t xml:space="preserve">0.5 - 0.8: Moderate fit </w:t>
            </w:r>
          </w:p>
          <w:p w14:paraId="1BB13C0B" w14:textId="77777777" w:rsidR="000D1F19" w:rsidRDefault="000D1F19" w:rsidP="00A10C39">
            <w:pPr>
              <w:ind w:left="194" w:hanging="180"/>
              <w:cnfStyle w:val="000000000000" w:firstRow="0" w:lastRow="0" w:firstColumn="0" w:lastColumn="0" w:oddVBand="0" w:evenVBand="0" w:oddHBand="0" w:evenHBand="0" w:firstRowFirstColumn="0" w:firstRowLastColumn="0" w:lastRowFirstColumn="0" w:lastRowLastColumn="0"/>
            </w:pPr>
          </w:p>
          <w:p w14:paraId="79593042" w14:textId="77777777" w:rsidR="000D1F19" w:rsidRPr="001B05AB" w:rsidRDefault="000D1F19" w:rsidP="00AA75CD">
            <w:pPr>
              <w:pStyle w:val="ListParagraph"/>
              <w:numPr>
                <w:ilvl w:val="0"/>
                <w:numId w:val="4"/>
              </w:numPr>
              <w:ind w:left="194" w:hanging="180"/>
              <w:cnfStyle w:val="000000000000" w:firstRow="0" w:lastRow="0" w:firstColumn="0" w:lastColumn="0" w:oddVBand="0" w:evenVBand="0" w:oddHBand="0" w:evenHBand="0" w:firstRowFirstColumn="0" w:firstRowLastColumn="0" w:lastRowFirstColumn="0" w:lastRowLastColumn="0"/>
              <w:rPr>
                <w:vanish/>
              </w:rPr>
            </w:pPr>
            <w:r w:rsidRPr="001B05AB">
              <w:t>&lt;0.5: Poor fit</w:t>
            </w:r>
          </w:p>
          <w:p w14:paraId="6D9D5201"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w:p>
        </w:tc>
      </w:tr>
      <w:tr w:rsidR="000D1F19" w14:paraId="535A834D" w14:textId="77777777" w:rsidTr="000D1F19">
        <w:tc>
          <w:tcPr>
            <w:cnfStyle w:val="001000000000" w:firstRow="0" w:lastRow="0" w:firstColumn="1" w:lastColumn="0" w:oddVBand="0" w:evenVBand="0" w:oddHBand="0" w:evenHBand="0" w:firstRowFirstColumn="0" w:firstRowLastColumn="0" w:lastRowFirstColumn="0" w:lastRowLastColumn="0"/>
            <w:tcW w:w="1875" w:type="dxa"/>
          </w:tcPr>
          <w:p w14:paraId="43DF5BFA" w14:textId="77777777" w:rsidR="000D1F19" w:rsidRDefault="000D1F19" w:rsidP="00A10C39">
            <w:r w:rsidRPr="00A5462C">
              <w:t>Correlation Coefficient</w:t>
            </w:r>
          </w:p>
        </w:tc>
        <w:tc>
          <w:tcPr>
            <w:tcW w:w="3525" w:type="dxa"/>
          </w:tcPr>
          <w:p w14:paraId="6AD86E45"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w:r w:rsidRPr="00A5462C">
              <w:t>Strength and direction of linear relationship between observed and predicted ET</w:t>
            </w:r>
          </w:p>
        </w:tc>
        <w:tc>
          <w:tcPr>
            <w:tcW w:w="4122" w:type="dxa"/>
          </w:tcPr>
          <w:p w14:paraId="0C0B2EDA"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hAnsi="Cambria Math"/>
                  </w:rPr>
                  <m:t>r</m:t>
                </m:r>
                <m:r>
                  <w:rPr>
                    <w:rFonts w:ascii="Cambria Math" w:eastAsia="Cambria Math" w:hAnsi="Cambria Math" w:cs="Cambria Math"/>
                  </w:rPr>
                  <m:t>=</m:t>
                </m:r>
                <m:f>
                  <m:fPr>
                    <m:ctrlPr>
                      <w:rPr>
                        <w:rFonts w:ascii="Cambria Math" w:eastAsia="Cambria Math" w:hAnsi="Cambria Math" w:cs="Cambria Math"/>
                        <w:i/>
                      </w:rPr>
                    </m:ctrlPr>
                  </m:fPr>
                  <m:num>
                    <m:nary>
                      <m:naryPr>
                        <m:chr m:val="∑"/>
                        <m:limLoc m:val="undOvr"/>
                        <m:ctrlPr>
                          <w:rPr>
                            <w:rFonts w:ascii="Cambria Math" w:eastAsia="Cambria Math" w:hAnsi="Cambria Math" w:cs="Cambria Math"/>
                            <w:i/>
                          </w:rPr>
                        </m:ctrlPr>
                      </m:naryPr>
                      <m:sub>
                        <m:r>
                          <w:rPr>
                            <w:rFonts w:ascii="Cambria Math" w:eastAsia="Cambria Math" w:hAnsi="Cambria Math" w:cs="Cambria Math"/>
                          </w:rPr>
                          <m:t>i=1</m:t>
                        </m:r>
                      </m:sub>
                      <m:sup>
                        <m:r>
                          <w:rPr>
                            <w:rFonts w:ascii="Cambria Math" w:eastAsia="Cambria Math" w:hAnsi="Cambria Math" w:cs="Cambria Math"/>
                          </w:rPr>
                          <m:t>n</m:t>
                        </m:r>
                      </m:sup>
                      <m:e>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O</m:t>
                            </m:r>
                          </m:e>
                          <m:sub>
                            <m:r>
                              <w:rPr>
                                <w:rFonts w:ascii="Cambria Math" w:eastAsia="Cambria Math" w:hAnsi="Cambria Math" w:cs="Cambria Math"/>
                              </w:rPr>
                              <m:t>i</m:t>
                            </m:r>
                          </m:sub>
                        </m:sSub>
                      </m:e>
                    </m:nary>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P</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P</m:t>
                        </m:r>
                      </m:e>
                      <m:sub>
                        <m:r>
                          <w:rPr>
                            <w:rFonts w:ascii="Cambria Math" w:eastAsia="Cambria Math" w:hAnsi="Cambria Math" w:cs="Cambria Math"/>
                          </w:rPr>
                          <m:t>i</m:t>
                        </m:r>
                      </m:sub>
                    </m:sSub>
                    <m:r>
                      <w:rPr>
                        <w:rFonts w:ascii="Cambria Math" w:eastAsia="Cambria Math" w:hAnsi="Cambria Math" w:cs="Cambria Math"/>
                      </w:rPr>
                      <m:t>-</m:t>
                    </m:r>
                    <m:acc>
                      <m:accPr>
                        <m:chr m:val="̅"/>
                        <m:ctrlPr>
                          <w:rPr>
                            <w:rFonts w:ascii="Cambria Math" w:eastAsia="Cambria Math" w:hAnsi="Cambria Math" w:cs="Cambria Math"/>
                            <w:i/>
                          </w:rPr>
                        </m:ctrlPr>
                      </m:accPr>
                      <m:e>
                        <m:r>
                          <w:rPr>
                            <w:rFonts w:ascii="Cambria Math" w:eastAsia="Cambria Math" w:hAnsi="Cambria Math" w:cs="Cambria Math"/>
                          </w:rPr>
                          <m:t>P</m:t>
                        </m:r>
                      </m:e>
                    </m:acc>
                    <m:r>
                      <w:rPr>
                        <w:rFonts w:ascii="Cambria Math" w:eastAsia="Cambria Math" w:hAnsi="Cambria Math" w:cs="Cambria Math"/>
                      </w:rPr>
                      <m:t>)</m:t>
                    </m:r>
                  </m:num>
                  <m:den>
                    <m:rad>
                      <m:radPr>
                        <m:degHide m:val="1"/>
                        <m:ctrlPr>
                          <w:rPr>
                            <w:rFonts w:ascii="Cambria Math" w:eastAsia="Cambria Math" w:hAnsi="Cambria Math" w:cs="Cambria Math"/>
                            <w:i/>
                          </w:rPr>
                        </m:ctrlPr>
                      </m:radPr>
                      <m:deg/>
                      <m:e>
                        <m:sSup>
                          <m:sSupPr>
                            <m:ctrlPr>
                              <w:rPr>
                                <w:rFonts w:ascii="Cambria Math" w:eastAsia="Cambria Math" w:hAnsi="Cambria Math" w:cs="Cambria Math"/>
                                <w:i/>
                              </w:rPr>
                            </m:ctrlPr>
                          </m:sSupPr>
                          <m:e>
                            <m:nary>
                              <m:naryPr>
                                <m:chr m:val="∑"/>
                                <m:limLoc m:val="undOvr"/>
                                <m:ctrlPr>
                                  <w:rPr>
                                    <w:rFonts w:ascii="Cambria Math" w:eastAsia="Cambria Math" w:hAnsi="Cambria Math" w:cs="Cambria Math"/>
                                    <w:i/>
                                  </w:rPr>
                                </m:ctrlPr>
                              </m:naryPr>
                              <m:sub>
                                <m:r>
                                  <w:rPr>
                                    <w:rFonts w:ascii="Cambria Math" w:eastAsia="Cambria Math" w:hAnsi="Cambria Math" w:cs="Cambria Math"/>
                                  </w:rPr>
                                  <m:t>i=1</m:t>
                                </m:r>
                              </m:sub>
                              <m:sup>
                                <m:r>
                                  <w:rPr>
                                    <w:rFonts w:ascii="Cambria Math" w:eastAsia="Cambria Math" w:hAnsi="Cambria Math" w:cs="Cambria Math"/>
                                  </w:rPr>
                                  <m:t>n</m:t>
                                </m:r>
                              </m:sup>
                              <m:e>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O</m:t>
                                    </m:r>
                                  </m:e>
                                  <m:sub>
                                    <m:r>
                                      <w:rPr>
                                        <w:rFonts w:ascii="Cambria Math" w:eastAsia="Cambria Math" w:hAnsi="Cambria Math" w:cs="Cambria Math"/>
                                      </w:rPr>
                                      <m:t>i</m:t>
                                    </m:r>
                                  </m:sub>
                                </m:sSub>
                              </m:e>
                            </m:nary>
                            <m:r>
                              <w:rPr>
                                <w:rFonts w:ascii="Cambria Math" w:eastAsia="Cambria Math" w:hAnsi="Cambria Math" w:cs="Cambria Math"/>
                              </w:rPr>
                              <m:t>-</m:t>
                            </m:r>
                            <m:acc>
                              <m:accPr>
                                <m:chr m:val="̅"/>
                                <m:ctrlPr>
                                  <w:rPr>
                                    <w:rFonts w:ascii="Cambria Math" w:eastAsia="Cambria Math" w:hAnsi="Cambria Math" w:cs="Cambria Math"/>
                                    <w:i/>
                                  </w:rPr>
                                </m:ctrlPr>
                              </m:accPr>
                              <m:e>
                                <m:r>
                                  <w:rPr>
                                    <w:rFonts w:ascii="Cambria Math" w:eastAsia="Cambria Math" w:hAnsi="Cambria Math" w:cs="Cambria Math"/>
                                  </w:rPr>
                                  <m:t>O</m:t>
                                </m:r>
                              </m:e>
                            </m:acc>
                            <m:r>
                              <w:rPr>
                                <w:rFonts w:ascii="Cambria Math" w:eastAsia="Cambria Math" w:hAnsi="Cambria Math" w:cs="Cambria Math"/>
                              </w:rPr>
                              <m:t>)</m:t>
                            </m:r>
                          </m:e>
                          <m:sup>
                            <m:r>
                              <w:rPr>
                                <w:rFonts w:ascii="Cambria Math" w:eastAsia="Cambria Math" w:hAnsi="Cambria Math" w:cs="Cambria Math"/>
                              </w:rPr>
                              <m:t>2</m:t>
                            </m:r>
                          </m:sup>
                        </m:sSup>
                        <m:sSup>
                          <m:sSupPr>
                            <m:ctrlPr>
                              <w:rPr>
                                <w:rFonts w:ascii="Cambria Math" w:eastAsia="Cambria Math" w:hAnsi="Cambria Math" w:cs="Cambria Math"/>
                                <w:i/>
                              </w:rPr>
                            </m:ctrlPr>
                          </m:sSupPr>
                          <m:e>
                            <m:nary>
                              <m:naryPr>
                                <m:chr m:val="∑"/>
                                <m:limLoc m:val="undOvr"/>
                                <m:ctrlPr>
                                  <w:rPr>
                                    <w:rFonts w:ascii="Cambria Math" w:eastAsia="Cambria Math" w:hAnsi="Cambria Math" w:cs="Cambria Math"/>
                                    <w:i/>
                                  </w:rPr>
                                </m:ctrlPr>
                              </m:naryPr>
                              <m:sub>
                                <m:r>
                                  <w:rPr>
                                    <w:rFonts w:ascii="Cambria Math" w:eastAsia="Cambria Math" w:hAnsi="Cambria Math" w:cs="Cambria Math"/>
                                  </w:rPr>
                                  <m:t>i=1</m:t>
                                </m:r>
                              </m:sub>
                              <m:sup>
                                <m:r>
                                  <w:rPr>
                                    <w:rFonts w:ascii="Cambria Math" w:eastAsia="Cambria Math" w:hAnsi="Cambria Math" w:cs="Cambria Math"/>
                                  </w:rPr>
                                  <m:t>n</m:t>
                                </m:r>
                              </m:sup>
                              <m:e>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P</m:t>
                                    </m:r>
                                  </m:e>
                                  <m:sub>
                                    <m:r>
                                      <w:rPr>
                                        <w:rFonts w:ascii="Cambria Math" w:eastAsia="Cambria Math" w:hAnsi="Cambria Math" w:cs="Cambria Math"/>
                                      </w:rPr>
                                      <m:t>i</m:t>
                                    </m:r>
                                  </m:sub>
                                </m:sSub>
                              </m:e>
                            </m:nary>
                            <m:r>
                              <w:rPr>
                                <w:rFonts w:ascii="Cambria Math" w:eastAsia="Cambria Math" w:hAnsi="Cambria Math" w:cs="Cambria Math"/>
                              </w:rPr>
                              <m:t>-</m:t>
                            </m:r>
                            <m:acc>
                              <m:accPr>
                                <m:chr m:val="̅"/>
                                <m:ctrlPr>
                                  <w:rPr>
                                    <w:rFonts w:ascii="Cambria Math" w:eastAsia="Cambria Math" w:hAnsi="Cambria Math" w:cs="Cambria Math"/>
                                    <w:i/>
                                  </w:rPr>
                                </m:ctrlPr>
                              </m:accPr>
                              <m:e>
                                <m:r>
                                  <w:rPr>
                                    <w:rFonts w:ascii="Cambria Math" w:eastAsia="Cambria Math" w:hAnsi="Cambria Math" w:cs="Cambria Math"/>
                                  </w:rPr>
                                  <m:t>P</m:t>
                                </m:r>
                              </m:e>
                            </m:acc>
                            <m:r>
                              <w:rPr>
                                <w:rFonts w:ascii="Cambria Math" w:eastAsia="Cambria Math" w:hAnsi="Cambria Math" w:cs="Cambria Math"/>
                              </w:rPr>
                              <m:t>)</m:t>
                            </m:r>
                          </m:e>
                          <m:sup>
                            <m:r>
                              <w:rPr>
                                <w:rFonts w:ascii="Cambria Math" w:eastAsia="Cambria Math" w:hAnsi="Cambria Math" w:cs="Cambria Math"/>
                              </w:rPr>
                              <m:t>2</m:t>
                            </m:r>
                          </m:sup>
                        </m:sSup>
                      </m:e>
                    </m:rad>
                  </m:den>
                </m:f>
              </m:oMath>
            </m:oMathPara>
          </w:p>
          <w:p w14:paraId="24111652" w14:textId="77777777" w:rsidR="000D1F19" w:rsidRPr="00690BD8" w:rsidRDefault="005D1DE0" w:rsidP="00A10C39">
            <w:pPr>
              <w:cnfStyle w:val="000000000000" w:firstRow="0" w:lastRow="0" w:firstColumn="0" w:lastColumn="0" w:oddVBand="0" w:evenVBand="0" w:oddHBand="0" w:evenHBand="0" w:firstRowFirstColumn="0" w:firstRowLastColumn="0" w:lastRowFirstColumn="0" w:lastRowLastColumn="0"/>
              <w:rPr>
                <w:sz w:val="16"/>
                <w:szCs w:val="16"/>
              </w:rPr>
            </w:pPr>
            <m:oMath>
              <m:sSub>
                <m:sSubPr>
                  <m:ctrlPr>
                    <w:rPr>
                      <w:rFonts w:ascii="Cambria Math" w:eastAsia="Cambria Math" w:hAnsi="Cambria Math" w:cs="Cambria Math"/>
                      <w:i/>
                      <w:sz w:val="16"/>
                      <w:szCs w:val="16"/>
                    </w:rPr>
                  </m:ctrlPr>
                </m:sSubPr>
                <m:e>
                  <m:r>
                    <w:rPr>
                      <w:rFonts w:ascii="Cambria Math" w:eastAsia="Cambria Math" w:hAnsi="Cambria Math" w:cs="Cambria Math"/>
                      <w:sz w:val="16"/>
                      <w:szCs w:val="16"/>
                    </w:rPr>
                    <m:t>O</m:t>
                  </m:r>
                </m:e>
                <m:sub>
                  <m:r>
                    <w:rPr>
                      <w:rFonts w:ascii="Cambria Math" w:eastAsia="Cambria Math" w:hAnsi="Cambria Math" w:cs="Cambria Math"/>
                      <w:sz w:val="16"/>
                      <w:szCs w:val="16"/>
                    </w:rPr>
                    <m:t>i</m:t>
                  </m:r>
                </m:sub>
              </m:sSub>
            </m:oMath>
            <w:r w:rsidR="000D1F19" w:rsidRPr="00690BD8">
              <w:rPr>
                <w:rFonts w:ascii="Arial" w:hAnsi="Arial" w:cs="Arial"/>
                <w:sz w:val="16"/>
                <w:szCs w:val="16"/>
              </w:rPr>
              <w:t>​</w:t>
            </w:r>
            <w:r w:rsidR="000D1F19" w:rsidRPr="00690BD8">
              <w:rPr>
                <w:sz w:val="16"/>
                <w:szCs w:val="16"/>
              </w:rPr>
              <w:t>: Observed value</w:t>
            </w:r>
          </w:p>
          <w:p w14:paraId="3E921950" w14:textId="77777777" w:rsidR="000D1F19" w:rsidRPr="00690BD8" w:rsidRDefault="005D1DE0" w:rsidP="00A10C39">
            <w:pPr>
              <w:cnfStyle w:val="000000000000" w:firstRow="0" w:lastRow="0" w:firstColumn="0" w:lastColumn="0" w:oddVBand="0" w:evenVBand="0" w:oddHBand="0" w:evenHBand="0" w:firstRowFirstColumn="0" w:firstRowLastColumn="0" w:lastRowFirstColumn="0" w:lastRowLastColumn="0"/>
              <w:rPr>
                <w:sz w:val="16"/>
                <w:szCs w:val="16"/>
              </w:rPr>
            </w:pPr>
            <m:oMath>
              <m:sSub>
                <m:sSubPr>
                  <m:ctrlPr>
                    <w:rPr>
                      <w:rFonts w:ascii="Cambria Math" w:eastAsia="Cambria Math" w:hAnsi="Cambria Math" w:cs="Cambria Math"/>
                      <w:i/>
                      <w:sz w:val="16"/>
                      <w:szCs w:val="16"/>
                    </w:rPr>
                  </m:ctrlPr>
                </m:sSubPr>
                <m:e>
                  <m:r>
                    <w:rPr>
                      <w:rFonts w:ascii="Cambria Math" w:eastAsia="Cambria Math" w:hAnsi="Cambria Math" w:cs="Cambria Math"/>
                      <w:sz w:val="16"/>
                      <w:szCs w:val="16"/>
                    </w:rPr>
                    <m:t>P</m:t>
                  </m:r>
                </m:e>
                <m:sub>
                  <m:r>
                    <w:rPr>
                      <w:rFonts w:ascii="Cambria Math" w:eastAsia="Cambria Math" w:hAnsi="Cambria Math" w:cs="Cambria Math"/>
                      <w:sz w:val="16"/>
                      <w:szCs w:val="16"/>
                    </w:rPr>
                    <m:t>i</m:t>
                  </m:r>
                </m:sub>
              </m:sSub>
            </m:oMath>
            <w:r w:rsidR="000D1F19" w:rsidRPr="00690BD8">
              <w:rPr>
                <w:rFonts w:ascii="Arial" w:hAnsi="Arial" w:cs="Arial"/>
                <w:sz w:val="16"/>
                <w:szCs w:val="16"/>
              </w:rPr>
              <w:t>​</w:t>
            </w:r>
            <w:r w:rsidR="000D1F19" w:rsidRPr="00690BD8">
              <w:rPr>
                <w:sz w:val="16"/>
                <w:szCs w:val="16"/>
              </w:rPr>
              <w:t>: Predicted value</w:t>
            </w:r>
          </w:p>
          <w:p w14:paraId="05E1DD85" w14:textId="77777777" w:rsidR="000D1F19" w:rsidRDefault="005D1DE0" w:rsidP="00A10C39">
            <w:pPr>
              <w:cnfStyle w:val="000000000000" w:firstRow="0" w:lastRow="0" w:firstColumn="0" w:lastColumn="0" w:oddVBand="0" w:evenVBand="0" w:oddHBand="0" w:evenHBand="0" w:firstRowFirstColumn="0" w:firstRowLastColumn="0" w:lastRowFirstColumn="0" w:lastRowLastColumn="0"/>
              <w:rPr>
                <w:sz w:val="16"/>
                <w:szCs w:val="16"/>
              </w:rPr>
            </w:pPr>
            <m:oMath>
              <m:acc>
                <m:accPr>
                  <m:chr m:val="̅"/>
                  <m:ctrlPr>
                    <w:rPr>
                      <w:rFonts w:ascii="Cambria Math" w:eastAsia="Cambria Math" w:hAnsi="Cambria Math" w:cs="Cambria Math"/>
                      <w:i/>
                      <w:sz w:val="16"/>
                      <w:szCs w:val="16"/>
                    </w:rPr>
                  </m:ctrlPr>
                </m:accPr>
                <m:e>
                  <m:r>
                    <w:rPr>
                      <w:rFonts w:ascii="Cambria Math" w:eastAsia="Cambria Math" w:hAnsi="Cambria Math" w:cs="Cambria Math"/>
                      <w:sz w:val="16"/>
                      <w:szCs w:val="16"/>
                    </w:rPr>
                    <m:t>O</m:t>
                  </m:r>
                </m:e>
              </m:acc>
            </m:oMath>
            <w:r w:rsidR="000D1F19" w:rsidRPr="00690BD8">
              <w:rPr>
                <w:sz w:val="16"/>
                <w:szCs w:val="16"/>
              </w:rPr>
              <w:t>: Mean of observed values</w:t>
            </w:r>
          </w:p>
          <w:p w14:paraId="44FBE76C"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rPr>
                <w:sz w:val="16"/>
                <w:szCs w:val="16"/>
              </w:rPr>
            </w:pPr>
            <m:oMath>
              <m:r>
                <w:rPr>
                  <w:rFonts w:ascii="Cambria Math" w:eastAsia="Cambria Math" w:hAnsi="Cambria Math" w:cs="Cambria Math"/>
                  <w:sz w:val="16"/>
                  <w:szCs w:val="16"/>
                </w:rPr>
                <m:t>n</m:t>
              </m:r>
            </m:oMath>
            <w:r w:rsidRPr="00690BD8">
              <w:rPr>
                <w:sz w:val="16"/>
                <w:szCs w:val="16"/>
              </w:rPr>
              <w:t>: Number of observations</w:t>
            </w:r>
          </w:p>
          <w:p w14:paraId="0EE9E53E" w14:textId="77777777" w:rsidR="000D1F19" w:rsidRPr="00DB45E6" w:rsidRDefault="005D1DE0" w:rsidP="00A10C39">
            <w:pPr>
              <w:cnfStyle w:val="000000000000" w:firstRow="0" w:lastRow="0" w:firstColumn="0" w:lastColumn="0" w:oddVBand="0" w:evenVBand="0" w:oddHBand="0" w:evenHBand="0" w:firstRowFirstColumn="0" w:firstRowLastColumn="0" w:lastRowFirstColumn="0" w:lastRowLastColumn="0"/>
              <w:rPr>
                <w:sz w:val="16"/>
                <w:szCs w:val="16"/>
              </w:rPr>
            </w:pPr>
            <m:oMath>
              <m:acc>
                <m:accPr>
                  <m:chr m:val="̅"/>
                  <m:ctrlPr>
                    <w:rPr>
                      <w:rFonts w:ascii="Cambria Math" w:eastAsia="Cambria Math" w:hAnsi="Cambria Math" w:cs="Cambria Math"/>
                      <w:sz w:val="16"/>
                      <w:szCs w:val="16"/>
                    </w:rPr>
                  </m:ctrlPr>
                </m:accPr>
                <m:e>
                  <m:r>
                    <w:rPr>
                      <w:rFonts w:ascii="Cambria Math" w:eastAsia="Cambria Math" w:hAnsi="Cambria Math" w:cs="Cambria Math"/>
                      <w:sz w:val="16"/>
                      <w:szCs w:val="16"/>
                    </w:rPr>
                    <m:t>P</m:t>
                  </m:r>
                </m:e>
              </m:acc>
            </m:oMath>
            <w:r w:rsidR="000D1F19">
              <w:rPr>
                <w:rFonts w:eastAsiaTheme="minorEastAsia"/>
                <w:sz w:val="16"/>
                <w:szCs w:val="16"/>
              </w:rPr>
              <w:t xml:space="preserve">: </w:t>
            </w:r>
            <w:r w:rsidR="000D1F19" w:rsidRPr="00DB45E6">
              <w:rPr>
                <w:sz w:val="16"/>
                <w:szCs w:val="16"/>
              </w:rPr>
              <w:t>Mean of predicted values</w:t>
            </w:r>
          </w:p>
        </w:tc>
        <w:tc>
          <w:tcPr>
            <w:tcW w:w="915" w:type="dxa"/>
          </w:tcPr>
          <w:p w14:paraId="3E0C282E"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w:r>
              <w:t>1 or -1</w:t>
            </w:r>
          </w:p>
        </w:tc>
        <w:tc>
          <w:tcPr>
            <w:tcW w:w="4305" w:type="dxa"/>
          </w:tcPr>
          <w:p w14:paraId="736E5070" w14:textId="77777777" w:rsidR="000D1F19" w:rsidRDefault="000D1F19" w:rsidP="00AA75CD">
            <w:pPr>
              <w:pStyle w:val="ListParagraph"/>
              <w:numPr>
                <w:ilvl w:val="0"/>
                <w:numId w:val="3"/>
              </w:numPr>
              <w:ind w:left="194" w:hanging="180"/>
              <w:cnfStyle w:val="000000000000" w:firstRow="0" w:lastRow="0" w:firstColumn="0" w:lastColumn="0" w:oddVBand="0" w:evenVBand="0" w:oddHBand="0" w:evenHBand="0" w:firstRowFirstColumn="0" w:firstRowLastColumn="0" w:lastRowFirstColumn="0" w:lastRowLastColumn="0"/>
            </w:pPr>
            <w:r w:rsidRPr="00A5462C">
              <w:t xml:space="preserve">0.8 - 1: Strong correlation </w:t>
            </w:r>
          </w:p>
          <w:p w14:paraId="6A10CFD2" w14:textId="77777777" w:rsidR="000D1F19" w:rsidRDefault="000D1F19" w:rsidP="00AA75CD">
            <w:pPr>
              <w:pStyle w:val="ListParagraph"/>
              <w:numPr>
                <w:ilvl w:val="0"/>
                <w:numId w:val="3"/>
              </w:numPr>
              <w:ind w:left="194" w:hanging="180"/>
              <w:cnfStyle w:val="000000000000" w:firstRow="0" w:lastRow="0" w:firstColumn="0" w:lastColumn="0" w:oddVBand="0" w:evenVBand="0" w:oddHBand="0" w:evenHBand="0" w:firstRowFirstColumn="0" w:firstRowLastColumn="0" w:lastRowFirstColumn="0" w:lastRowLastColumn="0"/>
            </w:pPr>
            <w:r w:rsidRPr="00A5462C">
              <w:t xml:space="preserve">0.5 - 0.8: Moderate positive correlation </w:t>
            </w:r>
          </w:p>
          <w:p w14:paraId="2201A44D" w14:textId="77777777" w:rsidR="000D1F19" w:rsidRDefault="000D1F19" w:rsidP="00AA75CD">
            <w:pPr>
              <w:pStyle w:val="ListParagraph"/>
              <w:numPr>
                <w:ilvl w:val="0"/>
                <w:numId w:val="3"/>
              </w:numPr>
              <w:ind w:left="194" w:hanging="180"/>
              <w:cnfStyle w:val="000000000000" w:firstRow="0" w:lastRow="0" w:firstColumn="0" w:lastColumn="0" w:oddVBand="0" w:evenVBand="0" w:oddHBand="0" w:evenHBand="0" w:firstRowFirstColumn="0" w:firstRowLastColumn="0" w:lastRowFirstColumn="0" w:lastRowLastColumn="0"/>
            </w:pPr>
            <w:r w:rsidRPr="00A5462C">
              <w:t xml:space="preserve">0 - 0.5: Weak correlation </w:t>
            </w:r>
          </w:p>
          <w:p w14:paraId="3408DEDD" w14:textId="77777777" w:rsidR="000D1F19" w:rsidRDefault="000D1F19" w:rsidP="00AA75CD">
            <w:pPr>
              <w:pStyle w:val="ListParagraph"/>
              <w:numPr>
                <w:ilvl w:val="0"/>
                <w:numId w:val="3"/>
              </w:numPr>
              <w:ind w:left="194" w:hanging="180"/>
              <w:cnfStyle w:val="000000000000" w:firstRow="0" w:lastRow="0" w:firstColumn="0" w:lastColumn="0" w:oddVBand="0" w:evenVBand="0" w:oddHBand="0" w:evenHBand="0" w:firstRowFirstColumn="0" w:firstRowLastColumn="0" w:lastRowFirstColumn="0" w:lastRowLastColumn="0"/>
            </w:pPr>
            <w:r w:rsidRPr="00A5462C">
              <w:t xml:space="preserve">Negative values: Inverse relationship </w:t>
            </w:r>
          </w:p>
        </w:tc>
      </w:tr>
      <w:tr w:rsidR="000D1F19" w14:paraId="4D859D73" w14:textId="77777777" w:rsidTr="000D1F19">
        <w:tc>
          <w:tcPr>
            <w:cnfStyle w:val="001000000000" w:firstRow="0" w:lastRow="0" w:firstColumn="1" w:lastColumn="0" w:oddVBand="0" w:evenVBand="0" w:oddHBand="0" w:evenHBand="0" w:firstRowFirstColumn="0" w:firstRowLastColumn="0" w:lastRowFirstColumn="0" w:lastRowLastColumn="0"/>
            <w:tcW w:w="1875" w:type="dxa"/>
          </w:tcPr>
          <w:p w14:paraId="526BF198" w14:textId="77777777" w:rsidR="000D1F19" w:rsidRDefault="000D1F19" w:rsidP="00A10C39">
            <w:pPr>
              <w:rPr>
                <w:b w:val="0"/>
                <w:bCs w:val="0"/>
              </w:rPr>
            </w:pPr>
            <w:r w:rsidRPr="00A5462C">
              <w:t xml:space="preserve">RMSE </w:t>
            </w:r>
          </w:p>
          <w:p w14:paraId="12203F25" w14:textId="77777777" w:rsidR="000D1F19" w:rsidRDefault="000D1F19" w:rsidP="00A10C39">
            <w:r w:rsidRPr="00A5462C">
              <w:t>(Root Mean Square Error)</w:t>
            </w:r>
          </w:p>
        </w:tc>
        <w:tc>
          <w:tcPr>
            <w:tcW w:w="3525" w:type="dxa"/>
          </w:tcPr>
          <w:p w14:paraId="7A2329A2"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w:r w:rsidRPr="00A5462C">
              <w:t>Average magnitude of errors between observed and predicted ET values (in same units as ET)</w:t>
            </w:r>
          </w:p>
        </w:tc>
        <w:tc>
          <w:tcPr>
            <w:tcW w:w="4122" w:type="dxa"/>
          </w:tcPr>
          <w:p w14:paraId="320118B9"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RMSE=</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e>
                          <m:sup>
                            <m:r>
                              <w:rPr>
                                <w:rFonts w:ascii="Cambria Math" w:hAnsi="Cambria Math"/>
                              </w:rPr>
                              <m:t>2</m:t>
                            </m:r>
                          </m:sup>
                        </m:sSup>
                      </m:e>
                    </m:nary>
                  </m:e>
                </m:rad>
              </m:oMath>
            </m:oMathPara>
          </w:p>
        </w:tc>
        <w:tc>
          <w:tcPr>
            <w:tcW w:w="915" w:type="dxa"/>
          </w:tcPr>
          <w:p w14:paraId="6F1E4832"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w:r>
              <w:t>0</w:t>
            </w:r>
          </w:p>
        </w:tc>
        <w:tc>
          <w:tcPr>
            <w:tcW w:w="4305" w:type="dxa"/>
          </w:tcPr>
          <w:p w14:paraId="77C4A1F1"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w:r w:rsidRPr="001B05AB">
              <w:t>Higher accuracy is represented by values below; lows of RMSE may differ depending on the application but denote better performance of a dataset.</w:t>
            </w:r>
          </w:p>
        </w:tc>
      </w:tr>
      <w:tr w:rsidR="000D1F19" w14:paraId="3C235757" w14:textId="77777777" w:rsidTr="000D1F19">
        <w:tc>
          <w:tcPr>
            <w:cnfStyle w:val="001000000000" w:firstRow="0" w:lastRow="0" w:firstColumn="1" w:lastColumn="0" w:oddVBand="0" w:evenVBand="0" w:oddHBand="0" w:evenHBand="0" w:firstRowFirstColumn="0" w:firstRowLastColumn="0" w:lastRowFirstColumn="0" w:lastRowLastColumn="0"/>
            <w:tcW w:w="1875" w:type="dxa"/>
          </w:tcPr>
          <w:p w14:paraId="19F62B35" w14:textId="77777777" w:rsidR="000D1F19" w:rsidRPr="00A5462C" w:rsidRDefault="000D1F19" w:rsidP="00A10C39">
            <w:r w:rsidRPr="00A5462C">
              <w:t>Relative RMSE (</w:t>
            </w:r>
            <w:proofErr w:type="spellStart"/>
            <w:r w:rsidRPr="00A5462C">
              <w:t>rRMSE</w:t>
            </w:r>
            <w:proofErr w:type="spellEnd"/>
            <w:r w:rsidRPr="00A5462C">
              <w:t>, %)</w:t>
            </w:r>
          </w:p>
        </w:tc>
        <w:tc>
          <w:tcPr>
            <w:tcW w:w="3525" w:type="dxa"/>
          </w:tcPr>
          <w:p w14:paraId="13E44F59"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w:r>
              <w:t xml:space="preserve">The </w:t>
            </w:r>
            <w:r w:rsidRPr="001B05AB">
              <w:t>percentage of the mean observed ET</w:t>
            </w:r>
          </w:p>
        </w:tc>
        <w:tc>
          <w:tcPr>
            <w:tcW w:w="4122" w:type="dxa"/>
          </w:tcPr>
          <w:p w14:paraId="38C4BA90"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 xml:space="preserve">rRMSE= </m:t>
                </m:r>
                <m:d>
                  <m:dPr>
                    <m:ctrlPr>
                      <w:rPr>
                        <w:rFonts w:ascii="Cambria Math" w:hAnsi="Cambria Math"/>
                        <w:i/>
                      </w:rPr>
                    </m:ctrlPr>
                  </m:dPr>
                  <m:e>
                    <m:f>
                      <m:fPr>
                        <m:ctrlPr>
                          <w:rPr>
                            <w:rFonts w:ascii="Cambria Math" w:hAnsi="Cambria Math"/>
                            <w:i/>
                          </w:rPr>
                        </m:ctrlPr>
                      </m:fPr>
                      <m:num>
                        <m:r>
                          <w:rPr>
                            <w:rFonts w:ascii="Cambria Math" w:hAnsi="Cambria Math"/>
                          </w:rPr>
                          <m:t>RMSE</m:t>
                        </m:r>
                      </m:num>
                      <m:den>
                        <m:acc>
                          <m:accPr>
                            <m:chr m:val="̅"/>
                            <m:ctrlPr>
                              <w:rPr>
                                <w:rFonts w:ascii="Cambria Math" w:hAnsi="Cambria Math"/>
                                <w:i/>
                              </w:rPr>
                            </m:ctrlPr>
                          </m:accPr>
                          <m:e>
                            <m:r>
                              <w:rPr>
                                <w:rFonts w:ascii="Cambria Math" w:hAnsi="Cambria Math"/>
                              </w:rPr>
                              <m:t>O</m:t>
                            </m:r>
                          </m:e>
                        </m:acc>
                      </m:den>
                    </m:f>
                  </m:e>
                </m:d>
                <m:r>
                  <w:rPr>
                    <w:rFonts w:ascii="Cambria Math" w:hAnsi="Cambria Math"/>
                  </w:rPr>
                  <m:t>*100</m:t>
                </m:r>
              </m:oMath>
            </m:oMathPara>
          </w:p>
        </w:tc>
        <w:tc>
          <w:tcPr>
            <w:tcW w:w="915" w:type="dxa"/>
          </w:tcPr>
          <w:p w14:paraId="6E35E6C0"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w:r>
              <w:t>0%</w:t>
            </w:r>
          </w:p>
        </w:tc>
        <w:tc>
          <w:tcPr>
            <w:tcW w:w="4305" w:type="dxa"/>
          </w:tcPr>
          <w:p w14:paraId="24E235AF" w14:textId="77777777" w:rsidR="000D1F19" w:rsidRDefault="000D1F19" w:rsidP="00AA75CD">
            <w:pPr>
              <w:pStyle w:val="ListParagraph"/>
              <w:numPr>
                <w:ilvl w:val="0"/>
                <w:numId w:val="3"/>
              </w:numPr>
              <w:ind w:left="194" w:hanging="180"/>
              <w:cnfStyle w:val="000000000000" w:firstRow="0" w:lastRow="0" w:firstColumn="0" w:lastColumn="0" w:oddVBand="0" w:evenVBand="0" w:oddHBand="0" w:evenHBand="0" w:firstRowFirstColumn="0" w:firstRowLastColumn="0" w:lastRowFirstColumn="0" w:lastRowLastColumn="0"/>
            </w:pPr>
            <w:r w:rsidRPr="001B05AB">
              <w:t xml:space="preserve">&lt;10%: Very good </w:t>
            </w:r>
          </w:p>
          <w:p w14:paraId="15323DA3" w14:textId="77777777" w:rsidR="000D1F19" w:rsidRDefault="000D1F19" w:rsidP="00AA75CD">
            <w:pPr>
              <w:pStyle w:val="ListParagraph"/>
              <w:numPr>
                <w:ilvl w:val="0"/>
                <w:numId w:val="3"/>
              </w:numPr>
              <w:ind w:left="194" w:hanging="180"/>
              <w:cnfStyle w:val="000000000000" w:firstRow="0" w:lastRow="0" w:firstColumn="0" w:lastColumn="0" w:oddVBand="0" w:evenVBand="0" w:oddHBand="0" w:evenHBand="0" w:firstRowFirstColumn="0" w:firstRowLastColumn="0" w:lastRowFirstColumn="0" w:lastRowLastColumn="0"/>
            </w:pPr>
            <w:r w:rsidRPr="001B05AB">
              <w:t xml:space="preserve">10% - 20%: Acceptable </w:t>
            </w:r>
          </w:p>
          <w:p w14:paraId="43735F7F" w14:textId="77777777" w:rsidR="000D1F19" w:rsidRDefault="000D1F19" w:rsidP="00AA75CD">
            <w:pPr>
              <w:pStyle w:val="ListParagraph"/>
              <w:numPr>
                <w:ilvl w:val="0"/>
                <w:numId w:val="3"/>
              </w:numPr>
              <w:ind w:left="194" w:hanging="180"/>
              <w:cnfStyle w:val="000000000000" w:firstRow="0" w:lastRow="0" w:firstColumn="0" w:lastColumn="0" w:oddVBand="0" w:evenVBand="0" w:oddHBand="0" w:evenHBand="0" w:firstRowFirstColumn="0" w:firstRowLastColumn="0" w:lastRowFirstColumn="0" w:lastRowLastColumn="0"/>
            </w:pPr>
            <w:r w:rsidRPr="001B05AB">
              <w:t>&gt;20%: Poor accuracy</w:t>
            </w:r>
          </w:p>
        </w:tc>
      </w:tr>
      <w:tr w:rsidR="000D1F19" w14:paraId="43794B8C" w14:textId="77777777" w:rsidTr="000D1F19">
        <w:tc>
          <w:tcPr>
            <w:cnfStyle w:val="001000000000" w:firstRow="0" w:lastRow="0" w:firstColumn="1" w:lastColumn="0" w:oddVBand="0" w:evenVBand="0" w:oddHBand="0" w:evenHBand="0" w:firstRowFirstColumn="0" w:firstRowLastColumn="0" w:lastRowFirstColumn="0" w:lastRowLastColumn="0"/>
            <w:tcW w:w="1875" w:type="dxa"/>
          </w:tcPr>
          <w:p w14:paraId="32DA7408" w14:textId="77777777" w:rsidR="000D1F19" w:rsidRDefault="000D1F19" w:rsidP="00A10C39">
            <w:pPr>
              <w:rPr>
                <w:b w:val="0"/>
                <w:bCs w:val="0"/>
              </w:rPr>
            </w:pPr>
            <w:r w:rsidRPr="00A5462C">
              <w:t xml:space="preserve">MBE </w:t>
            </w:r>
          </w:p>
          <w:p w14:paraId="01A21F11" w14:textId="77777777" w:rsidR="000D1F19" w:rsidRPr="00A5462C" w:rsidRDefault="000D1F19" w:rsidP="00A10C39">
            <w:r w:rsidRPr="00A5462C">
              <w:t>(Mean Bias Error)</w:t>
            </w:r>
          </w:p>
        </w:tc>
        <w:tc>
          <w:tcPr>
            <w:tcW w:w="3525" w:type="dxa"/>
          </w:tcPr>
          <w:p w14:paraId="438E7F94"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w:r w:rsidRPr="001B05AB">
              <w:t>average bias (systematic error) in predicted ET values</w:t>
            </w:r>
          </w:p>
        </w:tc>
        <w:tc>
          <w:tcPr>
            <w:tcW w:w="4122" w:type="dxa"/>
          </w:tcPr>
          <w:p w14:paraId="4CC137A5"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 xml:space="preserve">MBE=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e>
                    </m:d>
                  </m:e>
                </m:nary>
              </m:oMath>
            </m:oMathPara>
          </w:p>
        </w:tc>
        <w:tc>
          <w:tcPr>
            <w:tcW w:w="915" w:type="dxa"/>
          </w:tcPr>
          <w:p w14:paraId="2B8082F1"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w:r>
              <w:t>0</w:t>
            </w:r>
          </w:p>
        </w:tc>
        <w:tc>
          <w:tcPr>
            <w:tcW w:w="4305" w:type="dxa"/>
          </w:tcPr>
          <w:p w14:paraId="7C2C34C2" w14:textId="77777777" w:rsidR="000D1F19" w:rsidRDefault="000D1F19" w:rsidP="00AA75CD">
            <w:pPr>
              <w:pStyle w:val="ListParagraph"/>
              <w:numPr>
                <w:ilvl w:val="0"/>
                <w:numId w:val="5"/>
              </w:numPr>
              <w:ind w:left="190" w:hanging="190"/>
              <w:cnfStyle w:val="000000000000" w:firstRow="0" w:lastRow="0" w:firstColumn="0" w:lastColumn="0" w:oddVBand="0" w:evenVBand="0" w:oddHBand="0" w:evenHBand="0" w:firstRowFirstColumn="0" w:firstRowLastColumn="0" w:lastRowFirstColumn="0" w:lastRowLastColumn="0"/>
            </w:pPr>
            <w:r>
              <w:t>The</w:t>
            </w:r>
            <w:r w:rsidRPr="001B05AB">
              <w:t xml:space="preserve"> positive values, these values would mean overestimation.</w:t>
            </w:r>
          </w:p>
          <w:p w14:paraId="46F0F52E" w14:textId="77777777" w:rsidR="000D1F19" w:rsidRDefault="000D1F19" w:rsidP="00AA75CD">
            <w:pPr>
              <w:pStyle w:val="ListParagraph"/>
              <w:numPr>
                <w:ilvl w:val="0"/>
                <w:numId w:val="5"/>
              </w:numPr>
              <w:ind w:left="190" w:hanging="190"/>
              <w:cnfStyle w:val="000000000000" w:firstRow="0" w:lastRow="0" w:firstColumn="0" w:lastColumn="0" w:oddVBand="0" w:evenVBand="0" w:oddHBand="0" w:evenHBand="0" w:firstRowFirstColumn="0" w:firstRowLastColumn="0" w:lastRowFirstColumn="0" w:lastRowLastColumn="0"/>
            </w:pPr>
            <w:r w:rsidRPr="001B05AB">
              <w:t>The negative values mean that there is actually an underestimation.</w:t>
            </w:r>
          </w:p>
          <w:p w14:paraId="24FAC58C" w14:textId="77777777" w:rsidR="000D1F19" w:rsidRDefault="000D1F19" w:rsidP="00AA75CD">
            <w:pPr>
              <w:pStyle w:val="ListParagraph"/>
              <w:numPr>
                <w:ilvl w:val="0"/>
                <w:numId w:val="5"/>
              </w:numPr>
              <w:ind w:left="190" w:hanging="190"/>
              <w:cnfStyle w:val="000000000000" w:firstRow="0" w:lastRow="0" w:firstColumn="0" w:lastColumn="0" w:oddVBand="0" w:evenVBand="0" w:oddHBand="0" w:evenHBand="0" w:firstRowFirstColumn="0" w:firstRowLastColumn="0" w:lastRowFirstColumn="0" w:lastRowLastColumn="0"/>
            </w:pPr>
            <w:r w:rsidRPr="001B05AB">
              <w:t>The absolutes close to zero are preferable.</w:t>
            </w:r>
          </w:p>
        </w:tc>
      </w:tr>
      <w:tr w:rsidR="000D1F19" w14:paraId="0CB55422" w14:textId="77777777" w:rsidTr="000D1F19">
        <w:tc>
          <w:tcPr>
            <w:cnfStyle w:val="001000000000" w:firstRow="0" w:lastRow="0" w:firstColumn="1" w:lastColumn="0" w:oddVBand="0" w:evenVBand="0" w:oddHBand="0" w:evenHBand="0" w:firstRowFirstColumn="0" w:firstRowLastColumn="0" w:lastRowFirstColumn="0" w:lastRowLastColumn="0"/>
            <w:tcW w:w="1875" w:type="dxa"/>
          </w:tcPr>
          <w:p w14:paraId="1F5422D6" w14:textId="77777777" w:rsidR="000D1F19" w:rsidRDefault="000D1F19" w:rsidP="00A10C39">
            <w:pPr>
              <w:rPr>
                <w:b w:val="0"/>
                <w:bCs w:val="0"/>
              </w:rPr>
            </w:pPr>
            <w:r w:rsidRPr="00A5462C">
              <w:t xml:space="preserve">PB </w:t>
            </w:r>
          </w:p>
          <w:p w14:paraId="79C93192" w14:textId="77777777" w:rsidR="000D1F19" w:rsidRPr="00A5462C" w:rsidRDefault="000D1F19" w:rsidP="00A10C39">
            <w:r w:rsidRPr="00A5462C">
              <w:t>(Percentage Bias)</w:t>
            </w:r>
          </w:p>
        </w:tc>
        <w:tc>
          <w:tcPr>
            <w:tcW w:w="3525" w:type="dxa"/>
          </w:tcPr>
          <w:p w14:paraId="367FB955"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w:r w:rsidRPr="001B05AB">
              <w:t>percentage of observed ET</w:t>
            </w:r>
          </w:p>
        </w:tc>
        <w:tc>
          <w:tcPr>
            <w:tcW w:w="4122" w:type="dxa"/>
          </w:tcPr>
          <w:p w14:paraId="5CF5BF21"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 xml:space="preserve">PB= </m:t>
                </m:r>
                <m:d>
                  <m:dPr>
                    <m:ctrlPr>
                      <w:rPr>
                        <w:rFonts w:ascii="Cambria Math" w:hAnsi="Cambria Math"/>
                        <w:i/>
                      </w:rPr>
                    </m:ctrlPr>
                  </m:dPr>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e>
                            </m:d>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O</m:t>
                                </m:r>
                              </m:e>
                              <m:sub>
                                <m:r>
                                  <w:rPr>
                                    <w:rFonts w:ascii="Cambria Math" w:hAnsi="Cambria Math"/>
                                  </w:rPr>
                                  <m:t>i</m:t>
                                </m:r>
                              </m:sub>
                            </m:sSub>
                          </m:e>
                        </m:nary>
                      </m:den>
                    </m:f>
                  </m:e>
                </m:d>
                <m:r>
                  <w:rPr>
                    <w:rFonts w:ascii="Cambria Math" w:hAnsi="Cambria Math"/>
                  </w:rPr>
                  <m:t>*100</m:t>
                </m:r>
              </m:oMath>
            </m:oMathPara>
          </w:p>
        </w:tc>
        <w:tc>
          <w:tcPr>
            <w:tcW w:w="915" w:type="dxa"/>
          </w:tcPr>
          <w:p w14:paraId="5AB2393E"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w:r>
              <w:t>0%</w:t>
            </w:r>
          </w:p>
        </w:tc>
        <w:tc>
          <w:tcPr>
            <w:tcW w:w="4305" w:type="dxa"/>
          </w:tcPr>
          <w:p w14:paraId="024ADAB7"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w:r w:rsidRPr="001B05AB">
              <w:t xml:space="preserve">&lt;10%: Very good </w:t>
            </w:r>
            <w:r w:rsidRPr="001B05AB">
              <w:br/>
              <w:t xml:space="preserve">10% - 20%: Acceptable </w:t>
            </w:r>
            <w:r w:rsidRPr="001B05AB">
              <w:br/>
              <w:t>&gt;20%: Poor accuracy</w:t>
            </w:r>
          </w:p>
        </w:tc>
      </w:tr>
      <w:tr w:rsidR="000D1F19" w14:paraId="1BCAA71C" w14:textId="77777777" w:rsidTr="000D1F19">
        <w:tc>
          <w:tcPr>
            <w:cnfStyle w:val="001000000000" w:firstRow="0" w:lastRow="0" w:firstColumn="1" w:lastColumn="0" w:oddVBand="0" w:evenVBand="0" w:oddHBand="0" w:evenHBand="0" w:firstRowFirstColumn="0" w:firstRowLastColumn="0" w:lastRowFirstColumn="0" w:lastRowLastColumn="0"/>
            <w:tcW w:w="1875" w:type="dxa"/>
          </w:tcPr>
          <w:p w14:paraId="236951EE" w14:textId="77777777" w:rsidR="000D1F19" w:rsidRDefault="000D1F19" w:rsidP="00A10C39">
            <w:pPr>
              <w:rPr>
                <w:b w:val="0"/>
                <w:bCs w:val="0"/>
              </w:rPr>
            </w:pPr>
            <w:r w:rsidRPr="00A5462C">
              <w:t xml:space="preserve">EFF </w:t>
            </w:r>
          </w:p>
          <w:p w14:paraId="1A78DD10" w14:textId="77777777" w:rsidR="000D1F19" w:rsidRPr="00A5462C" w:rsidRDefault="000D1F19" w:rsidP="00A10C39">
            <w:r w:rsidRPr="00A5462C">
              <w:t>(Efficiency)</w:t>
            </w:r>
          </w:p>
        </w:tc>
        <w:tc>
          <w:tcPr>
            <w:tcW w:w="3525" w:type="dxa"/>
          </w:tcPr>
          <w:p w14:paraId="29C56F97"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w:r w:rsidRPr="001B05AB">
              <w:t>predictive ability of the model relative to the mean observed ET</w:t>
            </w:r>
          </w:p>
        </w:tc>
        <w:tc>
          <w:tcPr>
            <w:tcW w:w="4122" w:type="dxa"/>
          </w:tcPr>
          <w:p w14:paraId="1656BB9A"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EFF=1-</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e>
                            </m:d>
                          </m:e>
                          <m:sup>
                            <m:r>
                              <w:rPr>
                                <w:rFonts w:ascii="Cambria Math" w:hAnsi="Cambria Math"/>
                              </w:rPr>
                              <m:t>2</m:t>
                            </m:r>
                          </m:sup>
                        </m:sSup>
                      </m:e>
                    </m:nary>
                  </m:num>
                  <m:den>
                    <m:sSup>
                      <m:sSupPr>
                        <m:ctrlPr>
                          <w:rPr>
                            <w:rFonts w:ascii="Cambria Math" w:hAnsi="Cambria Math"/>
                            <w:i/>
                          </w:rPr>
                        </m:ctrlPr>
                      </m:sSupPr>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O</m:t>
                                    </m:r>
                                  </m:e>
                                </m:acc>
                              </m:e>
                            </m:d>
                          </m:e>
                        </m:nary>
                      </m:e>
                      <m:sup>
                        <m:r>
                          <w:rPr>
                            <w:rFonts w:ascii="Cambria Math" w:hAnsi="Cambria Math"/>
                          </w:rPr>
                          <m:t>2;</m:t>
                        </m:r>
                      </m:sup>
                    </m:sSup>
                  </m:den>
                </m:f>
              </m:oMath>
            </m:oMathPara>
          </w:p>
        </w:tc>
        <w:tc>
          <w:tcPr>
            <w:tcW w:w="915" w:type="dxa"/>
          </w:tcPr>
          <w:p w14:paraId="1867C692"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w:r>
              <w:t>1</w:t>
            </w:r>
          </w:p>
        </w:tc>
        <w:tc>
          <w:tcPr>
            <w:tcW w:w="4305" w:type="dxa"/>
          </w:tcPr>
          <w:p w14:paraId="60399309"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w:r w:rsidRPr="001B05AB">
              <w:t xml:space="preserve">&gt;0.5: Good model performance </w:t>
            </w:r>
            <w:r w:rsidRPr="001B05AB">
              <w:br/>
              <w:t xml:space="preserve">0 - 0.5: Moderate performance </w:t>
            </w:r>
            <w:r w:rsidRPr="001B05AB">
              <w:br/>
              <w:t>&lt;0: Poor performance (model performs worse than mean)</w:t>
            </w:r>
          </w:p>
        </w:tc>
      </w:tr>
      <w:tr w:rsidR="000D1F19" w14:paraId="0DC787F1" w14:textId="77777777" w:rsidTr="000D1F19">
        <w:tc>
          <w:tcPr>
            <w:cnfStyle w:val="001000000000" w:firstRow="0" w:lastRow="0" w:firstColumn="1" w:lastColumn="0" w:oddVBand="0" w:evenVBand="0" w:oddHBand="0" w:evenHBand="0" w:firstRowFirstColumn="0" w:firstRowLastColumn="0" w:lastRowFirstColumn="0" w:lastRowLastColumn="0"/>
            <w:tcW w:w="1875" w:type="dxa"/>
          </w:tcPr>
          <w:p w14:paraId="4879AF71" w14:textId="77777777" w:rsidR="000D1F19" w:rsidRDefault="000D1F19" w:rsidP="00A10C39">
            <w:pPr>
              <w:rPr>
                <w:b w:val="0"/>
                <w:bCs w:val="0"/>
              </w:rPr>
            </w:pPr>
            <w:r w:rsidRPr="00A5462C">
              <w:t xml:space="preserve">KGE </w:t>
            </w:r>
          </w:p>
          <w:p w14:paraId="7F4C6CD2" w14:textId="77777777" w:rsidR="000D1F19" w:rsidRPr="00A5462C" w:rsidRDefault="000D1F19" w:rsidP="00A10C39">
            <w:r w:rsidRPr="00A5462C">
              <w:t>(Kling-Gupta Efficiency)</w:t>
            </w:r>
          </w:p>
        </w:tc>
        <w:tc>
          <w:tcPr>
            <w:tcW w:w="3525" w:type="dxa"/>
          </w:tcPr>
          <w:p w14:paraId="31F7AE46"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w:r w:rsidRPr="001B05AB">
              <w:t>Balances correlation, bias, and variability for overall performance</w:t>
            </w:r>
          </w:p>
        </w:tc>
        <w:tc>
          <w:tcPr>
            <w:tcW w:w="4122" w:type="dxa"/>
          </w:tcPr>
          <w:p w14:paraId="05E5822F"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KGE=1-</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r-1</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σP</m:t>
                                </m:r>
                              </m:num>
                              <m:den>
                                <m:r>
                                  <w:rPr>
                                    <w:rFonts w:ascii="Cambria Math" w:hAnsi="Cambria Math"/>
                                  </w:rPr>
                                  <m:t>σO</m:t>
                                </m:r>
                              </m:den>
                            </m:f>
                            <m:r>
                              <w:rPr>
                                <w:rFonts w:ascii="Cambria Math" w:hAnsi="Cambria Math"/>
                              </w:rPr>
                              <m:t>-1</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acc>
                                  <m:accPr>
                                    <m:chr m:val="̅"/>
                                    <m:ctrlPr>
                                      <w:rPr>
                                        <w:rFonts w:ascii="Cambria Math" w:hAnsi="Cambria Math"/>
                                        <w:i/>
                                      </w:rPr>
                                    </m:ctrlPr>
                                  </m:accPr>
                                  <m:e>
                                    <m:r>
                                      <w:rPr>
                                        <w:rFonts w:ascii="Cambria Math" w:hAnsi="Cambria Math"/>
                                      </w:rPr>
                                      <m:t>P</m:t>
                                    </m:r>
                                  </m:e>
                                </m:acc>
                              </m:num>
                              <m:den>
                                <m:acc>
                                  <m:accPr>
                                    <m:chr m:val="̅"/>
                                    <m:ctrlPr>
                                      <w:rPr>
                                        <w:rFonts w:ascii="Cambria Math" w:hAnsi="Cambria Math"/>
                                        <w:i/>
                                      </w:rPr>
                                    </m:ctrlPr>
                                  </m:accPr>
                                  <m:e>
                                    <m:r>
                                      <w:rPr>
                                        <w:rFonts w:ascii="Cambria Math" w:hAnsi="Cambria Math"/>
                                      </w:rPr>
                                      <m:t>O</m:t>
                                    </m:r>
                                  </m:e>
                                </m:acc>
                              </m:den>
                            </m:f>
                            <m:r>
                              <w:rPr>
                                <w:rFonts w:ascii="Cambria Math" w:hAnsi="Cambria Math"/>
                              </w:rPr>
                              <m:t>-1</m:t>
                            </m:r>
                          </m:e>
                        </m:d>
                      </m:e>
                      <m:sup>
                        <m:r>
                          <w:rPr>
                            <w:rFonts w:ascii="Cambria Math" w:hAnsi="Cambria Math"/>
                          </w:rPr>
                          <m:t>2</m:t>
                        </m:r>
                      </m:sup>
                    </m:sSup>
                  </m:e>
                </m:rad>
              </m:oMath>
            </m:oMathPara>
          </w:p>
        </w:tc>
        <w:tc>
          <w:tcPr>
            <w:tcW w:w="915" w:type="dxa"/>
          </w:tcPr>
          <w:p w14:paraId="50BFF4E1" w14:textId="77777777" w:rsidR="000D1F19" w:rsidRDefault="000D1F19" w:rsidP="00A10C39">
            <w:pPr>
              <w:jc w:val="center"/>
              <w:cnfStyle w:val="000000000000" w:firstRow="0" w:lastRow="0" w:firstColumn="0" w:lastColumn="0" w:oddVBand="0" w:evenVBand="0" w:oddHBand="0" w:evenHBand="0" w:firstRowFirstColumn="0" w:firstRowLastColumn="0" w:lastRowFirstColumn="0" w:lastRowLastColumn="0"/>
            </w:pPr>
            <w:r>
              <w:t>1</w:t>
            </w:r>
          </w:p>
        </w:tc>
        <w:tc>
          <w:tcPr>
            <w:tcW w:w="4305" w:type="dxa"/>
          </w:tcPr>
          <w:p w14:paraId="6F22313B" w14:textId="77777777" w:rsidR="000D1F19" w:rsidRDefault="000D1F19" w:rsidP="00A10C39">
            <w:pPr>
              <w:cnfStyle w:val="000000000000" w:firstRow="0" w:lastRow="0" w:firstColumn="0" w:lastColumn="0" w:oddVBand="0" w:evenVBand="0" w:oddHBand="0" w:evenHBand="0" w:firstRowFirstColumn="0" w:firstRowLastColumn="0" w:lastRowFirstColumn="0" w:lastRowLastColumn="0"/>
            </w:pPr>
            <w:r w:rsidRPr="001B05AB">
              <w:t xml:space="preserve">0.75 - 1: Very good </w:t>
            </w:r>
            <w:r w:rsidRPr="001B05AB">
              <w:br/>
              <w:t xml:space="preserve">0.5 - 0.75: Acceptable </w:t>
            </w:r>
            <w:r w:rsidRPr="001B05AB">
              <w:br/>
              <w:t>&lt;0.5: Poor performance</w:t>
            </w:r>
          </w:p>
        </w:tc>
      </w:tr>
    </w:tbl>
    <w:p w14:paraId="146877C1" w14:textId="77777777" w:rsidR="000D1F19" w:rsidRDefault="000D1F19" w:rsidP="000D1F19">
      <w:pPr>
        <w:pStyle w:val="Heading1"/>
        <w:keepLines w:val="0"/>
        <w:spacing w:before="0" w:after="0" w:line="240" w:lineRule="auto"/>
        <w:ind w:right="567"/>
        <w:contextualSpacing/>
        <w:rPr>
          <w:rFonts w:asciiTheme="minorHAnsi" w:eastAsiaTheme="minorHAnsi" w:hAnsiTheme="minorHAnsi" w:cstheme="minorBidi"/>
          <w:color w:val="auto"/>
          <w:sz w:val="22"/>
          <w:szCs w:val="22"/>
        </w:rPr>
        <w:sectPr w:rsidR="000D1F19" w:rsidSect="000D1F19">
          <w:pgSz w:w="15840" w:h="12240" w:orient="landscape"/>
          <w:pgMar w:top="720" w:right="1440" w:bottom="540" w:left="1440" w:header="720" w:footer="720" w:gutter="0"/>
          <w:cols w:space="720"/>
          <w:docGrid w:linePitch="360"/>
        </w:sectPr>
      </w:pPr>
    </w:p>
    <w:p w14:paraId="10A32C48" w14:textId="373DAA54" w:rsidR="009E4CF9" w:rsidRDefault="009E4CF9" w:rsidP="00C76AF6">
      <w:pPr>
        <w:pStyle w:val="Heading1"/>
        <w:keepLines w:val="0"/>
        <w:numPr>
          <w:ilvl w:val="0"/>
          <w:numId w:val="2"/>
        </w:numPr>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proofErr w:type="gramStart"/>
      <w:r>
        <w:rPr>
          <w:rFonts w:ascii="Cambria" w:eastAsia="Times New Roman" w:hAnsi="Cambria" w:cs="Arial"/>
          <w:b/>
          <w:bCs/>
          <w:color w:val="auto"/>
          <w:kern w:val="32"/>
          <w:sz w:val="24"/>
          <w:szCs w:val="24"/>
          <w:lang w:val="en-GB" w:eastAsia="en-GB"/>
          <w14:ligatures w14:val="none"/>
        </w:rPr>
        <w:lastRenderedPageBreak/>
        <w:t xml:space="preserve">Result </w:t>
      </w:r>
      <w:r w:rsidR="00FA1231">
        <w:rPr>
          <w:rFonts w:ascii="Cambria" w:eastAsia="Times New Roman" w:hAnsi="Cambria" w:cs="Arial"/>
          <w:b/>
          <w:bCs/>
          <w:color w:val="auto"/>
          <w:kern w:val="32"/>
          <w:sz w:val="24"/>
          <w:szCs w:val="24"/>
          <w:lang w:val="en-GB" w:eastAsia="en-GB"/>
          <w14:ligatures w14:val="none"/>
        </w:rPr>
        <w:t>,</w:t>
      </w:r>
      <w:r>
        <w:rPr>
          <w:rFonts w:ascii="Cambria" w:eastAsia="Times New Roman" w:hAnsi="Cambria" w:cs="Arial"/>
          <w:b/>
          <w:bCs/>
          <w:color w:val="auto"/>
          <w:kern w:val="32"/>
          <w:sz w:val="24"/>
          <w:szCs w:val="24"/>
          <w:lang w:val="en-GB" w:eastAsia="en-GB"/>
          <w14:ligatures w14:val="none"/>
        </w:rPr>
        <w:t>analysis</w:t>
      </w:r>
      <w:proofErr w:type="gramEnd"/>
      <w:r>
        <w:rPr>
          <w:rFonts w:ascii="Cambria" w:eastAsia="Times New Roman" w:hAnsi="Cambria" w:cs="Arial"/>
          <w:b/>
          <w:bCs/>
          <w:color w:val="auto"/>
          <w:kern w:val="32"/>
          <w:sz w:val="24"/>
          <w:szCs w:val="24"/>
          <w:lang w:val="en-GB" w:eastAsia="en-GB"/>
          <w14:ligatures w14:val="none"/>
        </w:rPr>
        <w:t xml:space="preserve"> </w:t>
      </w:r>
      <w:r w:rsidR="00FA1231">
        <w:rPr>
          <w:rFonts w:ascii="Cambria" w:eastAsia="Times New Roman" w:hAnsi="Cambria" w:cs="Arial"/>
          <w:b/>
          <w:bCs/>
          <w:color w:val="auto"/>
          <w:kern w:val="32"/>
          <w:sz w:val="24"/>
          <w:szCs w:val="24"/>
          <w:lang w:val="en-GB" w:eastAsia="en-GB"/>
          <w14:ligatures w14:val="none"/>
        </w:rPr>
        <w:t>and discussions</w:t>
      </w:r>
    </w:p>
    <w:p w14:paraId="29F5D531" w14:textId="08F7456E" w:rsidR="00B0296C" w:rsidRPr="009E4CF9" w:rsidRDefault="00284EFB" w:rsidP="00534CCE">
      <w:pPr>
        <w:pStyle w:val="Heading1"/>
        <w:keepLines w:val="0"/>
        <w:numPr>
          <w:ilvl w:val="1"/>
          <w:numId w:val="2"/>
        </w:numPr>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r w:rsidRPr="009E4CF9">
        <w:rPr>
          <w:rFonts w:ascii="Cambria" w:eastAsia="Times New Roman" w:hAnsi="Cambria" w:cs="Arial"/>
          <w:b/>
          <w:bCs/>
          <w:color w:val="auto"/>
          <w:kern w:val="32"/>
          <w:sz w:val="24"/>
          <w:szCs w:val="24"/>
          <w:lang w:val="en-GB" w:eastAsia="en-GB"/>
          <w14:ligatures w14:val="none"/>
        </w:rPr>
        <w:t xml:space="preserve">Data </w:t>
      </w:r>
      <w:r w:rsidR="00C76AF6">
        <w:rPr>
          <w:rFonts w:ascii="Cambria" w:eastAsia="Times New Roman" w:hAnsi="Cambria" w:cs="Arial"/>
          <w:b/>
          <w:bCs/>
          <w:color w:val="auto"/>
          <w:kern w:val="32"/>
          <w:sz w:val="24"/>
          <w:szCs w:val="24"/>
          <w:lang w:val="en-GB" w:eastAsia="en-GB"/>
          <w14:ligatures w14:val="none"/>
        </w:rPr>
        <w:t>analysis</w:t>
      </w:r>
      <w:r w:rsidR="00B0296C" w:rsidRPr="009E4CF9">
        <w:rPr>
          <w:rFonts w:ascii="Cambria" w:eastAsia="Times New Roman" w:hAnsi="Cambria" w:cs="Arial"/>
          <w:b/>
          <w:bCs/>
          <w:color w:val="auto"/>
          <w:kern w:val="32"/>
          <w:sz w:val="24"/>
          <w:szCs w:val="24"/>
          <w:lang w:val="en-GB" w:eastAsia="en-GB"/>
          <w14:ligatures w14:val="none"/>
        </w:rPr>
        <w:t xml:space="preserve"> </w:t>
      </w:r>
    </w:p>
    <w:p w14:paraId="3E1445DD" w14:textId="00DFF290" w:rsidR="009E4CF9" w:rsidRDefault="00FA1231" w:rsidP="00FA1231">
      <w:pPr>
        <w:ind w:firstLine="360"/>
        <w:jc w:val="both"/>
      </w:pPr>
      <w:r>
        <w:rPr>
          <w:b/>
          <w:bCs/>
          <w:noProof/>
        </w:rPr>
        <mc:AlternateContent>
          <mc:Choice Requires="wpg">
            <w:drawing>
              <wp:anchor distT="0" distB="0" distL="114300" distR="114300" simplePos="0" relativeHeight="251671552" behindDoc="0" locked="0" layoutInCell="1" allowOverlap="1" wp14:anchorId="6CFD91B7" wp14:editId="164FCD92">
                <wp:simplePos x="0" y="0"/>
                <wp:positionH relativeFrom="column">
                  <wp:posOffset>31750</wp:posOffset>
                </wp:positionH>
                <wp:positionV relativeFrom="paragraph">
                  <wp:posOffset>1598295</wp:posOffset>
                </wp:positionV>
                <wp:extent cx="5812155" cy="2083435"/>
                <wp:effectExtent l="0" t="0" r="17145" b="12065"/>
                <wp:wrapTopAndBottom/>
                <wp:docPr id="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155" cy="2083435"/>
                          <a:chOff x="1491" y="2563"/>
                          <a:chExt cx="9153" cy="3281"/>
                        </a:xfrm>
                      </wpg:grpSpPr>
                      <wpg:grpSp>
                        <wpg:cNvPr id="2" name="Group 23"/>
                        <wpg:cNvGrpSpPr>
                          <a:grpSpLocks/>
                        </wpg:cNvGrpSpPr>
                        <wpg:grpSpPr bwMode="auto">
                          <a:xfrm>
                            <a:off x="1491" y="2563"/>
                            <a:ext cx="4341" cy="3281"/>
                            <a:chOff x="1491" y="2563"/>
                            <a:chExt cx="4341" cy="3281"/>
                          </a:xfrm>
                        </wpg:grpSpPr>
                        <wps:wsp>
                          <wps:cNvPr id="3" name="Rectangle 9"/>
                          <wps:cNvSpPr>
                            <a:spLocks noChangeArrowheads="1"/>
                          </wps:cNvSpPr>
                          <wps:spPr bwMode="auto">
                            <a:xfrm>
                              <a:off x="1491" y="2563"/>
                              <a:ext cx="4341" cy="328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4E13938" w14:textId="70FEE51D" w:rsidR="005D1DE0" w:rsidRDefault="005D1DE0"/>
                              <w:p w14:paraId="7DA86BFD" w14:textId="4143BCD3" w:rsidR="005D1DE0" w:rsidRDefault="005D1DE0"/>
                              <w:p w14:paraId="5EAFC47D" w14:textId="77777777" w:rsidR="005D1DE0" w:rsidRDefault="005D1DE0"/>
                              <w:p w14:paraId="7932830A" w14:textId="77777777" w:rsidR="005D1DE0" w:rsidRDefault="005D1DE0"/>
                              <w:p w14:paraId="4693E286" w14:textId="77777777" w:rsidR="005D1DE0" w:rsidRDefault="005D1DE0"/>
                              <w:p w14:paraId="0F8CC60D" w14:textId="77777777" w:rsidR="005D1DE0" w:rsidRDefault="005D1DE0"/>
                              <w:p w14:paraId="7BEB013C" w14:textId="77777777" w:rsidR="005D1DE0" w:rsidRDefault="005D1DE0"/>
                              <w:p w14:paraId="2F2082CC" w14:textId="77777777" w:rsidR="005D1DE0" w:rsidRDefault="005D1DE0" w:rsidP="00D537F5"/>
                            </w:txbxContent>
                          </wps:txbx>
                          <wps:bodyPr rot="0" vert="horz" wrap="square" lIns="91440" tIns="45720" rIns="91440" bIns="45720" anchor="t" anchorCtr="0" upright="1">
                            <a:noAutofit/>
                          </wps:bodyPr>
                        </wps:wsp>
                        <wps:wsp>
                          <wps:cNvPr id="4" name="Rectangle 5"/>
                          <wps:cNvSpPr>
                            <a:spLocks noChangeArrowheads="1"/>
                          </wps:cNvSpPr>
                          <wps:spPr bwMode="auto">
                            <a:xfrm>
                              <a:off x="3852" y="2717"/>
                              <a:ext cx="1792" cy="1109"/>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30377A" w14:textId="077F8C07" w:rsidR="005D1DE0" w:rsidRDefault="005D1DE0" w:rsidP="00AD063F">
                                <w:pPr>
                                  <w:jc w:val="center"/>
                                </w:pPr>
                                <w:r>
                                  <w:t>MODIS Data</w:t>
                                </w:r>
                              </w:p>
                            </w:txbxContent>
                          </wps:txbx>
                          <wps:bodyPr rot="0" vert="horz" wrap="square" lIns="91440" tIns="45720" rIns="91440" bIns="45720" anchor="ctr" anchorCtr="0" upright="1">
                            <a:noAutofit/>
                          </wps:bodyPr>
                        </wps:wsp>
                        <wps:wsp>
                          <wps:cNvPr id="5" name="Rectangle 6"/>
                          <wps:cNvSpPr>
                            <a:spLocks noChangeArrowheads="1"/>
                          </wps:cNvSpPr>
                          <wps:spPr bwMode="auto">
                            <a:xfrm>
                              <a:off x="3852" y="3991"/>
                              <a:ext cx="1792" cy="1109"/>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55523D" w14:textId="5F5B6DBC" w:rsidR="005D1DE0" w:rsidRDefault="005D1DE0" w:rsidP="00880D02">
                                <w:pPr>
                                  <w:jc w:val="center"/>
                                </w:pPr>
                                <w:r>
                                  <w:t>WaPOR Data</w:t>
                                </w:r>
                              </w:p>
                            </w:txbxContent>
                          </wps:txbx>
                          <wps:bodyPr rot="0" vert="horz" wrap="square" lIns="91440" tIns="45720" rIns="91440" bIns="45720" anchor="ctr" anchorCtr="0" upright="1">
                            <a:noAutofit/>
                          </wps:bodyPr>
                        </wps:wsp>
                        <wps:wsp>
                          <wps:cNvPr id="6" name="Rectangle 8"/>
                          <wps:cNvSpPr>
                            <a:spLocks noChangeArrowheads="1"/>
                          </wps:cNvSpPr>
                          <wps:spPr bwMode="auto">
                            <a:xfrm>
                              <a:off x="1714" y="3266"/>
                              <a:ext cx="1792" cy="72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B9512A" w14:textId="7B80C95D" w:rsidR="005D1DE0" w:rsidRDefault="005D1DE0" w:rsidP="00D537F5">
                                <w:pPr>
                                  <w:spacing w:after="0" w:line="240" w:lineRule="auto"/>
                                  <w:jc w:val="center"/>
                                </w:pPr>
                                <w:r>
                                  <w:t>Area of Interest (AOI)</w:t>
                                </w:r>
                              </w:p>
                            </w:txbxContent>
                          </wps:txbx>
                          <wps:bodyPr rot="0" vert="horz" wrap="square" lIns="91440" tIns="45720" rIns="91440" bIns="45720" anchor="t" anchorCtr="0" upright="1">
                            <a:noAutofit/>
                          </wps:bodyPr>
                        </wps:wsp>
                      </wpg:grpSp>
                      <wpg:grpSp>
                        <wpg:cNvPr id="7" name="Group 20"/>
                        <wpg:cNvGrpSpPr>
                          <a:grpSpLocks/>
                        </wpg:cNvGrpSpPr>
                        <wpg:grpSpPr bwMode="auto">
                          <a:xfrm>
                            <a:off x="8510" y="2563"/>
                            <a:ext cx="2134" cy="3281"/>
                            <a:chOff x="8510" y="2563"/>
                            <a:chExt cx="2134" cy="3281"/>
                          </a:xfrm>
                        </wpg:grpSpPr>
                        <wps:wsp>
                          <wps:cNvPr id="8" name="Rectangle 7"/>
                          <wps:cNvSpPr>
                            <a:spLocks noChangeArrowheads="1"/>
                          </wps:cNvSpPr>
                          <wps:spPr bwMode="auto">
                            <a:xfrm>
                              <a:off x="8510" y="2563"/>
                              <a:ext cx="2134" cy="3281"/>
                            </a:xfrm>
                            <a:prstGeom prst="rect">
                              <a:avLst/>
                            </a:prstGeom>
                            <a:solidFill>
                              <a:schemeClr val="lt1">
                                <a:lumMod val="100000"/>
                                <a:lumOff val="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D7F7A3" w14:textId="37FE95CD" w:rsidR="005D1DE0" w:rsidRDefault="005D1DE0" w:rsidP="00880D02">
                                <w:pPr>
                                  <w:jc w:val="center"/>
                                </w:pPr>
                                <w:r>
                                  <w:t>In-Situ Data</w:t>
                                </w:r>
                              </w:p>
                            </w:txbxContent>
                          </wps:txbx>
                          <wps:bodyPr rot="0" vert="horz" wrap="square" lIns="91440" tIns="45720" rIns="91440" bIns="45720" anchor="t" anchorCtr="0" upright="1">
                            <a:noAutofit/>
                          </wps:bodyPr>
                        </wps:wsp>
                        <wps:wsp>
                          <wps:cNvPr id="9" name="Rectangle 10"/>
                          <wps:cNvSpPr>
                            <a:spLocks noChangeArrowheads="1"/>
                          </wps:cNvSpPr>
                          <wps:spPr bwMode="auto">
                            <a:xfrm>
                              <a:off x="8684" y="3266"/>
                              <a:ext cx="1792" cy="1114"/>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E95A6C" w14:textId="71D6AA39" w:rsidR="005D1DE0" w:rsidRDefault="005D1DE0" w:rsidP="00D537F5">
                                <w:pPr>
                                  <w:jc w:val="center"/>
                                </w:pPr>
                                <w:r>
                                  <w:t>Clustering sum of each eight-days</w:t>
                                </w:r>
                              </w:p>
                            </w:txbxContent>
                          </wps:txbx>
                          <wps:bodyPr rot="0" vert="horz" wrap="square" lIns="91440" tIns="45720" rIns="91440" bIns="45720" anchor="t" anchorCtr="0" upright="1">
                            <a:noAutofit/>
                          </wps:bodyPr>
                        </wps:wsp>
                        <wps:wsp>
                          <wps:cNvPr id="10" name="Rectangle 12"/>
                          <wps:cNvSpPr>
                            <a:spLocks noChangeArrowheads="1"/>
                          </wps:cNvSpPr>
                          <wps:spPr bwMode="auto">
                            <a:xfrm>
                              <a:off x="8684" y="4535"/>
                              <a:ext cx="1792" cy="1114"/>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C55719" w14:textId="5CA718AA" w:rsidR="005D1DE0" w:rsidRDefault="005D1DE0" w:rsidP="00D537F5">
                                <w:pPr>
                                  <w:jc w:val="center"/>
                                </w:pPr>
                                <w:r>
                                  <w:t>Clustering average of each ten-days</w:t>
                                </w:r>
                              </w:p>
                            </w:txbxContent>
                          </wps:txbx>
                          <wps:bodyPr rot="0" vert="horz" wrap="square" lIns="91440" tIns="45720" rIns="91440" bIns="45720" anchor="t" anchorCtr="0" upright="1">
                            <a:noAutofit/>
                          </wps:bodyPr>
                        </wps:wsp>
                      </wpg:grpSp>
                      <wpg:grpSp>
                        <wpg:cNvPr id="11" name="Group 24"/>
                        <wpg:cNvGrpSpPr>
                          <a:grpSpLocks/>
                        </wpg:cNvGrpSpPr>
                        <wpg:grpSpPr bwMode="auto">
                          <a:xfrm>
                            <a:off x="5931" y="2563"/>
                            <a:ext cx="2470" cy="3281"/>
                            <a:chOff x="5931" y="2563"/>
                            <a:chExt cx="2470" cy="3281"/>
                          </a:xfrm>
                        </wpg:grpSpPr>
                        <wps:wsp>
                          <wps:cNvPr id="12" name="Rectangle 11"/>
                          <wps:cNvSpPr>
                            <a:spLocks noChangeArrowheads="1"/>
                          </wps:cNvSpPr>
                          <wps:spPr bwMode="auto">
                            <a:xfrm>
                              <a:off x="5931" y="2563"/>
                              <a:ext cx="2470" cy="328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ED6F21A" w14:textId="58765C6B" w:rsidR="005D1DE0" w:rsidRDefault="005D1DE0" w:rsidP="00D537F5">
                                <w:pPr>
                                  <w:jc w:val="center"/>
                                </w:pPr>
                              </w:p>
                              <w:p w14:paraId="48615D4B" w14:textId="77777777" w:rsidR="005D1DE0" w:rsidRDefault="005D1DE0" w:rsidP="00D537F5">
                                <w:pPr>
                                  <w:jc w:val="center"/>
                                </w:pPr>
                              </w:p>
                              <w:p w14:paraId="50FB2A1E" w14:textId="77777777" w:rsidR="005D1DE0" w:rsidRDefault="005D1DE0" w:rsidP="00D537F5">
                                <w:pPr>
                                  <w:jc w:val="center"/>
                                </w:pPr>
                              </w:p>
                              <w:p w14:paraId="5BEA3FC5" w14:textId="77777777" w:rsidR="005D1DE0" w:rsidRDefault="005D1DE0" w:rsidP="00D537F5">
                                <w:pPr>
                                  <w:jc w:val="center"/>
                                </w:pPr>
                              </w:p>
                              <w:p w14:paraId="64CF0A7D" w14:textId="77777777" w:rsidR="005D1DE0" w:rsidRDefault="005D1DE0" w:rsidP="00D537F5">
                                <w:pPr>
                                  <w:jc w:val="center"/>
                                </w:pPr>
                              </w:p>
                              <w:p w14:paraId="1E89EDCF" w14:textId="77777777" w:rsidR="005D1DE0" w:rsidRDefault="005D1DE0" w:rsidP="00D537F5">
                                <w:pPr>
                                  <w:jc w:val="center"/>
                                </w:pPr>
                              </w:p>
                              <w:p w14:paraId="34AD26DD" w14:textId="2C74E981" w:rsidR="005D1DE0" w:rsidRDefault="005D1DE0" w:rsidP="00D537F5">
                                <w:pPr>
                                  <w:jc w:val="center"/>
                                </w:pPr>
                                <w:r>
                                  <w:t>Extracted tabular data</w:t>
                                </w:r>
                              </w:p>
                            </w:txbxContent>
                          </wps:txbx>
                          <wps:bodyPr rot="0" vert="horz" wrap="square" lIns="91440" tIns="45720" rIns="91440" bIns="45720" anchor="t" anchorCtr="0" upright="1">
                            <a:noAutofit/>
                          </wps:bodyPr>
                        </wps:wsp>
                        <wps:wsp>
                          <wps:cNvPr id="13" name="Rectangle 21"/>
                          <wps:cNvSpPr>
                            <a:spLocks noChangeArrowheads="1"/>
                          </wps:cNvSpPr>
                          <wps:spPr bwMode="auto">
                            <a:xfrm>
                              <a:off x="6276" y="2717"/>
                              <a:ext cx="1792" cy="1109"/>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A80C1" w14:textId="77777777" w:rsidR="005D1DE0" w:rsidRDefault="005D1DE0" w:rsidP="00AD063F">
                                <w:pPr>
                                  <w:jc w:val="center"/>
                                </w:pPr>
                                <w:r>
                                  <w:t>MODIS Data</w:t>
                                </w:r>
                              </w:p>
                            </w:txbxContent>
                          </wps:txbx>
                          <wps:bodyPr rot="0" vert="horz" wrap="square" lIns="91440" tIns="45720" rIns="91440" bIns="45720" anchor="ctr" anchorCtr="0" upright="1">
                            <a:noAutofit/>
                          </wps:bodyPr>
                        </wps:wsp>
                        <wps:wsp>
                          <wps:cNvPr id="14" name="Rectangle 22"/>
                          <wps:cNvSpPr>
                            <a:spLocks noChangeArrowheads="1"/>
                          </wps:cNvSpPr>
                          <wps:spPr bwMode="auto">
                            <a:xfrm>
                              <a:off x="6276" y="3991"/>
                              <a:ext cx="1792" cy="1109"/>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64CA2D" w14:textId="77777777" w:rsidR="005D1DE0" w:rsidRDefault="005D1DE0" w:rsidP="00AD063F">
                                <w:pPr>
                                  <w:jc w:val="center"/>
                                </w:pPr>
                                <w:r>
                                  <w:t>WaPOR Data</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FD91B7" id="Group 25" o:spid="_x0000_s1028" style="position:absolute;left:0;text-align:left;margin-left:2.5pt;margin-top:125.85pt;width:457.65pt;height:164.05pt;z-index:251671552" coordorigin="1491,2563" coordsize="9153,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">
                <v:group id="Group 23" o:spid="_x0000_s1029" style="position:absolute;left:1491;top:2563;width:4341;height:3281" coordorigin="1491,2563" coordsize="4341,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9" o:spid="_x0000_s1030" style="position:absolute;left:1491;top:2563;width:434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" filled="f">
                    <v:stroke dashstyle="dash"/>
                    <v:textbox>
                      <w:txbxContent>
                        <w:p w14:paraId="44E13938" w14:textId="70FEE51D" w:rsidR="005D1DE0" w:rsidRDefault="005D1DE0"/>
                        <w:p w14:paraId="7DA86BFD" w14:textId="4143BCD3" w:rsidR="005D1DE0" w:rsidRDefault="005D1DE0"/>
                        <w:p w14:paraId="5EAFC47D" w14:textId="77777777" w:rsidR="005D1DE0" w:rsidRDefault="005D1DE0"/>
                        <w:p w14:paraId="7932830A" w14:textId="77777777" w:rsidR="005D1DE0" w:rsidRDefault="005D1DE0"/>
                        <w:p w14:paraId="4693E286" w14:textId="77777777" w:rsidR="005D1DE0" w:rsidRDefault="005D1DE0"/>
                        <w:p w14:paraId="0F8CC60D" w14:textId="77777777" w:rsidR="005D1DE0" w:rsidRDefault="005D1DE0"/>
                        <w:p w14:paraId="7BEB013C" w14:textId="77777777" w:rsidR="005D1DE0" w:rsidRDefault="005D1DE0"/>
                        <w:p w14:paraId="2F2082CC" w14:textId="77777777" w:rsidR="005D1DE0" w:rsidRDefault="005D1DE0" w:rsidP="00D537F5"/>
                      </w:txbxContent>
                    </v:textbox>
                  </v:rect>
                  <v:rect id="Rectangle 5" o:spid="_x0000_s1031" style="position:absolute;left:3852;top:2717;width:1792;height: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" fillcolor="white [3201]" strokecolor="#156082 [3204]" strokeweight="2.5pt">
                    <v:shadow color="#868686"/>
                    <v:textbox>
                      <w:txbxContent>
                        <w:p w14:paraId="2530377A" w14:textId="077F8C07" w:rsidR="005D1DE0" w:rsidRDefault="005D1DE0" w:rsidP="00AD063F">
                          <w:pPr>
                            <w:jc w:val="center"/>
                          </w:pPr>
                          <w:r>
                            <w:t>MODIS Data</w:t>
                          </w:r>
                        </w:p>
                      </w:txbxContent>
                    </v:textbox>
                  </v:rect>
                  <v:rect id="Rectangle 6" o:spid="_x0000_s1032" style="position:absolute;left:3852;top:3991;width:1792;height: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" fillcolor="white [3201]" strokecolor="#156082 [3204]" strokeweight="2.5pt">
                    <v:shadow color="#868686"/>
                    <v:textbox>
                      <w:txbxContent>
                        <w:p w14:paraId="7755523D" w14:textId="5F5B6DBC" w:rsidR="005D1DE0" w:rsidRDefault="005D1DE0" w:rsidP="00880D02">
                          <w:pPr>
                            <w:jc w:val="center"/>
                          </w:pPr>
                          <w:r>
                            <w:t>WaPOR Data</w:t>
                          </w:r>
                        </w:p>
                      </w:txbxContent>
                    </v:textbox>
                  </v:rect>
                  <v:rect id="Rectangle 8" o:spid="_x0000_s1033" style="position:absolute;left:1714;top:3266;width:179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" fillcolor="white [3201]" strokecolor="#156082 [3204]" strokeweight="2.5pt">
                    <v:shadow color="#868686"/>
                    <v:textbox>
                      <w:txbxContent>
                        <w:p w14:paraId="5DB9512A" w14:textId="7B80C95D" w:rsidR="005D1DE0" w:rsidRDefault="005D1DE0" w:rsidP="00D537F5">
                          <w:pPr>
                            <w:spacing w:after="0" w:line="240" w:lineRule="auto"/>
                            <w:jc w:val="center"/>
                          </w:pPr>
                          <w:r>
                            <w:t>Area of Interest (AOI)</w:t>
                          </w:r>
                        </w:p>
                      </w:txbxContent>
                    </v:textbox>
                  </v:rect>
                </v:group>
                <v:group id="Group 20" o:spid="_x0000_s1034" style="position:absolute;left:8510;top:2563;width:2134;height:3281" coordorigin="8510,2563" coordsize="213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7" o:spid="_x0000_s1035" style="position:absolute;left:8510;top:2563;width:2134;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" fillcolor="white [3201]" strokecolor="#156082 [3204]" strokeweight="1pt">
                    <v:stroke dashstyle="dash"/>
                    <v:shadow color="#868686"/>
                    <v:textbox>
                      <w:txbxContent>
                        <w:p w14:paraId="23D7F7A3" w14:textId="37FE95CD" w:rsidR="005D1DE0" w:rsidRDefault="005D1DE0" w:rsidP="00880D02">
                          <w:pPr>
                            <w:jc w:val="center"/>
                          </w:pPr>
                          <w:r>
                            <w:t>In-Situ Data</w:t>
                          </w:r>
                        </w:p>
                      </w:txbxContent>
                    </v:textbox>
                  </v:rect>
                  <v:rect id="Rectangle 10" o:spid="_x0000_s1036" style="position:absolute;left:8684;top:3266;width:1792;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" fillcolor="white [3201]" strokecolor="#156082 [3204]" strokeweight="2.5pt">
                    <v:shadow color="#868686"/>
                    <v:textbox>
                      <w:txbxContent>
                        <w:p w14:paraId="51E95A6C" w14:textId="71D6AA39" w:rsidR="005D1DE0" w:rsidRDefault="005D1DE0" w:rsidP="00D537F5">
                          <w:pPr>
                            <w:jc w:val="center"/>
                          </w:pPr>
                          <w:r>
                            <w:t>Clustering sum of each eight-days</w:t>
                          </w:r>
                        </w:p>
                      </w:txbxContent>
                    </v:textbox>
                  </v:rect>
                  <v:rect id="Rectangle 12" o:spid="_x0000_s1037" style="position:absolute;left:8684;top:4535;width:1792;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" fillcolor="white [3201]" strokecolor="#156082 [3204]" strokeweight="2.5pt">
                    <v:shadow color="#868686"/>
                    <v:textbox>
                      <w:txbxContent>
                        <w:p w14:paraId="6EC55719" w14:textId="5CA718AA" w:rsidR="005D1DE0" w:rsidRDefault="005D1DE0" w:rsidP="00D537F5">
                          <w:pPr>
                            <w:jc w:val="center"/>
                          </w:pPr>
                          <w:r>
                            <w:t>Clustering average of each ten-days</w:t>
                          </w:r>
                        </w:p>
                      </w:txbxContent>
                    </v:textbox>
                  </v:rect>
                </v:group>
                <v:group id="Group 24" o:spid="_x0000_s1038" style="position:absolute;left:5931;top:2563;width:2470;height:3281" coordorigin="5931,2563" coordsize="2470,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1" o:spid="_x0000_s1039" style="position:absolute;left:5931;top:2563;width:247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" filled="f">
                    <v:stroke dashstyle="dash"/>
                    <v:textbox>
                      <w:txbxContent>
                        <w:p w14:paraId="7ED6F21A" w14:textId="58765C6B" w:rsidR="005D1DE0" w:rsidRDefault="005D1DE0" w:rsidP="00D537F5">
                          <w:pPr>
                            <w:jc w:val="center"/>
                          </w:pPr>
                        </w:p>
                        <w:p w14:paraId="48615D4B" w14:textId="77777777" w:rsidR="005D1DE0" w:rsidRDefault="005D1DE0" w:rsidP="00D537F5">
                          <w:pPr>
                            <w:jc w:val="center"/>
                          </w:pPr>
                        </w:p>
                        <w:p w14:paraId="50FB2A1E" w14:textId="77777777" w:rsidR="005D1DE0" w:rsidRDefault="005D1DE0" w:rsidP="00D537F5">
                          <w:pPr>
                            <w:jc w:val="center"/>
                          </w:pPr>
                        </w:p>
                        <w:p w14:paraId="5BEA3FC5" w14:textId="77777777" w:rsidR="005D1DE0" w:rsidRDefault="005D1DE0" w:rsidP="00D537F5">
                          <w:pPr>
                            <w:jc w:val="center"/>
                          </w:pPr>
                        </w:p>
                        <w:p w14:paraId="64CF0A7D" w14:textId="77777777" w:rsidR="005D1DE0" w:rsidRDefault="005D1DE0" w:rsidP="00D537F5">
                          <w:pPr>
                            <w:jc w:val="center"/>
                          </w:pPr>
                        </w:p>
                        <w:p w14:paraId="1E89EDCF" w14:textId="77777777" w:rsidR="005D1DE0" w:rsidRDefault="005D1DE0" w:rsidP="00D537F5">
                          <w:pPr>
                            <w:jc w:val="center"/>
                          </w:pPr>
                        </w:p>
                        <w:p w14:paraId="34AD26DD" w14:textId="2C74E981" w:rsidR="005D1DE0" w:rsidRDefault="005D1DE0" w:rsidP="00D537F5">
                          <w:pPr>
                            <w:jc w:val="center"/>
                          </w:pPr>
                          <w:r>
                            <w:t>Extracted tabular data</w:t>
                          </w:r>
                        </w:p>
                      </w:txbxContent>
                    </v:textbox>
                  </v:rect>
                  <v:rect id="Rectangle 21" o:spid="_x0000_s1040" style="position:absolute;left:6276;top:2717;width:1792;height: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" fillcolor="white [3201]" strokecolor="#156082 [3204]" strokeweight="2.5pt">
                    <v:shadow color="#868686"/>
                    <v:textbox>
                      <w:txbxContent>
                        <w:p w14:paraId="13CA80C1" w14:textId="77777777" w:rsidR="005D1DE0" w:rsidRDefault="005D1DE0" w:rsidP="00AD063F">
                          <w:pPr>
                            <w:jc w:val="center"/>
                          </w:pPr>
                          <w:r>
                            <w:t>MODIS Data</w:t>
                          </w:r>
                        </w:p>
                      </w:txbxContent>
                    </v:textbox>
                  </v:rect>
                  <v:rect id="Rectangle 22" o:spid="_x0000_s1041" style="position:absolute;left:6276;top:3991;width:1792;height: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" fillcolor="white [3201]" strokecolor="#156082 [3204]" strokeweight="2.5pt">
                    <v:shadow color="#868686"/>
                    <v:textbox>
                      <w:txbxContent>
                        <w:p w14:paraId="4864CA2D" w14:textId="77777777" w:rsidR="005D1DE0" w:rsidRDefault="005D1DE0" w:rsidP="00AD063F">
                          <w:pPr>
                            <w:jc w:val="center"/>
                          </w:pPr>
                          <w:r>
                            <w:t>WaPOR Data</w:t>
                          </w:r>
                        </w:p>
                      </w:txbxContent>
                    </v:textbox>
                  </v:rect>
                </v:group>
                <w10:wrap type="topAndBottom"/>
              </v:group>
            </w:pict>
          </mc:Fallback>
        </mc:AlternateContent>
      </w:r>
      <w:r w:rsidR="00880D02" w:rsidRPr="009E4CF9">
        <w:rPr>
          <w:rFonts w:asciiTheme="majorBidi" w:hAnsiTheme="majorBidi" w:cstheme="majorBidi"/>
          <w:sz w:val="24"/>
          <w:szCs w:val="24"/>
        </w:rPr>
        <w:t>In the MODIS16A2 dataset, pixel values in the Evapotranspiration (ET) layer represent cumulative evapotranspiration for each eight-day composite period</w:t>
      </w:r>
      <w:sdt>
        <w:sdtPr>
          <w:rPr>
            <w:rFonts w:asciiTheme="majorBidi" w:hAnsiTheme="majorBidi" w:cstheme="majorBidi"/>
            <w:sz w:val="24"/>
            <w:szCs w:val="24"/>
          </w:rPr>
          <w:id w:val="-1628391940"/>
          <w:citation/>
        </w:sdtPr>
        <w:sdtContent>
          <w:r w:rsidR="00880D02" w:rsidRPr="009E4CF9">
            <w:rPr>
              <w:rFonts w:asciiTheme="majorBidi" w:hAnsiTheme="majorBidi" w:cstheme="majorBidi"/>
              <w:sz w:val="24"/>
              <w:szCs w:val="24"/>
            </w:rPr>
            <w:fldChar w:fldCharType="begin"/>
          </w:r>
          <w:r w:rsidR="00880D02" w:rsidRPr="009E4CF9">
            <w:rPr>
              <w:rFonts w:asciiTheme="majorBidi" w:hAnsiTheme="majorBidi" w:cstheme="majorBidi"/>
              <w:sz w:val="24"/>
              <w:szCs w:val="24"/>
            </w:rPr>
            <w:instrText xml:space="preserve"> CITATION NAS13 \l 1033 </w:instrText>
          </w:r>
          <w:r w:rsidR="00880D02" w:rsidRPr="009E4CF9">
            <w:rPr>
              <w:rFonts w:asciiTheme="majorBidi" w:hAnsiTheme="majorBidi" w:cstheme="majorBidi"/>
              <w:sz w:val="24"/>
              <w:szCs w:val="24"/>
            </w:rPr>
            <w:fldChar w:fldCharType="separate"/>
          </w:r>
          <w:r w:rsidR="00880D02" w:rsidRPr="009E4CF9">
            <w:rPr>
              <w:rFonts w:asciiTheme="majorBidi" w:hAnsiTheme="majorBidi" w:cstheme="majorBidi"/>
              <w:noProof/>
              <w:sz w:val="24"/>
              <w:szCs w:val="24"/>
            </w:rPr>
            <w:t xml:space="preserve"> (NASA, 2013)</w:t>
          </w:r>
          <w:r w:rsidR="00880D02" w:rsidRPr="009E4CF9">
            <w:rPr>
              <w:rFonts w:asciiTheme="majorBidi" w:hAnsiTheme="majorBidi" w:cstheme="majorBidi"/>
              <w:sz w:val="24"/>
              <w:szCs w:val="24"/>
            </w:rPr>
            <w:fldChar w:fldCharType="end"/>
          </w:r>
        </w:sdtContent>
      </w:sdt>
      <w:r w:rsidR="00880D02" w:rsidRPr="009E4CF9">
        <w:rPr>
          <w:rFonts w:asciiTheme="majorBidi" w:hAnsiTheme="majorBidi" w:cstheme="majorBidi"/>
          <w:sz w:val="24"/>
          <w:szCs w:val="24"/>
        </w:rPr>
        <w:t xml:space="preserve">. To align with this, the measured data was clustered into eight-day groups, and the total for each period was calculated for comparison. Similarly, </w:t>
      </w:r>
      <w:proofErr w:type="spellStart"/>
      <w:r w:rsidR="00880D02" w:rsidRPr="009E4CF9">
        <w:rPr>
          <w:rFonts w:asciiTheme="majorBidi" w:hAnsiTheme="majorBidi" w:cstheme="majorBidi"/>
          <w:sz w:val="24"/>
          <w:szCs w:val="24"/>
        </w:rPr>
        <w:t>WaPOR</w:t>
      </w:r>
      <w:proofErr w:type="spellEnd"/>
      <w:r w:rsidR="00880D02" w:rsidRPr="009E4CF9">
        <w:rPr>
          <w:rFonts w:asciiTheme="majorBidi" w:hAnsiTheme="majorBidi" w:cstheme="majorBidi"/>
          <w:sz w:val="24"/>
          <w:szCs w:val="24"/>
        </w:rPr>
        <w:t xml:space="preserve"> data provides pixel values representing a 10-day average. To facilitate comparison with ground measurements, a pre-analysis was conducted to calculate the sum over eight days for MODIS data and the 10-day average for </w:t>
      </w:r>
      <w:proofErr w:type="spellStart"/>
      <w:r w:rsidR="00880D02" w:rsidRPr="009E4CF9">
        <w:rPr>
          <w:rFonts w:asciiTheme="majorBidi" w:hAnsiTheme="majorBidi" w:cstheme="majorBidi"/>
          <w:sz w:val="24"/>
          <w:szCs w:val="24"/>
        </w:rPr>
        <w:t>WaPOR</w:t>
      </w:r>
      <w:proofErr w:type="spellEnd"/>
      <w:r w:rsidR="00880D02" w:rsidRPr="009E4CF9">
        <w:rPr>
          <w:rFonts w:asciiTheme="majorBidi" w:hAnsiTheme="majorBidi" w:cstheme="majorBidi"/>
          <w:sz w:val="24"/>
          <w:szCs w:val="24"/>
        </w:rPr>
        <w:t xml:space="preserve"> data, matching each dataset’s respective time intervals.</w:t>
      </w:r>
      <w:r w:rsidR="009E4CF9">
        <w:rPr>
          <w:rFonts w:asciiTheme="majorBidi" w:hAnsiTheme="majorBidi" w:cstheme="majorBidi"/>
          <w:sz w:val="24"/>
          <w:szCs w:val="24"/>
        </w:rPr>
        <w:t xml:space="preserve"> </w:t>
      </w:r>
      <w:r w:rsidR="009E4CF9" w:rsidRPr="009E4CF9">
        <w:rPr>
          <w:rFonts w:asciiTheme="majorBidi" w:hAnsiTheme="majorBidi" w:cstheme="majorBidi"/>
          <w:sz w:val="24"/>
          <w:szCs w:val="24"/>
        </w:rPr>
        <w:t xml:space="preserve">Available dates from the MODIS and </w:t>
      </w:r>
      <w:proofErr w:type="spellStart"/>
      <w:r w:rsidR="009E4CF9" w:rsidRPr="009E4CF9">
        <w:rPr>
          <w:rFonts w:asciiTheme="majorBidi" w:hAnsiTheme="majorBidi" w:cstheme="majorBidi"/>
          <w:sz w:val="24"/>
          <w:szCs w:val="24"/>
        </w:rPr>
        <w:t>WaPOR</w:t>
      </w:r>
      <w:proofErr w:type="spellEnd"/>
      <w:r w:rsidR="009E4CF9" w:rsidRPr="009E4CF9">
        <w:rPr>
          <w:rFonts w:asciiTheme="majorBidi" w:hAnsiTheme="majorBidi" w:cstheme="majorBidi"/>
          <w:sz w:val="24"/>
          <w:szCs w:val="24"/>
        </w:rPr>
        <w:t xml:space="preserve"> datasets were extracted in Google Earth Engine (GEE) for the specified area of interest.</w:t>
      </w:r>
    </w:p>
    <w:p w14:paraId="456CE0BF" w14:textId="3B6A7D28" w:rsidR="002D3F5C" w:rsidRPr="00534CCE" w:rsidRDefault="002D3F5C" w:rsidP="00534CCE">
      <w:pPr>
        <w:pStyle w:val="Heading1"/>
        <w:keepLines w:val="0"/>
        <w:numPr>
          <w:ilvl w:val="2"/>
          <w:numId w:val="2"/>
        </w:numPr>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r w:rsidRPr="00534CCE">
        <w:rPr>
          <w:rFonts w:ascii="Cambria" w:eastAsia="Times New Roman" w:hAnsi="Cambria" w:cs="Arial"/>
          <w:b/>
          <w:bCs/>
          <w:color w:val="auto"/>
          <w:kern w:val="32"/>
          <w:sz w:val="24"/>
          <w:szCs w:val="24"/>
          <w:lang w:val="en-GB" w:eastAsia="en-GB"/>
          <w14:ligatures w14:val="none"/>
        </w:rPr>
        <w:t>MODIS16A2 vs In-Situ Data</w:t>
      </w:r>
    </w:p>
    <w:p w14:paraId="510EF416" w14:textId="4C8206DC" w:rsidR="002D3F5C" w:rsidRDefault="002D3F5C" w:rsidP="00FA1231">
      <w:pPr>
        <w:pStyle w:val="Heading1"/>
        <w:keepLines w:val="0"/>
        <w:spacing w:before="0" w:after="0" w:line="240" w:lineRule="auto"/>
        <w:ind w:right="567" w:firstLine="360"/>
        <w:contextualSpacing/>
        <w:rPr>
          <w:rFonts w:ascii="Cambria" w:eastAsia="Times New Roman" w:hAnsi="Cambria" w:cs="Arial"/>
          <w:b/>
          <w:bCs/>
          <w:color w:val="auto"/>
          <w:kern w:val="32"/>
          <w:sz w:val="24"/>
          <w:szCs w:val="24"/>
          <w:lang w:val="en-GB" w:eastAsia="en-GB"/>
          <w14:ligatures w14:val="none"/>
        </w:rPr>
      </w:pPr>
      <w:r w:rsidRPr="002D3F5C">
        <w:rPr>
          <w:rFonts w:ascii="Cambria" w:eastAsia="Times New Roman" w:hAnsi="Cambria" w:cs="Arial"/>
          <w:b/>
          <w:bCs/>
          <w:color w:val="auto"/>
          <w:kern w:val="32"/>
          <w:sz w:val="24"/>
          <w:szCs w:val="24"/>
          <w:lang w:val="en-GB" w:eastAsia="en-GB"/>
          <w14:ligatures w14:val="none"/>
        </w:rPr>
        <w:t>Winter 2019/2020</w:t>
      </w:r>
      <w:r w:rsidR="0064554E">
        <w:rPr>
          <w:rFonts w:ascii="Cambria" w:eastAsia="Times New Roman" w:hAnsi="Cambria" w:cs="Arial"/>
          <w:b/>
          <w:bCs/>
          <w:color w:val="auto"/>
          <w:kern w:val="32"/>
          <w:sz w:val="24"/>
          <w:szCs w:val="24"/>
          <w:lang w:val="en-GB" w:eastAsia="en-GB"/>
          <w14:ligatures w14:val="none"/>
        </w:rPr>
        <w:t xml:space="preserve"> - Wheat</w:t>
      </w:r>
    </w:p>
    <w:p w14:paraId="17923983" w14:textId="20A19C78" w:rsidR="009F7B6E" w:rsidRPr="00FA1231" w:rsidRDefault="009F7B6E" w:rsidP="00FA1231">
      <w:pPr>
        <w:ind w:firstLine="360"/>
        <w:rPr>
          <w:rFonts w:asciiTheme="majorBidi" w:hAnsiTheme="majorBidi" w:cstheme="majorBidi"/>
          <w:sz w:val="24"/>
          <w:szCs w:val="24"/>
        </w:rPr>
      </w:pPr>
      <w:bookmarkStart w:id="15" w:name="_Toc182606018"/>
      <w:r w:rsidRPr="00FA1231">
        <w:rPr>
          <w:rFonts w:asciiTheme="majorBidi" w:hAnsiTheme="majorBidi" w:cstheme="majorBidi"/>
          <w:sz w:val="24"/>
          <w:szCs w:val="24"/>
        </w:rPr>
        <w:t>For MODIS16A2 data and in-situ data</w:t>
      </w:r>
      <w:r w:rsidR="00616082" w:rsidRPr="00FA1231">
        <w:rPr>
          <w:rFonts w:asciiTheme="majorBidi" w:hAnsiTheme="majorBidi" w:cstheme="majorBidi"/>
          <w:sz w:val="24"/>
          <w:szCs w:val="24"/>
        </w:rPr>
        <w:t xml:space="preserve"> in winter 2019/2020</w:t>
      </w:r>
      <w:r w:rsidRPr="00FA1231">
        <w:rPr>
          <w:rFonts w:asciiTheme="majorBidi" w:hAnsiTheme="majorBidi" w:cstheme="majorBidi"/>
          <w:sz w:val="24"/>
          <w:szCs w:val="24"/>
        </w:rPr>
        <w:t>, the results show similar trend except 1</w:t>
      </w:r>
      <w:r w:rsidRPr="00FA1231">
        <w:rPr>
          <w:rFonts w:asciiTheme="majorBidi" w:hAnsiTheme="majorBidi" w:cstheme="majorBidi"/>
          <w:sz w:val="24"/>
          <w:szCs w:val="24"/>
          <w:vertAlign w:val="superscript"/>
        </w:rPr>
        <w:t>st</w:t>
      </w:r>
      <w:r w:rsidRPr="00FA1231">
        <w:rPr>
          <w:rFonts w:asciiTheme="majorBidi" w:hAnsiTheme="majorBidi" w:cstheme="majorBidi"/>
          <w:sz w:val="24"/>
          <w:szCs w:val="24"/>
        </w:rPr>
        <w:t xml:space="preserve"> Jan’s record which is almost identical between two datasets as shown in </w:t>
      </w:r>
      <w:r w:rsidR="00E24896" w:rsidRPr="00FA1231">
        <w:rPr>
          <w:rFonts w:asciiTheme="majorBidi" w:hAnsiTheme="majorBidi" w:cstheme="majorBidi"/>
          <w:sz w:val="24"/>
          <w:szCs w:val="24"/>
        </w:rPr>
        <w:fldChar w:fldCharType="begin"/>
      </w:r>
      <w:r w:rsidR="00E24896" w:rsidRPr="00FA1231">
        <w:rPr>
          <w:rFonts w:asciiTheme="majorBidi" w:hAnsiTheme="majorBidi" w:cstheme="majorBidi"/>
          <w:sz w:val="24"/>
          <w:szCs w:val="24"/>
        </w:rPr>
        <w:instrText xml:space="preserve"> REF _Ref182606099 \h </w:instrText>
      </w:r>
      <w:r w:rsidR="00FA1231" w:rsidRPr="00FA1231">
        <w:rPr>
          <w:rFonts w:asciiTheme="majorBidi" w:hAnsiTheme="majorBidi" w:cstheme="majorBidi"/>
          <w:sz w:val="24"/>
          <w:szCs w:val="24"/>
        </w:rPr>
        <w:instrText xml:space="preserve"> \* MERGEFORMAT </w:instrText>
      </w:r>
      <w:r w:rsidR="00E24896" w:rsidRPr="00FA1231">
        <w:rPr>
          <w:rFonts w:asciiTheme="majorBidi" w:hAnsiTheme="majorBidi" w:cstheme="majorBidi"/>
          <w:sz w:val="24"/>
          <w:szCs w:val="24"/>
        </w:rPr>
      </w:r>
      <w:r w:rsidR="00E24896" w:rsidRPr="00FA1231">
        <w:rPr>
          <w:rFonts w:asciiTheme="majorBidi" w:hAnsiTheme="majorBidi" w:cstheme="majorBidi"/>
          <w:sz w:val="24"/>
          <w:szCs w:val="24"/>
        </w:rPr>
        <w:fldChar w:fldCharType="separate"/>
      </w:r>
      <w:r w:rsidR="00495817" w:rsidRPr="00FA1231">
        <w:rPr>
          <w:rFonts w:asciiTheme="majorBidi" w:hAnsiTheme="majorBidi" w:cstheme="majorBidi"/>
          <w:sz w:val="24"/>
          <w:szCs w:val="24"/>
        </w:rPr>
        <w:t xml:space="preserve">Figure </w:t>
      </w:r>
      <w:r w:rsidR="00495817" w:rsidRPr="00FA1231">
        <w:rPr>
          <w:rFonts w:asciiTheme="majorBidi" w:hAnsiTheme="majorBidi" w:cstheme="majorBidi"/>
          <w:noProof/>
          <w:sz w:val="24"/>
          <w:szCs w:val="24"/>
        </w:rPr>
        <w:t>7</w:t>
      </w:r>
      <w:r w:rsidR="00E24896" w:rsidRPr="00FA1231">
        <w:rPr>
          <w:rFonts w:asciiTheme="majorBidi" w:hAnsiTheme="majorBidi" w:cstheme="majorBidi"/>
          <w:sz w:val="24"/>
          <w:szCs w:val="24"/>
        </w:rPr>
        <w:fldChar w:fldCharType="end"/>
      </w:r>
      <w:r w:rsidRPr="00FA1231">
        <w:rPr>
          <w:rFonts w:asciiTheme="majorBidi" w:hAnsiTheme="majorBidi" w:cstheme="majorBidi"/>
          <w:sz w:val="24"/>
          <w:szCs w:val="24"/>
        </w:rPr>
        <w:t xml:space="preserve">. MODIS16A2 data shows a relatively lower spread of values with a median around 10 and an upper whisker around 20 and In-Situ data has a wider spread, with values reaching up to around 30, indicating higher variability as shown in </w:t>
      </w:r>
      <w:r w:rsidR="00E24896" w:rsidRPr="00FA1231">
        <w:rPr>
          <w:rFonts w:asciiTheme="majorBidi" w:hAnsiTheme="majorBidi" w:cstheme="majorBidi"/>
          <w:sz w:val="24"/>
          <w:szCs w:val="24"/>
        </w:rPr>
        <w:fldChar w:fldCharType="begin"/>
      </w:r>
      <w:r w:rsidR="00E24896" w:rsidRPr="00FA1231">
        <w:rPr>
          <w:rFonts w:asciiTheme="majorBidi" w:hAnsiTheme="majorBidi" w:cstheme="majorBidi"/>
          <w:sz w:val="24"/>
          <w:szCs w:val="24"/>
        </w:rPr>
        <w:instrText xml:space="preserve"> REF _Ref182606120 \h </w:instrText>
      </w:r>
      <w:r w:rsidR="00FA1231" w:rsidRPr="00FA1231">
        <w:rPr>
          <w:rFonts w:asciiTheme="majorBidi" w:hAnsiTheme="majorBidi" w:cstheme="majorBidi"/>
          <w:sz w:val="24"/>
          <w:szCs w:val="24"/>
        </w:rPr>
        <w:instrText xml:space="preserve"> \* MERGEFORMAT </w:instrText>
      </w:r>
      <w:r w:rsidR="00E24896" w:rsidRPr="00FA1231">
        <w:rPr>
          <w:rFonts w:asciiTheme="majorBidi" w:hAnsiTheme="majorBidi" w:cstheme="majorBidi"/>
          <w:sz w:val="24"/>
          <w:szCs w:val="24"/>
        </w:rPr>
      </w:r>
      <w:r w:rsidR="00E24896" w:rsidRPr="00FA1231">
        <w:rPr>
          <w:rFonts w:asciiTheme="majorBidi" w:hAnsiTheme="majorBidi" w:cstheme="majorBidi"/>
          <w:sz w:val="24"/>
          <w:szCs w:val="24"/>
        </w:rPr>
        <w:fldChar w:fldCharType="separate"/>
      </w:r>
      <w:r w:rsidR="00495817" w:rsidRPr="00FA1231">
        <w:rPr>
          <w:rFonts w:asciiTheme="majorBidi" w:hAnsiTheme="majorBidi" w:cstheme="majorBidi"/>
          <w:sz w:val="24"/>
          <w:szCs w:val="24"/>
        </w:rPr>
        <w:t xml:space="preserve">Figure </w:t>
      </w:r>
      <w:r w:rsidR="00495817" w:rsidRPr="00FA1231">
        <w:rPr>
          <w:rFonts w:asciiTheme="majorBidi" w:hAnsiTheme="majorBidi" w:cstheme="majorBidi"/>
          <w:noProof/>
          <w:sz w:val="24"/>
          <w:szCs w:val="24"/>
        </w:rPr>
        <w:t>8</w:t>
      </w:r>
      <w:r w:rsidR="00E24896" w:rsidRPr="00FA1231">
        <w:rPr>
          <w:rFonts w:asciiTheme="majorBidi" w:hAnsiTheme="majorBidi" w:cstheme="majorBidi"/>
          <w:sz w:val="24"/>
          <w:szCs w:val="24"/>
        </w:rPr>
        <w:fldChar w:fldCharType="end"/>
      </w:r>
      <w:r w:rsidRPr="00FA1231">
        <w:rPr>
          <w:rFonts w:asciiTheme="majorBidi" w:hAnsiTheme="majorBidi" w:cstheme="majorBidi"/>
          <w:sz w:val="24"/>
          <w:szCs w:val="24"/>
        </w:rPr>
        <w:t>.</w:t>
      </w:r>
      <w:bookmarkEnd w:id="15"/>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2"/>
        <w:gridCol w:w="4013"/>
      </w:tblGrid>
      <w:tr w:rsidR="00712646" w14:paraId="0D238135" w14:textId="77777777" w:rsidTr="00BA375D">
        <w:trPr>
          <w:trHeight w:val="4040"/>
        </w:trPr>
        <w:tc>
          <w:tcPr>
            <w:tcW w:w="5522" w:type="dxa"/>
          </w:tcPr>
          <w:p w14:paraId="2D4672C2" w14:textId="1CB0BF96" w:rsidR="00712646" w:rsidRDefault="00616082" w:rsidP="00712646">
            <w:pPr>
              <w:keepNext/>
              <w:jc w:val="center"/>
            </w:pPr>
            <w:r>
              <w:rPr>
                <w:noProof/>
              </w:rPr>
              <w:drawing>
                <wp:inline distT="0" distB="0" distL="0" distR="0" wp14:anchorId="24EB2DF3" wp14:editId="4DFE5C9F">
                  <wp:extent cx="3168650" cy="2077720"/>
                  <wp:effectExtent l="0" t="0" r="0" b="0"/>
                  <wp:docPr id="671674799" name="Chart 1">
                    <a:extLst xmlns:a="http://schemas.openxmlformats.org/drawingml/2006/main">
                      <a:ext uri="{FF2B5EF4-FFF2-40B4-BE49-F238E27FC236}">
                        <a16:creationId xmlns:a16="http://schemas.microsoft.com/office/drawing/2014/main" id="{647961E1-424A-43D9-B597-3396FE06D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EBACC4" w14:textId="02BC5F30" w:rsidR="00712646" w:rsidRDefault="00712646" w:rsidP="0064554E">
            <w:pPr>
              <w:pStyle w:val="Caption"/>
            </w:pPr>
            <w:bookmarkStart w:id="16" w:name="_Ref182606099"/>
            <w:bookmarkStart w:id="17" w:name="_Toc182606019"/>
            <w:r>
              <w:t xml:space="preserve">Figure </w:t>
            </w:r>
            <w:fldSimple w:instr=" SEQ Figure \* ARABIC ">
              <w:r w:rsidR="00495817">
                <w:rPr>
                  <w:noProof/>
                </w:rPr>
                <w:t>7</w:t>
              </w:r>
            </w:fldSimple>
            <w:bookmarkEnd w:id="16"/>
            <w:r>
              <w:t xml:space="preserve"> </w:t>
            </w:r>
            <w:r w:rsidR="0064554E">
              <w:rPr>
                <w:noProof/>
              </w:rPr>
              <w:t>Comparison between MODIS16A2 - ET data and In-Situ data for winter2019/2020 cultivated with Wheat</w:t>
            </w:r>
            <w:bookmarkEnd w:id="17"/>
          </w:p>
        </w:tc>
        <w:tc>
          <w:tcPr>
            <w:tcW w:w="4013" w:type="dxa"/>
          </w:tcPr>
          <w:p w14:paraId="3701A16B" w14:textId="5E238436" w:rsidR="00712646" w:rsidRDefault="00FA1231" w:rsidP="00712646">
            <w:pPr>
              <w:jc w:val="center"/>
            </w:pPr>
            <w:r w:rsidRPr="0065762D">
              <w:rPr>
                <w:noProof/>
              </w:rPr>
              <mc:AlternateContent>
                <mc:Choice Requires="cx1">
                  <w:drawing>
                    <wp:inline distT="0" distB="0" distL="0" distR="0" wp14:anchorId="1393FABD" wp14:editId="0378EB38">
                      <wp:extent cx="2228850" cy="1938020"/>
                      <wp:effectExtent l="0" t="0" r="0" b="5080"/>
                      <wp:docPr id="45" name="Chart 12"/>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drawing>
                    <wp:inline distT="0" distB="0" distL="0" distR="0" wp14:anchorId="1393FABD" wp14:editId="0378EB38">
                      <wp:extent cx="2228850" cy="1938020"/>
                      <wp:effectExtent l="0" t="0" r="0" b="5080"/>
                      <wp:docPr id="45" name="Chart 1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5" name="Chart 12"/>
                              <pic:cNvPicPr>
                                <a:picLocks noGrp="1" noRot="1" noChangeAspect="1" noMove="1" noResize="1" noEditPoints="1" noAdjustHandles="1" noChangeArrowheads="1" noChangeShapeType="1"/>
                              </pic:cNvPicPr>
                            </pic:nvPicPr>
                            <pic:blipFill>
                              <a:blip r:embed="rId27"/>
                              <a:stretch>
                                <a:fillRect/>
                              </a:stretch>
                            </pic:blipFill>
                            <pic:spPr>
                              <a:xfrm>
                                <a:off x="0" y="0"/>
                                <a:ext cx="2228850" cy="1938020"/>
                              </a:xfrm>
                              <a:prstGeom prst="rect">
                                <a:avLst/>
                              </a:prstGeom>
                            </pic:spPr>
                          </pic:pic>
                        </a:graphicData>
                      </a:graphic>
                    </wp:inline>
                  </w:drawing>
                </mc:Fallback>
              </mc:AlternateContent>
            </w:r>
          </w:p>
          <w:p w14:paraId="754FB018" w14:textId="68BDDA28" w:rsidR="00616082" w:rsidRDefault="00712646" w:rsidP="0064554E">
            <w:pPr>
              <w:pStyle w:val="Caption"/>
            </w:pPr>
            <w:bookmarkStart w:id="18" w:name="_Ref182606120"/>
            <w:bookmarkStart w:id="19" w:name="_Toc182606020"/>
            <w:r>
              <w:t xml:space="preserve">Figure </w:t>
            </w:r>
            <w:fldSimple w:instr=" SEQ Figure \* ARABIC ">
              <w:r w:rsidR="00495817">
                <w:rPr>
                  <w:noProof/>
                </w:rPr>
                <w:t>8</w:t>
              </w:r>
            </w:fldSimple>
            <w:bookmarkEnd w:id="18"/>
            <w:r w:rsidR="0064554E" w:rsidRPr="00EA2ABE">
              <w:t xml:space="preserve"> box plot compares the distribution of MODIS16A2 - ET and In-Situ data</w:t>
            </w:r>
            <w:r w:rsidR="0064554E">
              <w:rPr>
                <w:noProof/>
              </w:rPr>
              <w:t xml:space="preserve"> for winter2019/2020 cultivated with Wheat</w:t>
            </w:r>
            <w:bookmarkEnd w:id="19"/>
          </w:p>
        </w:tc>
      </w:tr>
    </w:tbl>
    <w:p w14:paraId="0F6D6F01" w14:textId="77777777" w:rsidR="0022329F" w:rsidRDefault="0022329F"/>
    <w:p w14:paraId="228DA11D" w14:textId="58D98FBB" w:rsidR="002D3F5C" w:rsidRDefault="002D3F5C" w:rsidP="00FA1231">
      <w:pPr>
        <w:pStyle w:val="Heading1"/>
        <w:keepLines w:val="0"/>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r w:rsidRPr="002D3F5C">
        <w:rPr>
          <w:rFonts w:ascii="Cambria" w:eastAsia="Times New Roman" w:hAnsi="Cambria" w:cs="Arial"/>
          <w:b/>
          <w:bCs/>
          <w:color w:val="auto"/>
          <w:kern w:val="32"/>
          <w:sz w:val="24"/>
          <w:szCs w:val="24"/>
          <w:lang w:val="en-GB" w:eastAsia="en-GB"/>
          <w14:ligatures w14:val="none"/>
        </w:rPr>
        <w:lastRenderedPageBreak/>
        <w:t>Winter 20</w:t>
      </w:r>
      <w:r>
        <w:rPr>
          <w:rFonts w:ascii="Cambria" w:eastAsia="Times New Roman" w:hAnsi="Cambria" w:cs="Arial"/>
          <w:b/>
          <w:bCs/>
          <w:color w:val="auto"/>
          <w:kern w:val="32"/>
          <w:sz w:val="24"/>
          <w:szCs w:val="24"/>
          <w:lang w:val="en-GB" w:eastAsia="en-GB"/>
          <w14:ligatures w14:val="none"/>
        </w:rPr>
        <w:t>20</w:t>
      </w:r>
      <w:r w:rsidRPr="002D3F5C">
        <w:rPr>
          <w:rFonts w:ascii="Cambria" w:eastAsia="Times New Roman" w:hAnsi="Cambria" w:cs="Arial"/>
          <w:b/>
          <w:bCs/>
          <w:color w:val="auto"/>
          <w:kern w:val="32"/>
          <w:sz w:val="24"/>
          <w:szCs w:val="24"/>
          <w:lang w:val="en-GB" w:eastAsia="en-GB"/>
          <w14:ligatures w14:val="none"/>
        </w:rPr>
        <w:t>/202</w:t>
      </w:r>
      <w:r>
        <w:rPr>
          <w:rFonts w:ascii="Cambria" w:eastAsia="Times New Roman" w:hAnsi="Cambria" w:cs="Arial"/>
          <w:b/>
          <w:bCs/>
          <w:color w:val="auto"/>
          <w:kern w:val="32"/>
          <w:sz w:val="24"/>
          <w:szCs w:val="24"/>
          <w:lang w:val="en-GB" w:eastAsia="en-GB"/>
          <w14:ligatures w14:val="none"/>
        </w:rPr>
        <w:t>1</w:t>
      </w:r>
      <w:r w:rsidR="0064554E">
        <w:rPr>
          <w:rFonts w:ascii="Cambria" w:eastAsia="Times New Roman" w:hAnsi="Cambria" w:cs="Arial"/>
          <w:b/>
          <w:bCs/>
          <w:color w:val="auto"/>
          <w:kern w:val="32"/>
          <w:sz w:val="24"/>
          <w:szCs w:val="24"/>
          <w:lang w:val="en-GB" w:eastAsia="en-GB"/>
          <w14:ligatures w14:val="none"/>
        </w:rPr>
        <w:t xml:space="preserve"> - Wheat</w:t>
      </w:r>
    </w:p>
    <w:p w14:paraId="59D3A617" w14:textId="791989E9" w:rsidR="00022587" w:rsidRPr="00FA1231" w:rsidRDefault="00022587" w:rsidP="00FA1231">
      <w:pPr>
        <w:ind w:firstLine="720"/>
        <w:jc w:val="both"/>
        <w:rPr>
          <w:rFonts w:asciiTheme="majorBidi" w:hAnsiTheme="majorBidi" w:cstheme="majorBidi"/>
          <w:sz w:val="24"/>
          <w:szCs w:val="24"/>
        </w:rPr>
      </w:pPr>
      <w:bookmarkStart w:id="20" w:name="_Toc182606021"/>
      <w:r w:rsidRPr="00FA1231">
        <w:rPr>
          <w:rFonts w:asciiTheme="majorBidi" w:hAnsiTheme="majorBidi" w:cstheme="majorBidi"/>
          <w:sz w:val="24"/>
          <w:szCs w:val="24"/>
        </w:rPr>
        <w:t xml:space="preserve">The trend analysis for MODIS16A2 and In-Situ data from December 2020 to May 2021 shows their variation over time. </w:t>
      </w:r>
      <w:r w:rsidR="00E24896" w:rsidRPr="00FA1231">
        <w:rPr>
          <w:rFonts w:asciiTheme="majorBidi" w:hAnsiTheme="majorBidi" w:cstheme="majorBidi"/>
          <w:color w:val="FF0000"/>
          <w:sz w:val="24"/>
          <w:szCs w:val="24"/>
        </w:rPr>
        <w:fldChar w:fldCharType="begin"/>
      </w:r>
      <w:r w:rsidR="00E24896" w:rsidRPr="00FA1231">
        <w:rPr>
          <w:rFonts w:asciiTheme="majorBidi" w:hAnsiTheme="majorBidi" w:cstheme="majorBidi"/>
          <w:sz w:val="24"/>
          <w:szCs w:val="24"/>
        </w:rPr>
        <w:instrText xml:space="preserve"> REF _Ref182606189 \h </w:instrText>
      </w:r>
      <w:r w:rsidR="00FA1231" w:rsidRPr="00FA1231">
        <w:rPr>
          <w:rFonts w:asciiTheme="majorBidi" w:hAnsiTheme="majorBidi" w:cstheme="majorBidi"/>
          <w:color w:val="FF0000"/>
          <w:sz w:val="24"/>
          <w:szCs w:val="24"/>
        </w:rPr>
        <w:instrText xml:space="preserve"> \* MERGEFORMAT </w:instrText>
      </w:r>
      <w:r w:rsidR="00E24896" w:rsidRPr="00FA1231">
        <w:rPr>
          <w:rFonts w:asciiTheme="majorBidi" w:hAnsiTheme="majorBidi" w:cstheme="majorBidi"/>
          <w:color w:val="FF0000"/>
          <w:sz w:val="24"/>
          <w:szCs w:val="24"/>
        </w:rPr>
      </w:r>
      <w:r w:rsidR="00E24896" w:rsidRPr="00FA1231">
        <w:rPr>
          <w:rFonts w:asciiTheme="majorBidi" w:hAnsiTheme="majorBidi" w:cstheme="majorBidi"/>
          <w:color w:val="FF0000"/>
          <w:sz w:val="24"/>
          <w:szCs w:val="24"/>
        </w:rPr>
        <w:fldChar w:fldCharType="separate"/>
      </w:r>
      <w:r w:rsidR="00E02F7A" w:rsidRPr="00FA1231">
        <w:rPr>
          <w:rFonts w:asciiTheme="majorBidi" w:hAnsiTheme="majorBidi" w:cstheme="majorBidi"/>
          <w:sz w:val="24"/>
          <w:szCs w:val="24"/>
        </w:rPr>
        <w:t xml:space="preserve">Figure </w:t>
      </w:r>
      <w:r w:rsidR="00E02F7A" w:rsidRPr="00FA1231">
        <w:rPr>
          <w:rFonts w:asciiTheme="majorBidi" w:hAnsiTheme="majorBidi" w:cstheme="majorBidi"/>
          <w:noProof/>
          <w:sz w:val="24"/>
          <w:szCs w:val="24"/>
        </w:rPr>
        <w:t>9</w:t>
      </w:r>
      <w:r w:rsidR="00E24896" w:rsidRPr="00FA1231">
        <w:rPr>
          <w:rFonts w:asciiTheme="majorBidi" w:hAnsiTheme="majorBidi" w:cstheme="majorBidi"/>
          <w:color w:val="FF0000"/>
          <w:sz w:val="24"/>
          <w:szCs w:val="24"/>
        </w:rPr>
        <w:fldChar w:fldCharType="end"/>
      </w:r>
      <w:r w:rsidRPr="00FA1231">
        <w:rPr>
          <w:rFonts w:asciiTheme="majorBidi" w:hAnsiTheme="majorBidi" w:cstheme="majorBidi"/>
          <w:sz w:val="24"/>
          <w:szCs w:val="24"/>
        </w:rPr>
        <w:t xml:space="preserve"> shows the fluctuations in both datasets, with In-Situ values generally being higher than MODIS16A2 during this period. The analysis shows an increase in both datasets transitioning from winter to spring, with a more significant rise in In-Situ values.</w:t>
      </w:r>
      <w:bookmarkEnd w:id="20"/>
    </w:p>
    <w:bookmarkStart w:id="21" w:name="_Toc182606022"/>
    <w:p w14:paraId="2488BC54" w14:textId="1B3F91F8" w:rsidR="00022587" w:rsidRPr="00FA1231" w:rsidRDefault="00E24896" w:rsidP="00FA1231">
      <w:pPr>
        <w:pStyle w:val="Caption"/>
        <w:ind w:firstLine="720"/>
        <w:jc w:val="both"/>
        <w:rPr>
          <w:rFonts w:asciiTheme="majorBidi" w:hAnsiTheme="majorBidi" w:cstheme="majorBidi"/>
          <w:i w:val="0"/>
          <w:iCs w:val="0"/>
          <w:color w:val="auto"/>
          <w:sz w:val="24"/>
          <w:szCs w:val="24"/>
        </w:rPr>
      </w:pPr>
      <w:r w:rsidRPr="00FA1231">
        <w:rPr>
          <w:rFonts w:asciiTheme="majorBidi" w:hAnsiTheme="majorBidi" w:cstheme="majorBidi"/>
          <w:i w:val="0"/>
          <w:iCs w:val="0"/>
          <w:color w:val="auto"/>
          <w:sz w:val="24"/>
          <w:szCs w:val="24"/>
        </w:rPr>
        <w:fldChar w:fldCharType="begin"/>
      </w:r>
      <w:r w:rsidRPr="00FA1231">
        <w:rPr>
          <w:rFonts w:asciiTheme="majorBidi" w:hAnsiTheme="majorBidi" w:cstheme="majorBidi"/>
          <w:i w:val="0"/>
          <w:iCs w:val="0"/>
          <w:color w:val="auto"/>
          <w:sz w:val="24"/>
          <w:szCs w:val="24"/>
        </w:rPr>
        <w:instrText xml:space="preserve"> REF _Ref182606196 \h  \* MERGEFORMAT </w:instrText>
      </w:r>
      <w:r w:rsidRPr="00FA1231">
        <w:rPr>
          <w:rFonts w:asciiTheme="majorBidi" w:hAnsiTheme="majorBidi" w:cstheme="majorBidi"/>
          <w:i w:val="0"/>
          <w:iCs w:val="0"/>
          <w:color w:val="auto"/>
          <w:sz w:val="24"/>
          <w:szCs w:val="24"/>
        </w:rPr>
      </w:r>
      <w:r w:rsidRPr="00FA1231">
        <w:rPr>
          <w:rFonts w:asciiTheme="majorBidi" w:hAnsiTheme="majorBidi" w:cstheme="majorBidi"/>
          <w:i w:val="0"/>
          <w:iCs w:val="0"/>
          <w:color w:val="auto"/>
          <w:sz w:val="24"/>
          <w:szCs w:val="24"/>
        </w:rPr>
        <w:fldChar w:fldCharType="separate"/>
      </w:r>
      <w:r w:rsidR="00E02F7A" w:rsidRPr="00FA1231">
        <w:rPr>
          <w:rFonts w:asciiTheme="majorBidi" w:hAnsiTheme="majorBidi" w:cstheme="majorBidi"/>
          <w:i w:val="0"/>
          <w:iCs w:val="0"/>
          <w:color w:val="auto"/>
          <w:sz w:val="24"/>
          <w:szCs w:val="24"/>
        </w:rPr>
        <w:t>Figure 10</w:t>
      </w:r>
      <w:r w:rsidRPr="00FA1231">
        <w:rPr>
          <w:rFonts w:asciiTheme="majorBidi" w:hAnsiTheme="majorBidi" w:cstheme="majorBidi"/>
          <w:i w:val="0"/>
          <w:iCs w:val="0"/>
          <w:color w:val="auto"/>
          <w:sz w:val="24"/>
          <w:szCs w:val="24"/>
        </w:rPr>
        <w:fldChar w:fldCharType="end"/>
      </w:r>
      <w:r w:rsidR="00022587" w:rsidRPr="00FA1231">
        <w:rPr>
          <w:rFonts w:asciiTheme="majorBidi" w:hAnsiTheme="majorBidi" w:cstheme="majorBidi"/>
          <w:i w:val="0"/>
          <w:iCs w:val="0"/>
          <w:color w:val="auto"/>
          <w:sz w:val="24"/>
          <w:szCs w:val="24"/>
        </w:rPr>
        <w:t>, This box plot reinforces the insight that In-Situ measurements generally show higher ET values with greater variability compared to MODIS-derived ET values</w:t>
      </w:r>
      <w:r w:rsidR="002D3F5C" w:rsidRPr="00FA1231">
        <w:rPr>
          <w:rFonts w:asciiTheme="majorBidi" w:hAnsiTheme="majorBidi" w:cstheme="majorBidi"/>
          <w:i w:val="0"/>
          <w:iCs w:val="0"/>
          <w:color w:val="auto"/>
          <w:sz w:val="24"/>
          <w:szCs w:val="24"/>
        </w:rPr>
        <w:t xml:space="preserve">. Both datasets show an upward trend from December to March, with MODIS16A2 data gradually rising, while In-Situ data shows a steeper increase, peaking in March. </w:t>
      </w:r>
      <w:r w:rsidR="00022587" w:rsidRPr="00FA1231">
        <w:rPr>
          <w:rFonts w:asciiTheme="majorBidi" w:hAnsiTheme="majorBidi" w:cstheme="majorBidi"/>
          <w:i w:val="0"/>
          <w:iCs w:val="0"/>
          <w:color w:val="auto"/>
          <w:sz w:val="24"/>
          <w:szCs w:val="24"/>
        </w:rPr>
        <w:t>In-Situ reaches its highest average ET value in March 2021, indicating higher evapotranspiration during this period. MODIS16A2 also peaks around March but with a lower maximum.</w:t>
      </w:r>
      <w:r w:rsidR="002D3F5C" w:rsidRPr="00FA1231">
        <w:rPr>
          <w:rFonts w:asciiTheme="majorBidi" w:hAnsiTheme="majorBidi" w:cstheme="majorBidi"/>
          <w:i w:val="0"/>
          <w:iCs w:val="0"/>
          <w:color w:val="auto"/>
          <w:sz w:val="24"/>
          <w:szCs w:val="24"/>
        </w:rPr>
        <w:t xml:space="preserve"> </w:t>
      </w:r>
      <w:r w:rsidR="00022587" w:rsidRPr="00FA1231">
        <w:rPr>
          <w:rFonts w:asciiTheme="majorBidi" w:hAnsiTheme="majorBidi" w:cstheme="majorBidi"/>
          <w:i w:val="0"/>
          <w:iCs w:val="0"/>
          <w:color w:val="auto"/>
          <w:sz w:val="24"/>
          <w:szCs w:val="24"/>
        </w:rPr>
        <w:t>Both datasets show a decline from March through May, with In-Situ values dropping more sharply than MODIS16A2.</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gridCol w:w="3921"/>
      </w:tblGrid>
      <w:tr w:rsidR="009C4422" w14:paraId="1680F163" w14:textId="77777777" w:rsidTr="00B43FE7">
        <w:trPr>
          <w:trHeight w:val="4418"/>
        </w:trPr>
        <w:tc>
          <w:tcPr>
            <w:tcW w:w="5655" w:type="dxa"/>
          </w:tcPr>
          <w:p w14:paraId="068C76D4" w14:textId="77777777" w:rsidR="0022329F" w:rsidRDefault="009C4422" w:rsidP="0022329F">
            <w:pPr>
              <w:keepNext/>
              <w:jc w:val="center"/>
            </w:pPr>
            <w:r>
              <w:rPr>
                <w:noProof/>
              </w:rPr>
              <w:drawing>
                <wp:inline distT="0" distB="0" distL="0" distR="0" wp14:anchorId="36891231" wp14:editId="55CB7EB6">
                  <wp:extent cx="3248660" cy="2438400"/>
                  <wp:effectExtent l="0" t="0" r="0" b="0"/>
                  <wp:docPr id="589055013" name="Chart 1">
                    <a:extLst xmlns:a="http://schemas.openxmlformats.org/drawingml/2006/main">
                      <a:ext uri="{FF2B5EF4-FFF2-40B4-BE49-F238E27FC236}">
                        <a16:creationId xmlns:a16="http://schemas.microsoft.com/office/drawing/2014/main" id="{E355413C-12F3-4A3A-85A9-837D509E7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E00394" w14:textId="6D8A4903" w:rsidR="009C4422" w:rsidRDefault="0022329F" w:rsidP="00BA375D">
            <w:pPr>
              <w:pStyle w:val="Caption"/>
            </w:pPr>
            <w:bookmarkStart w:id="22" w:name="_Ref182606189"/>
            <w:bookmarkStart w:id="23" w:name="_Toc182606023"/>
            <w:r>
              <w:t xml:space="preserve">Figure </w:t>
            </w:r>
            <w:fldSimple w:instr=" SEQ Figure \* ARABIC ">
              <w:r w:rsidR="00495817">
                <w:rPr>
                  <w:noProof/>
                </w:rPr>
                <w:t>9</w:t>
              </w:r>
            </w:fldSimple>
            <w:bookmarkEnd w:id="22"/>
            <w:r>
              <w:rPr>
                <w:noProof/>
              </w:rPr>
              <w:t xml:space="preserve"> </w:t>
            </w:r>
            <w:r w:rsidR="0064554E">
              <w:rPr>
                <w:noProof/>
              </w:rPr>
              <w:t>Comparison between MODIS16A2 - ET data and In-Situ data for winter2020/2021 cultivated with Wheat</w:t>
            </w:r>
            <w:bookmarkEnd w:id="23"/>
          </w:p>
        </w:tc>
        <w:tc>
          <w:tcPr>
            <w:tcW w:w="3921" w:type="dxa"/>
          </w:tcPr>
          <w:p w14:paraId="29423BE4" w14:textId="444995BE" w:rsidR="0022329F" w:rsidRDefault="0069698D" w:rsidP="0022329F">
            <w:pPr>
              <w:pStyle w:val="Caption"/>
              <w:keepNext/>
              <w:jc w:val="center"/>
            </w:pPr>
            <w:r w:rsidRPr="0065762D">
              <w:rPr>
                <w:noProof/>
              </w:rPr>
              <mc:AlternateContent>
                <mc:Choice Requires="cx1">
                  <w:drawing>
                    <wp:inline distT="0" distB="0" distL="0" distR="0" wp14:anchorId="320D858C" wp14:editId="378560C8">
                      <wp:extent cx="2352040" cy="2199640"/>
                      <wp:effectExtent l="0" t="0" r="0" b="0"/>
                      <wp:docPr id="44" name="Chart 22"/>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drawing>
                    <wp:inline distT="0" distB="0" distL="0" distR="0" wp14:anchorId="320D858C" wp14:editId="378560C8">
                      <wp:extent cx="2352040" cy="2199640"/>
                      <wp:effectExtent l="0" t="0" r="0" b="0"/>
                      <wp:docPr id="44" name="Chart 2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4" name="Chart 22"/>
                              <pic:cNvPicPr>
                                <a:picLocks noGrp="1" noRot="1" noChangeAspect="1" noMove="1" noResize="1" noEditPoints="1" noAdjustHandles="1" noChangeArrowheads="1" noChangeShapeType="1"/>
                              </pic:cNvPicPr>
                            </pic:nvPicPr>
                            <pic:blipFill>
                              <a:blip r:embed="rId30"/>
                              <a:stretch>
                                <a:fillRect/>
                              </a:stretch>
                            </pic:blipFill>
                            <pic:spPr>
                              <a:xfrm>
                                <a:off x="0" y="0"/>
                                <a:ext cx="2352040" cy="2199640"/>
                              </a:xfrm>
                              <a:prstGeom prst="rect">
                                <a:avLst/>
                              </a:prstGeom>
                            </pic:spPr>
                          </pic:pic>
                        </a:graphicData>
                      </a:graphic>
                    </wp:inline>
                  </w:drawing>
                </mc:Fallback>
              </mc:AlternateContent>
            </w:r>
          </w:p>
          <w:p w14:paraId="7A89E0C5" w14:textId="6D1FF4C5" w:rsidR="009C4422" w:rsidRDefault="0022329F" w:rsidP="00BA375D">
            <w:pPr>
              <w:pStyle w:val="Caption"/>
              <w:jc w:val="center"/>
            </w:pPr>
            <w:bookmarkStart w:id="24" w:name="_Ref182606196"/>
            <w:bookmarkStart w:id="25" w:name="_Toc182606024"/>
            <w:r>
              <w:t xml:space="preserve">Figure </w:t>
            </w:r>
            <w:fldSimple w:instr=" SEQ Figure \* ARABIC ">
              <w:r w:rsidR="00495817">
                <w:rPr>
                  <w:noProof/>
                </w:rPr>
                <w:t>10</w:t>
              </w:r>
            </w:fldSimple>
            <w:bookmarkEnd w:id="24"/>
            <w:r w:rsidR="0064554E" w:rsidRPr="00EA2ABE">
              <w:t xml:space="preserve"> box plot compares the distribution of MODIS16A2 - ET and In-Situ data</w:t>
            </w:r>
            <w:r w:rsidR="0064554E">
              <w:rPr>
                <w:noProof/>
              </w:rPr>
              <w:t xml:space="preserve"> for winter2020/2021 cultivated with Wheat</w:t>
            </w:r>
            <w:bookmarkEnd w:id="25"/>
          </w:p>
        </w:tc>
      </w:tr>
    </w:tbl>
    <w:p w14:paraId="12ADAA0F" w14:textId="18C16F64" w:rsidR="00EA2ABE" w:rsidRDefault="002D3F5C" w:rsidP="00BA375D">
      <w:pPr>
        <w:pStyle w:val="Heading1"/>
        <w:keepLines w:val="0"/>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r w:rsidRPr="002D3F5C">
        <w:rPr>
          <w:rFonts w:ascii="Cambria" w:eastAsia="Times New Roman" w:hAnsi="Cambria" w:cs="Arial"/>
          <w:b/>
          <w:bCs/>
          <w:color w:val="auto"/>
          <w:kern w:val="32"/>
          <w:sz w:val="24"/>
          <w:szCs w:val="24"/>
          <w:lang w:val="en-GB" w:eastAsia="en-GB"/>
          <w14:ligatures w14:val="none"/>
        </w:rPr>
        <w:t>Summer 2021</w:t>
      </w:r>
      <w:r w:rsidR="0064554E">
        <w:rPr>
          <w:rFonts w:ascii="Cambria" w:eastAsia="Times New Roman" w:hAnsi="Cambria" w:cs="Arial"/>
          <w:b/>
          <w:bCs/>
          <w:color w:val="auto"/>
          <w:kern w:val="32"/>
          <w:sz w:val="24"/>
          <w:szCs w:val="24"/>
          <w:lang w:val="en-GB" w:eastAsia="en-GB"/>
          <w14:ligatures w14:val="none"/>
        </w:rPr>
        <w:t xml:space="preserve"> - Rice</w:t>
      </w:r>
    </w:p>
    <w:p w14:paraId="602445B9" w14:textId="767EB704" w:rsidR="00EA2ABE" w:rsidRPr="00085499" w:rsidRDefault="00EA2ABE" w:rsidP="00085499">
      <w:pPr>
        <w:jc w:val="both"/>
        <w:rPr>
          <w:rFonts w:asciiTheme="majorBidi" w:hAnsiTheme="majorBidi" w:cstheme="majorBidi"/>
          <w:sz w:val="24"/>
          <w:szCs w:val="24"/>
        </w:rPr>
      </w:pPr>
      <w:bookmarkStart w:id="26" w:name="_Toc182606025"/>
      <w:r w:rsidRPr="00085499">
        <w:rPr>
          <w:rFonts w:asciiTheme="majorBidi" w:hAnsiTheme="majorBidi" w:cstheme="majorBidi"/>
          <w:sz w:val="24"/>
          <w:szCs w:val="24"/>
        </w:rPr>
        <w:t>The trend analysis for MODIS16A2 and In-Situ data from December 2020 to October 2021</w:t>
      </w:r>
      <w:r w:rsidR="00085499" w:rsidRPr="00085499">
        <w:rPr>
          <w:rFonts w:asciiTheme="majorBidi" w:hAnsiTheme="majorBidi" w:cstheme="majorBidi"/>
          <w:sz w:val="24"/>
          <w:szCs w:val="24"/>
        </w:rPr>
        <w:t xml:space="preserve">as shown in </w:t>
      </w:r>
      <w:r w:rsidR="00E24896" w:rsidRPr="00085499">
        <w:rPr>
          <w:rFonts w:asciiTheme="majorBidi" w:hAnsiTheme="majorBidi" w:cstheme="majorBidi"/>
          <w:color w:val="FF0000"/>
          <w:sz w:val="24"/>
          <w:szCs w:val="24"/>
        </w:rPr>
        <w:fldChar w:fldCharType="begin"/>
      </w:r>
      <w:r w:rsidR="00E24896" w:rsidRPr="00085499">
        <w:rPr>
          <w:rFonts w:asciiTheme="majorBidi" w:hAnsiTheme="majorBidi" w:cstheme="majorBidi"/>
          <w:sz w:val="24"/>
          <w:szCs w:val="24"/>
        </w:rPr>
        <w:instrText xml:space="preserve"> REF _Ref182606246 \h </w:instrText>
      </w:r>
      <w:r w:rsidR="00085499" w:rsidRPr="00085499">
        <w:rPr>
          <w:rFonts w:asciiTheme="majorBidi" w:hAnsiTheme="majorBidi" w:cstheme="majorBidi"/>
          <w:color w:val="FF0000"/>
          <w:sz w:val="24"/>
          <w:szCs w:val="24"/>
        </w:rPr>
        <w:instrText xml:space="preserve"> \* MERGEFORMAT </w:instrText>
      </w:r>
      <w:r w:rsidR="00E24896" w:rsidRPr="00085499">
        <w:rPr>
          <w:rFonts w:asciiTheme="majorBidi" w:hAnsiTheme="majorBidi" w:cstheme="majorBidi"/>
          <w:color w:val="FF0000"/>
          <w:sz w:val="24"/>
          <w:szCs w:val="24"/>
        </w:rPr>
      </w:r>
      <w:r w:rsidR="00E24896" w:rsidRPr="00085499">
        <w:rPr>
          <w:rFonts w:asciiTheme="majorBidi" w:hAnsiTheme="majorBidi" w:cstheme="majorBidi"/>
          <w:color w:val="FF0000"/>
          <w:sz w:val="24"/>
          <w:szCs w:val="24"/>
        </w:rPr>
        <w:fldChar w:fldCharType="separate"/>
      </w:r>
      <w:r w:rsidR="00E02F7A" w:rsidRPr="00085499">
        <w:rPr>
          <w:rFonts w:asciiTheme="majorBidi" w:hAnsiTheme="majorBidi" w:cstheme="majorBidi"/>
          <w:sz w:val="24"/>
          <w:szCs w:val="24"/>
        </w:rPr>
        <w:t xml:space="preserve">Figure </w:t>
      </w:r>
      <w:r w:rsidR="00E02F7A" w:rsidRPr="00085499">
        <w:rPr>
          <w:rFonts w:asciiTheme="majorBidi" w:hAnsiTheme="majorBidi" w:cstheme="majorBidi"/>
          <w:noProof/>
          <w:sz w:val="24"/>
          <w:szCs w:val="24"/>
        </w:rPr>
        <w:t>11</w:t>
      </w:r>
      <w:r w:rsidR="00E24896" w:rsidRPr="00085499">
        <w:rPr>
          <w:rFonts w:asciiTheme="majorBidi" w:hAnsiTheme="majorBidi" w:cstheme="majorBidi"/>
          <w:color w:val="FF0000"/>
          <w:sz w:val="24"/>
          <w:szCs w:val="24"/>
        </w:rPr>
        <w:fldChar w:fldCharType="end"/>
      </w:r>
      <w:r w:rsidRPr="00085499">
        <w:rPr>
          <w:rFonts w:asciiTheme="majorBidi" w:hAnsiTheme="majorBidi" w:cstheme="majorBidi"/>
          <w:sz w:val="24"/>
          <w:szCs w:val="24"/>
        </w:rPr>
        <w:t xml:space="preserve"> reveals th</w:t>
      </w:r>
      <w:r w:rsidR="00C614B5" w:rsidRPr="00085499">
        <w:rPr>
          <w:rFonts w:asciiTheme="majorBidi" w:hAnsiTheme="majorBidi" w:cstheme="majorBidi"/>
          <w:sz w:val="24"/>
          <w:szCs w:val="24"/>
        </w:rPr>
        <w:t>at</w:t>
      </w:r>
      <w:bookmarkEnd w:id="26"/>
      <w:r w:rsidR="00085499" w:rsidRPr="00085499">
        <w:rPr>
          <w:rFonts w:asciiTheme="majorBidi" w:hAnsiTheme="majorBidi" w:cstheme="majorBidi"/>
          <w:sz w:val="24"/>
          <w:szCs w:val="24"/>
        </w:rPr>
        <w:t xml:space="preserve">; </w:t>
      </w:r>
      <w:r w:rsidRPr="00085499">
        <w:rPr>
          <w:rFonts w:asciiTheme="majorBidi" w:hAnsiTheme="majorBidi" w:cstheme="majorBidi"/>
          <w:sz w:val="24"/>
          <w:szCs w:val="24"/>
        </w:rPr>
        <w:t xml:space="preserve">Both date sets have a high value in March but more significantly, the In-Situ data are much higher than the MODIS16A2 data at the same time period. As exhibited in the graph below, both In-Situ and MODIS16A2 dataset drop to their lowest in early summer, In-Situ spikes in August before a sharp decline. </w:t>
      </w:r>
      <w:r w:rsidR="00085499" w:rsidRPr="00085499">
        <w:rPr>
          <w:rFonts w:asciiTheme="majorBidi" w:hAnsiTheme="majorBidi" w:cstheme="majorBidi"/>
          <w:sz w:val="24"/>
          <w:szCs w:val="24"/>
        </w:rPr>
        <w:t xml:space="preserve">Meanwhile, </w:t>
      </w:r>
      <w:r w:rsidRPr="00085499">
        <w:rPr>
          <w:rFonts w:asciiTheme="majorBidi" w:hAnsiTheme="majorBidi" w:cstheme="majorBidi"/>
          <w:sz w:val="24"/>
          <w:szCs w:val="24"/>
        </w:rPr>
        <w:t xml:space="preserve">In-Situ ET values are considerably variable, especially revealing another spike in June followed by the least increase in October. </w:t>
      </w:r>
      <w:r w:rsidR="00085499" w:rsidRPr="00085499">
        <w:rPr>
          <w:rFonts w:asciiTheme="majorBidi" w:hAnsiTheme="majorBidi" w:cstheme="majorBidi"/>
          <w:sz w:val="24"/>
          <w:szCs w:val="24"/>
        </w:rPr>
        <w:t xml:space="preserve">All in </w:t>
      </w:r>
      <w:proofErr w:type="gramStart"/>
      <w:r w:rsidR="00085499" w:rsidRPr="00085499">
        <w:rPr>
          <w:rFonts w:asciiTheme="majorBidi" w:hAnsiTheme="majorBidi" w:cstheme="majorBidi"/>
          <w:sz w:val="24"/>
          <w:szCs w:val="24"/>
        </w:rPr>
        <w:t>all</w:t>
      </w:r>
      <w:proofErr w:type="gramEnd"/>
      <w:r w:rsidR="00085499" w:rsidRPr="00085499">
        <w:rPr>
          <w:rFonts w:asciiTheme="majorBidi" w:hAnsiTheme="majorBidi" w:cstheme="majorBidi"/>
          <w:sz w:val="24"/>
          <w:szCs w:val="24"/>
        </w:rPr>
        <w:t xml:space="preserve"> </w:t>
      </w:r>
      <w:r w:rsidRPr="00085499">
        <w:rPr>
          <w:rFonts w:asciiTheme="majorBidi" w:hAnsiTheme="majorBidi" w:cstheme="majorBidi"/>
          <w:sz w:val="24"/>
          <w:szCs w:val="24"/>
        </w:rPr>
        <w:t>MODIS16A2 values are usually lower than In-Situ.</w:t>
      </w:r>
      <w:r w:rsidR="00085499">
        <w:rPr>
          <w:rFonts w:asciiTheme="majorBidi" w:hAnsiTheme="majorBidi" w:cstheme="majorBidi"/>
          <w:sz w:val="24"/>
          <w:szCs w:val="24"/>
        </w:rPr>
        <w:t xml:space="preserve"> </w:t>
      </w:r>
      <w:r w:rsidRPr="00085499">
        <w:rPr>
          <w:rFonts w:asciiTheme="majorBidi" w:hAnsiTheme="majorBidi" w:cstheme="majorBidi"/>
          <w:sz w:val="24"/>
          <w:szCs w:val="24"/>
        </w:rPr>
        <w:t>From this seasonal comparison it can be inferred that while In-Situ measures may be capturing more unique or localized peaks or dips in ET’, MODIS is substantially underestimated.</w:t>
      </w:r>
    </w:p>
    <w:bookmarkStart w:id="27" w:name="_Toc182606026"/>
    <w:p w14:paraId="6013CC54" w14:textId="63115D4E" w:rsidR="002D3F5C" w:rsidRPr="008A0DDC" w:rsidRDefault="00E24896" w:rsidP="00085499">
      <w:pPr>
        <w:pStyle w:val="Caption"/>
        <w:jc w:val="both"/>
        <w:rPr>
          <w:i w:val="0"/>
          <w:iCs w:val="0"/>
          <w:color w:val="auto"/>
          <w:sz w:val="22"/>
          <w:szCs w:val="22"/>
        </w:rPr>
      </w:pPr>
      <w:r w:rsidRPr="00085499">
        <w:rPr>
          <w:rFonts w:asciiTheme="majorBidi" w:hAnsiTheme="majorBidi" w:cstheme="majorBidi"/>
          <w:i w:val="0"/>
          <w:iCs w:val="0"/>
          <w:color w:val="auto"/>
          <w:sz w:val="24"/>
          <w:szCs w:val="24"/>
        </w:rPr>
        <w:fldChar w:fldCharType="begin"/>
      </w:r>
      <w:r w:rsidRPr="00085499">
        <w:rPr>
          <w:rFonts w:asciiTheme="majorBidi" w:hAnsiTheme="majorBidi" w:cstheme="majorBidi"/>
          <w:i w:val="0"/>
          <w:iCs w:val="0"/>
          <w:color w:val="auto"/>
          <w:sz w:val="24"/>
          <w:szCs w:val="24"/>
        </w:rPr>
        <w:instrText xml:space="preserve"> REF _Ref182606254 \h  \* MERGEFORMAT </w:instrText>
      </w:r>
      <w:r w:rsidRPr="00085499">
        <w:rPr>
          <w:rFonts w:asciiTheme="majorBidi" w:hAnsiTheme="majorBidi" w:cstheme="majorBidi"/>
          <w:i w:val="0"/>
          <w:iCs w:val="0"/>
          <w:color w:val="auto"/>
          <w:sz w:val="24"/>
          <w:szCs w:val="24"/>
        </w:rPr>
      </w:r>
      <w:r w:rsidRPr="00085499">
        <w:rPr>
          <w:rFonts w:asciiTheme="majorBidi" w:hAnsiTheme="majorBidi" w:cstheme="majorBidi"/>
          <w:i w:val="0"/>
          <w:iCs w:val="0"/>
          <w:color w:val="auto"/>
          <w:sz w:val="24"/>
          <w:szCs w:val="24"/>
        </w:rPr>
        <w:fldChar w:fldCharType="separate"/>
      </w:r>
      <w:r w:rsidR="00E02F7A" w:rsidRPr="00085499">
        <w:rPr>
          <w:rFonts w:asciiTheme="majorBidi" w:hAnsiTheme="majorBidi" w:cstheme="majorBidi"/>
          <w:i w:val="0"/>
          <w:iCs w:val="0"/>
          <w:color w:val="auto"/>
          <w:sz w:val="24"/>
          <w:szCs w:val="24"/>
        </w:rPr>
        <w:t>Figure 12</w:t>
      </w:r>
      <w:r w:rsidRPr="00085499">
        <w:rPr>
          <w:rFonts w:asciiTheme="majorBidi" w:hAnsiTheme="majorBidi" w:cstheme="majorBidi"/>
          <w:i w:val="0"/>
          <w:iCs w:val="0"/>
          <w:color w:val="auto"/>
          <w:sz w:val="24"/>
          <w:szCs w:val="24"/>
        </w:rPr>
        <w:fldChar w:fldCharType="end"/>
      </w:r>
      <w:r w:rsidRPr="00085499">
        <w:rPr>
          <w:rFonts w:asciiTheme="majorBidi" w:hAnsiTheme="majorBidi" w:cstheme="majorBidi"/>
          <w:i w:val="0"/>
          <w:iCs w:val="0"/>
          <w:color w:val="auto"/>
          <w:sz w:val="24"/>
          <w:szCs w:val="24"/>
        </w:rPr>
        <w:t xml:space="preserve"> </w:t>
      </w:r>
      <w:r w:rsidR="002D3F5C" w:rsidRPr="00085499">
        <w:rPr>
          <w:rFonts w:asciiTheme="majorBidi" w:hAnsiTheme="majorBidi" w:cstheme="majorBidi"/>
          <w:i w:val="0"/>
          <w:iCs w:val="0"/>
          <w:color w:val="auto"/>
          <w:sz w:val="24"/>
          <w:szCs w:val="24"/>
        </w:rPr>
        <w:t>compares the distribution of MODIS16A2 - ET and In-Situ data, showing distinct characteristics for each dataset</w:t>
      </w:r>
      <w:bookmarkEnd w:id="27"/>
      <w:r w:rsidR="00085499" w:rsidRPr="00085499">
        <w:rPr>
          <w:rFonts w:asciiTheme="majorBidi" w:hAnsiTheme="majorBidi" w:cstheme="majorBidi"/>
          <w:i w:val="0"/>
          <w:iCs w:val="0"/>
          <w:color w:val="auto"/>
          <w:sz w:val="24"/>
          <w:szCs w:val="24"/>
        </w:rPr>
        <w:t xml:space="preserve">. The </w:t>
      </w:r>
      <w:r w:rsidR="002D3F5C" w:rsidRPr="00085499">
        <w:rPr>
          <w:rFonts w:asciiTheme="majorBidi" w:hAnsiTheme="majorBidi" w:cstheme="majorBidi"/>
          <w:i w:val="0"/>
          <w:iCs w:val="0"/>
          <w:color w:val="auto"/>
          <w:sz w:val="24"/>
          <w:szCs w:val="24"/>
        </w:rPr>
        <w:t>Central Tendency</w:t>
      </w:r>
      <w:r w:rsidR="00085499" w:rsidRPr="00085499">
        <w:rPr>
          <w:rFonts w:asciiTheme="majorBidi" w:hAnsiTheme="majorBidi" w:cstheme="majorBidi"/>
          <w:i w:val="0"/>
          <w:iCs w:val="0"/>
          <w:color w:val="auto"/>
          <w:sz w:val="24"/>
          <w:szCs w:val="24"/>
        </w:rPr>
        <w:t xml:space="preserve"> for</w:t>
      </w:r>
      <w:r w:rsidR="002D3F5C" w:rsidRPr="00085499">
        <w:rPr>
          <w:rFonts w:asciiTheme="majorBidi" w:hAnsiTheme="majorBidi" w:cstheme="majorBidi"/>
          <w:i w:val="0"/>
          <w:iCs w:val="0"/>
          <w:color w:val="auto"/>
          <w:sz w:val="24"/>
          <w:szCs w:val="24"/>
        </w:rPr>
        <w:t xml:space="preserve"> MODIS16A2 - ET has a slightly higher median value, equal to 7.66, as opposed to a higher median value obtained for In-Situ equal to 36.51, so In-Situ appears to use much higher ET values for calculations. </w:t>
      </w:r>
      <w:r w:rsidR="00085499">
        <w:rPr>
          <w:rFonts w:asciiTheme="majorBidi" w:hAnsiTheme="majorBidi" w:cstheme="majorBidi"/>
          <w:i w:val="0"/>
          <w:iCs w:val="0"/>
          <w:color w:val="auto"/>
          <w:sz w:val="24"/>
          <w:szCs w:val="24"/>
        </w:rPr>
        <w:t xml:space="preserve">Regarding to the </w:t>
      </w:r>
      <w:r w:rsidR="002D3F5C" w:rsidRPr="002D3F5C">
        <w:rPr>
          <w:i w:val="0"/>
          <w:iCs w:val="0"/>
          <w:color w:val="auto"/>
          <w:sz w:val="22"/>
          <w:szCs w:val="22"/>
        </w:rPr>
        <w:t xml:space="preserve">Interquartile Range (IQR): Nevertheless, MODIS16A2 has a higher contrast range and lower variability, with an IQR of about 5.94 to 9.90. Similar to the In-Situ data has a much wider IQR ranging from roughly 28.85 to 40.19, indicating far greater spread of ET measurements. </w:t>
      </w:r>
      <w:r w:rsidR="00085499">
        <w:rPr>
          <w:i w:val="0"/>
          <w:iCs w:val="0"/>
          <w:color w:val="auto"/>
          <w:sz w:val="22"/>
          <w:szCs w:val="22"/>
        </w:rPr>
        <w:t xml:space="preserve">For </w:t>
      </w:r>
      <w:r w:rsidR="002D3F5C" w:rsidRPr="002D3F5C">
        <w:rPr>
          <w:i w:val="0"/>
          <w:iCs w:val="0"/>
          <w:color w:val="auto"/>
          <w:sz w:val="22"/>
          <w:szCs w:val="22"/>
        </w:rPr>
        <w:t>Range and Outliers</w:t>
      </w:r>
      <w:r w:rsidR="00085499">
        <w:rPr>
          <w:i w:val="0"/>
          <w:iCs w:val="0"/>
          <w:color w:val="auto"/>
          <w:sz w:val="22"/>
          <w:szCs w:val="22"/>
        </w:rPr>
        <w:t>;</w:t>
      </w:r>
      <w:r w:rsidR="002D3F5C" w:rsidRPr="002D3F5C">
        <w:rPr>
          <w:i w:val="0"/>
          <w:iCs w:val="0"/>
          <w:color w:val="auto"/>
          <w:sz w:val="22"/>
          <w:szCs w:val="22"/>
        </w:rPr>
        <w:t xml:space="preserve"> The minimum and maximum values are 5.94 and 12.71 </w:t>
      </w:r>
      <w:r w:rsidR="002D3F5C" w:rsidRPr="002D3F5C">
        <w:rPr>
          <w:i w:val="0"/>
          <w:iCs w:val="0"/>
          <w:color w:val="auto"/>
          <w:sz w:val="22"/>
          <w:szCs w:val="22"/>
        </w:rPr>
        <w:lastRenderedPageBreak/>
        <w:t xml:space="preserve">respectively for MODIS16A2 having no significant outliers. Using In-Situ data it varies from 18.67 to </w:t>
      </w:r>
      <w:r w:rsidR="00EA2ABE" w:rsidRPr="002D3F5C">
        <w:rPr>
          <w:i w:val="0"/>
          <w:iCs w:val="0"/>
          <w:color w:val="auto"/>
          <w:sz w:val="22"/>
          <w:szCs w:val="22"/>
        </w:rPr>
        <w:t>42.04,</w:t>
      </w:r>
      <w:r w:rsidR="002D3F5C" w:rsidRPr="002D3F5C">
        <w:rPr>
          <w:i w:val="0"/>
          <w:iCs w:val="0"/>
          <w:color w:val="auto"/>
          <w:sz w:val="22"/>
          <w:szCs w:val="22"/>
        </w:rPr>
        <w:t xml:space="preserve"> suggesting great variability which suggest periodic reading or more frequent fluctuation or there could be outlier.</w:t>
      </w:r>
      <w:r w:rsidR="00085499">
        <w:rPr>
          <w:i w:val="0"/>
          <w:iCs w:val="0"/>
          <w:color w:val="auto"/>
          <w:sz w:val="22"/>
          <w:szCs w:val="22"/>
        </w:rPr>
        <w:t xml:space="preserve"> I</w:t>
      </w:r>
      <w:r w:rsidR="00085499" w:rsidRPr="002D3F5C">
        <w:rPr>
          <w:i w:val="0"/>
          <w:iCs w:val="0"/>
          <w:color w:val="auto"/>
          <w:sz w:val="22"/>
          <w:szCs w:val="22"/>
        </w:rPr>
        <w:t>n general</w:t>
      </w:r>
      <w:r w:rsidR="00085499">
        <w:rPr>
          <w:i w:val="0"/>
          <w:iCs w:val="0"/>
          <w:color w:val="auto"/>
          <w:sz w:val="22"/>
          <w:szCs w:val="22"/>
        </w:rPr>
        <w:t xml:space="preserve">, </w:t>
      </w:r>
      <w:r w:rsidR="002D3F5C">
        <w:rPr>
          <w:i w:val="0"/>
          <w:iCs w:val="0"/>
          <w:color w:val="auto"/>
          <w:sz w:val="22"/>
          <w:szCs w:val="22"/>
        </w:rPr>
        <w:t>The results</w:t>
      </w:r>
      <w:r w:rsidR="002D3F5C" w:rsidRPr="002D3F5C">
        <w:rPr>
          <w:i w:val="0"/>
          <w:iCs w:val="0"/>
          <w:color w:val="auto"/>
          <w:sz w:val="22"/>
          <w:szCs w:val="22"/>
        </w:rPr>
        <w:t xml:space="preserve"> show that , In-Situ measurements give higher and highly skewed ET values than MODIS16A2 which could be attributed to </w:t>
      </w:r>
      <w:r w:rsidR="008A0DDC">
        <w:rPr>
          <w:i w:val="0"/>
          <w:iCs w:val="0"/>
          <w:color w:val="auto"/>
          <w:sz w:val="22"/>
          <w:szCs w:val="22"/>
        </w:rPr>
        <w:t xml:space="preserve">cultivating Rice which </w:t>
      </w:r>
      <w:r w:rsidR="00CA600F" w:rsidRPr="002D3F5C">
        <w:rPr>
          <w:i w:val="0"/>
          <w:iCs w:val="0"/>
          <w:color w:val="auto"/>
          <w:sz w:val="22"/>
          <w:szCs w:val="22"/>
        </w:rPr>
        <w:t>influences</w:t>
      </w:r>
      <w:r w:rsidR="002D3F5C" w:rsidRPr="002D3F5C">
        <w:rPr>
          <w:i w:val="0"/>
          <w:iCs w:val="0"/>
          <w:color w:val="auto"/>
          <w:sz w:val="22"/>
          <w:szCs w:val="22"/>
        </w:rPr>
        <w:t xml:space="preserve"> the In-Situ data</w:t>
      </w:r>
      <w:r w:rsidR="00EA2ABE">
        <w:rPr>
          <w:i w:val="0"/>
          <w:iCs w:val="0"/>
          <w:color w:val="auto"/>
          <w:sz w:val="22"/>
          <w:szCs w:val="22"/>
        </w:rPr>
        <w:t xml:space="preserve"> or remotely sensed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5"/>
        <w:gridCol w:w="3611"/>
      </w:tblGrid>
      <w:tr w:rsidR="0022329F" w14:paraId="5A22A222" w14:textId="77777777" w:rsidTr="00B43FE7">
        <w:tc>
          <w:tcPr>
            <w:tcW w:w="5965" w:type="dxa"/>
          </w:tcPr>
          <w:p w14:paraId="417C4C57" w14:textId="77777777" w:rsidR="009C4422" w:rsidRDefault="009C4422" w:rsidP="00C64B75"/>
          <w:p w14:paraId="2F8683D0" w14:textId="77777777" w:rsidR="0022329F" w:rsidRDefault="009C4422" w:rsidP="0022329F">
            <w:pPr>
              <w:keepNext/>
            </w:pPr>
            <w:r>
              <w:rPr>
                <w:noProof/>
              </w:rPr>
              <w:drawing>
                <wp:inline distT="0" distB="0" distL="0" distR="0" wp14:anchorId="69E5E1EE" wp14:editId="3CE60DF4">
                  <wp:extent cx="3650615" cy="2286000"/>
                  <wp:effectExtent l="0" t="0" r="0" b="0"/>
                  <wp:docPr id="1063638064" name="Chart 1">
                    <a:extLst xmlns:a="http://schemas.openxmlformats.org/drawingml/2006/main">
                      <a:ext uri="{FF2B5EF4-FFF2-40B4-BE49-F238E27FC236}">
                        <a16:creationId xmlns:a16="http://schemas.microsoft.com/office/drawing/2014/main" id="{7FA2870D-A0EF-4872-B7C7-FAD54303F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89830A" w14:textId="40FF2AE8" w:rsidR="009C4422" w:rsidRDefault="0022329F" w:rsidP="0022329F">
            <w:pPr>
              <w:pStyle w:val="Caption"/>
            </w:pPr>
            <w:bookmarkStart w:id="28" w:name="_Ref182606246"/>
            <w:bookmarkStart w:id="29" w:name="_Toc182606027"/>
            <w:r>
              <w:t xml:space="preserve">Figure </w:t>
            </w:r>
            <w:fldSimple w:instr=" SEQ Figure \* ARABIC ">
              <w:r w:rsidR="00E02F7A">
                <w:rPr>
                  <w:noProof/>
                </w:rPr>
                <w:t>11</w:t>
              </w:r>
            </w:fldSimple>
            <w:bookmarkEnd w:id="28"/>
            <w:r>
              <w:rPr>
                <w:noProof/>
              </w:rPr>
              <w:t xml:space="preserve"> Comparison between MODIS16A2</w:t>
            </w:r>
            <w:r w:rsidR="00CA600F">
              <w:rPr>
                <w:noProof/>
              </w:rPr>
              <w:t xml:space="preserve"> - ET</w:t>
            </w:r>
            <w:r>
              <w:rPr>
                <w:noProof/>
              </w:rPr>
              <w:t xml:space="preserve"> data and </w:t>
            </w:r>
            <w:r w:rsidR="00CA600F">
              <w:rPr>
                <w:noProof/>
              </w:rPr>
              <w:t>I</w:t>
            </w:r>
            <w:r>
              <w:rPr>
                <w:noProof/>
              </w:rPr>
              <w:t>n-</w:t>
            </w:r>
            <w:r w:rsidR="00CA600F">
              <w:rPr>
                <w:noProof/>
              </w:rPr>
              <w:t>S</w:t>
            </w:r>
            <w:r>
              <w:rPr>
                <w:noProof/>
              </w:rPr>
              <w:t>itu data for sumer 2021 cultivated with Rice</w:t>
            </w:r>
            <w:bookmarkEnd w:id="29"/>
          </w:p>
        </w:tc>
        <w:tc>
          <w:tcPr>
            <w:tcW w:w="3611" w:type="dxa"/>
          </w:tcPr>
          <w:p w14:paraId="2AAF008E" w14:textId="77777777" w:rsidR="0022329F" w:rsidRDefault="0022329F" w:rsidP="00C64B75">
            <w:pPr>
              <w:pStyle w:val="Caption"/>
              <w:jc w:val="center"/>
            </w:pPr>
          </w:p>
          <w:p w14:paraId="1D909328" w14:textId="1C47ED5B" w:rsidR="0022329F" w:rsidRDefault="0069698D" w:rsidP="0022329F">
            <w:pPr>
              <w:pStyle w:val="Caption"/>
              <w:keepNext/>
              <w:jc w:val="center"/>
            </w:pPr>
            <w:r w:rsidRPr="0065762D">
              <w:rPr>
                <w:noProof/>
              </w:rPr>
              <mc:AlternateContent>
                <mc:Choice Requires="cx1">
                  <w:drawing>
                    <wp:inline distT="0" distB="0" distL="0" distR="0" wp14:anchorId="6265AB13" wp14:editId="27B9C1AE">
                      <wp:extent cx="2055495" cy="2133600"/>
                      <wp:effectExtent l="0" t="0" r="0" b="0"/>
                      <wp:docPr id="43" name="Chart 23"/>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drawing>
                    <wp:inline distT="0" distB="0" distL="0" distR="0" wp14:anchorId="6265AB13" wp14:editId="27B9C1AE">
                      <wp:extent cx="2055495" cy="2133600"/>
                      <wp:effectExtent l="0" t="0" r="0" b="0"/>
                      <wp:docPr id="43" name="Chart 2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3" name="Chart 23"/>
                              <pic:cNvPicPr>
                                <a:picLocks noGrp="1" noRot="1" noChangeAspect="1" noMove="1" noResize="1" noEditPoints="1" noAdjustHandles="1" noChangeArrowheads="1" noChangeShapeType="1"/>
                              </pic:cNvPicPr>
                            </pic:nvPicPr>
                            <pic:blipFill>
                              <a:blip r:embed="rId33"/>
                              <a:stretch>
                                <a:fillRect/>
                              </a:stretch>
                            </pic:blipFill>
                            <pic:spPr>
                              <a:xfrm>
                                <a:off x="0" y="0"/>
                                <a:ext cx="2055495" cy="2133600"/>
                              </a:xfrm>
                              <a:prstGeom prst="rect">
                                <a:avLst/>
                              </a:prstGeom>
                            </pic:spPr>
                          </pic:pic>
                        </a:graphicData>
                      </a:graphic>
                    </wp:inline>
                  </w:drawing>
                </mc:Fallback>
              </mc:AlternateContent>
            </w:r>
          </w:p>
          <w:p w14:paraId="2E7503E1" w14:textId="23FB018E" w:rsidR="009C4422" w:rsidRDefault="0022329F" w:rsidP="00E24896">
            <w:pPr>
              <w:pStyle w:val="Caption"/>
            </w:pPr>
            <w:bookmarkStart w:id="30" w:name="_Ref182606254"/>
            <w:bookmarkStart w:id="31" w:name="_Toc182606028"/>
            <w:r>
              <w:t xml:space="preserve">Figure </w:t>
            </w:r>
            <w:fldSimple w:instr=" SEQ Figure \* ARABIC ">
              <w:r w:rsidR="00E02F7A">
                <w:rPr>
                  <w:noProof/>
                </w:rPr>
                <w:t>12</w:t>
              </w:r>
            </w:fldSimple>
            <w:bookmarkEnd w:id="30"/>
            <w:r w:rsidR="00EA2ABE">
              <w:t xml:space="preserve"> </w:t>
            </w:r>
            <w:r w:rsidR="00EA2ABE" w:rsidRPr="00EA2ABE">
              <w:t>box plot compares the distribution of MODIS16A2 - ET and In-Situ data</w:t>
            </w:r>
            <w:r w:rsidR="00CA600F">
              <w:rPr>
                <w:noProof/>
              </w:rPr>
              <w:t xml:space="preserve"> for sumer 2021 cultivated with Rice</w:t>
            </w:r>
            <w:bookmarkEnd w:id="31"/>
          </w:p>
        </w:tc>
      </w:tr>
    </w:tbl>
    <w:p w14:paraId="26DD29FA" w14:textId="77777777" w:rsidR="008A0DDC" w:rsidRPr="008A0DDC" w:rsidRDefault="008A0DDC" w:rsidP="008A0DDC">
      <w:pPr>
        <w:rPr>
          <w:lang w:val="en-GB" w:eastAsia="en-GB"/>
        </w:rPr>
      </w:pPr>
    </w:p>
    <w:p w14:paraId="73A30159" w14:textId="0757842A" w:rsidR="008A0DDC" w:rsidRDefault="008A0DDC" w:rsidP="00085499">
      <w:pPr>
        <w:pStyle w:val="Heading1"/>
        <w:keepLines w:val="0"/>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r>
        <w:rPr>
          <w:rFonts w:ascii="Cambria" w:eastAsia="Times New Roman" w:hAnsi="Cambria" w:cs="Arial"/>
          <w:b/>
          <w:bCs/>
          <w:color w:val="auto"/>
          <w:kern w:val="32"/>
          <w:sz w:val="24"/>
          <w:szCs w:val="24"/>
          <w:lang w:val="en-GB" w:eastAsia="en-GB"/>
          <w14:ligatures w14:val="none"/>
        </w:rPr>
        <w:t>Winter</w:t>
      </w:r>
      <w:r w:rsidRPr="002D3F5C">
        <w:rPr>
          <w:rFonts w:ascii="Cambria" w:eastAsia="Times New Roman" w:hAnsi="Cambria" w:cs="Arial"/>
          <w:b/>
          <w:bCs/>
          <w:color w:val="auto"/>
          <w:kern w:val="32"/>
          <w:sz w:val="24"/>
          <w:szCs w:val="24"/>
          <w:lang w:val="en-GB" w:eastAsia="en-GB"/>
          <w14:ligatures w14:val="none"/>
        </w:rPr>
        <w:t xml:space="preserve"> 2021</w:t>
      </w:r>
      <w:r>
        <w:rPr>
          <w:rFonts w:ascii="Cambria" w:eastAsia="Times New Roman" w:hAnsi="Cambria" w:cs="Arial"/>
          <w:b/>
          <w:bCs/>
          <w:color w:val="auto"/>
          <w:kern w:val="32"/>
          <w:sz w:val="24"/>
          <w:szCs w:val="24"/>
          <w:lang w:val="en-GB" w:eastAsia="en-GB"/>
          <w14:ligatures w14:val="none"/>
        </w:rPr>
        <w:t>/2022 – Wheat</w:t>
      </w:r>
    </w:p>
    <w:p w14:paraId="61D6038B" w14:textId="4C30F5C4" w:rsidR="008A0DDC" w:rsidRPr="00B43FE7" w:rsidRDefault="00CA600F" w:rsidP="00B43FE7">
      <w:pPr>
        <w:jc w:val="both"/>
      </w:pPr>
      <w:bookmarkStart w:id="32" w:name="_Toc182606029"/>
      <w:r>
        <w:t>The</w:t>
      </w:r>
      <w:r w:rsidRPr="00CA600F">
        <w:t xml:space="preserve"> trend analysis from </w:t>
      </w:r>
      <w:r w:rsidR="00AE0F5C">
        <w:t>11</w:t>
      </w:r>
      <w:r w:rsidR="00AE0F5C" w:rsidRPr="00AE0F5C">
        <w:rPr>
          <w:vertAlign w:val="superscript"/>
        </w:rPr>
        <w:t>th</w:t>
      </w:r>
      <w:r w:rsidR="00AE0F5C">
        <w:t xml:space="preserve"> </w:t>
      </w:r>
      <w:r w:rsidRPr="00CA600F">
        <w:t xml:space="preserve">December 2020 to </w:t>
      </w:r>
      <w:r>
        <w:t>17</w:t>
      </w:r>
      <w:r w:rsidR="00AE0F5C" w:rsidRPr="00AE0F5C">
        <w:rPr>
          <w:vertAlign w:val="superscript"/>
        </w:rPr>
        <w:t>th</w:t>
      </w:r>
      <w:r w:rsidR="00AE0F5C">
        <w:t xml:space="preserve"> </w:t>
      </w:r>
      <w:r w:rsidRPr="00CA600F">
        <w:t>May 2022 reveals</w:t>
      </w:r>
      <w:r w:rsidR="00A01E1A">
        <w:t xml:space="preserve"> that i</w:t>
      </w:r>
      <w:r w:rsidRPr="00CA600F">
        <w:t xml:space="preserve">t has been observed </w:t>
      </w:r>
      <w:r w:rsidR="00E02F7A" w:rsidRPr="00CA600F">
        <w:t>that</w:t>
      </w:r>
      <w:r w:rsidR="00E02F7A">
        <w:t xml:space="preserve">, </w:t>
      </w:r>
      <w:r w:rsidRPr="00CA600F">
        <w:t>In-Situ systematically reports higher ET values and higher degree of variability across the scale of seasons; compared to MODIS16A2 range that appears to be comparatively flat. This trend analysis also shows the difference in MODIS16A2 and In-Situ, the latter capturing relatively bigger oscillations in the seasonality</w:t>
      </w:r>
      <w:r w:rsidR="00A01E1A">
        <w:t xml:space="preserve"> as shown in </w:t>
      </w:r>
      <w:r w:rsidR="00E24896">
        <w:rPr>
          <w:color w:val="FF0000"/>
        </w:rPr>
        <w:fldChar w:fldCharType="begin"/>
      </w:r>
      <w:r w:rsidR="00E24896">
        <w:instrText xml:space="preserve"> REF _Ref182606303 \h </w:instrText>
      </w:r>
      <w:r w:rsidR="00E24896">
        <w:rPr>
          <w:color w:val="FF0000"/>
        </w:rPr>
      </w:r>
      <w:r w:rsidR="00E24896">
        <w:rPr>
          <w:color w:val="FF0000"/>
        </w:rPr>
        <w:fldChar w:fldCharType="separate"/>
      </w:r>
      <w:r w:rsidR="00E02F7A">
        <w:t xml:space="preserve">Figure </w:t>
      </w:r>
      <w:r w:rsidR="00E02F7A">
        <w:rPr>
          <w:noProof/>
        </w:rPr>
        <w:t>13</w:t>
      </w:r>
      <w:r w:rsidR="00E24896">
        <w:rPr>
          <w:color w:val="FF0000"/>
        </w:rPr>
        <w:fldChar w:fldCharType="end"/>
      </w:r>
      <w:r w:rsidRPr="00CA600F">
        <w:t>.</w:t>
      </w:r>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gridCol w:w="3574"/>
      </w:tblGrid>
      <w:tr w:rsidR="009C4422" w14:paraId="59742FE4" w14:textId="77777777" w:rsidTr="00B43FE7">
        <w:tc>
          <w:tcPr>
            <w:tcW w:w="6014" w:type="dxa"/>
          </w:tcPr>
          <w:p w14:paraId="78A36231" w14:textId="77777777" w:rsidR="0022329F" w:rsidRDefault="009C4422" w:rsidP="0022329F">
            <w:pPr>
              <w:keepNext/>
            </w:pPr>
            <w:r>
              <w:rPr>
                <w:noProof/>
              </w:rPr>
              <w:lastRenderedPageBreak/>
              <w:drawing>
                <wp:inline distT="0" distB="0" distL="0" distR="0" wp14:anchorId="5D9D0002" wp14:editId="0A809EC8">
                  <wp:extent cx="3695700" cy="2139950"/>
                  <wp:effectExtent l="0" t="0" r="0" b="0"/>
                  <wp:docPr id="607158317" name="Chart 1">
                    <a:extLst xmlns:a="http://schemas.openxmlformats.org/drawingml/2006/main">
                      <a:ext uri="{FF2B5EF4-FFF2-40B4-BE49-F238E27FC236}">
                        <a16:creationId xmlns:a16="http://schemas.microsoft.com/office/drawing/2014/main" id="{3BAF3561-F6AF-47FF-A4F2-42A705EF2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BF46C3" w14:textId="2A64AC6D" w:rsidR="009C4422" w:rsidRDefault="0022329F" w:rsidP="00EA2ABE">
            <w:pPr>
              <w:pStyle w:val="Caption"/>
            </w:pPr>
            <w:bookmarkStart w:id="33" w:name="_Ref182606303"/>
            <w:bookmarkStart w:id="34" w:name="_Toc182606030"/>
            <w:r>
              <w:t xml:space="preserve">Figure </w:t>
            </w:r>
            <w:fldSimple w:instr=" SEQ Figure \* ARABIC ">
              <w:r w:rsidR="00E02F7A">
                <w:rPr>
                  <w:noProof/>
                </w:rPr>
                <w:t>13</w:t>
              </w:r>
            </w:fldSimple>
            <w:bookmarkEnd w:id="33"/>
            <w:r>
              <w:rPr>
                <w:noProof/>
              </w:rPr>
              <w:t xml:space="preserve"> Comparison between MODIS16A2 data and in-situ data for winter 2021/2022 cultivated with Wheat</w:t>
            </w:r>
            <w:bookmarkEnd w:id="34"/>
          </w:p>
        </w:tc>
        <w:tc>
          <w:tcPr>
            <w:tcW w:w="3562" w:type="dxa"/>
          </w:tcPr>
          <w:p w14:paraId="5B4B511C" w14:textId="6C5924A4" w:rsidR="00792462" w:rsidRDefault="0069698D" w:rsidP="00792462">
            <w:pPr>
              <w:pStyle w:val="Caption"/>
              <w:keepNext/>
              <w:jc w:val="center"/>
            </w:pPr>
            <w:r w:rsidRPr="0065762D">
              <w:rPr>
                <w:noProof/>
              </w:rPr>
              <mc:AlternateContent>
                <mc:Choice Requires="cx1">
                  <w:drawing>
                    <wp:inline distT="0" distB="0" distL="0" distR="0" wp14:anchorId="110AD336" wp14:editId="45E7E56B">
                      <wp:extent cx="2132330" cy="2199005"/>
                      <wp:effectExtent l="0" t="0" r="0" b="0"/>
                      <wp:docPr id="42"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5"/>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drawing>
                    <wp:inline distT="0" distB="0" distL="0" distR="0" wp14:anchorId="110AD336" wp14:editId="45E7E56B">
                      <wp:extent cx="2132330" cy="2199005"/>
                      <wp:effectExtent l="0" t="0" r="0" b="0"/>
                      <wp:docPr id="42"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2" name="Chart 1"/>
                              <pic:cNvPicPr>
                                <a:picLocks noGrp="1" noRot="1" noChangeAspect="1" noMove="1" noResize="1" noEditPoints="1" noAdjustHandles="1" noChangeArrowheads="1" noChangeShapeType="1"/>
                              </pic:cNvPicPr>
                            </pic:nvPicPr>
                            <pic:blipFill>
                              <a:blip r:embed="rId36"/>
                              <a:stretch>
                                <a:fillRect/>
                              </a:stretch>
                            </pic:blipFill>
                            <pic:spPr>
                              <a:xfrm>
                                <a:off x="0" y="0"/>
                                <a:ext cx="2132330" cy="2199005"/>
                              </a:xfrm>
                              <a:prstGeom prst="rect">
                                <a:avLst/>
                              </a:prstGeom>
                            </pic:spPr>
                          </pic:pic>
                        </a:graphicData>
                      </a:graphic>
                    </wp:inline>
                  </w:drawing>
                </mc:Fallback>
              </mc:AlternateContent>
            </w:r>
          </w:p>
          <w:p w14:paraId="5A0A5538" w14:textId="361B4672" w:rsidR="009C4422" w:rsidRDefault="00792462" w:rsidP="0064554E">
            <w:pPr>
              <w:pStyle w:val="Caption"/>
            </w:pPr>
            <w:bookmarkStart w:id="35" w:name="_Toc182606031"/>
            <w:r>
              <w:t xml:space="preserve">Figure </w:t>
            </w:r>
            <w:fldSimple w:instr=" SEQ Figure \* ARABIC ">
              <w:r w:rsidR="00E02F7A">
                <w:rPr>
                  <w:noProof/>
                </w:rPr>
                <w:t>14</w:t>
              </w:r>
            </w:fldSimple>
            <w:r w:rsidR="0064554E" w:rsidRPr="00EA2ABE">
              <w:t xml:space="preserve"> box plot compares the distribution of MODIS16A2 - ET and In-Situ data</w:t>
            </w:r>
            <w:r w:rsidR="0064554E">
              <w:rPr>
                <w:noProof/>
              </w:rPr>
              <w:t xml:space="preserve"> for winter 2021/2022 cultivated with Wheat</w:t>
            </w:r>
            <w:bookmarkEnd w:id="35"/>
          </w:p>
        </w:tc>
      </w:tr>
    </w:tbl>
    <w:p w14:paraId="1AAB6FE0" w14:textId="11C0A4E9" w:rsidR="00150E14" w:rsidRPr="00534CCE" w:rsidRDefault="008A0DDC" w:rsidP="00534CCE">
      <w:pPr>
        <w:pStyle w:val="Heading1"/>
        <w:keepLines w:val="0"/>
        <w:numPr>
          <w:ilvl w:val="2"/>
          <w:numId w:val="2"/>
        </w:numPr>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proofErr w:type="spellStart"/>
      <w:r w:rsidRPr="00534CCE">
        <w:rPr>
          <w:rFonts w:ascii="Cambria" w:eastAsia="Times New Roman" w:hAnsi="Cambria" w:cs="Arial"/>
          <w:b/>
          <w:bCs/>
          <w:color w:val="auto"/>
          <w:kern w:val="32"/>
          <w:sz w:val="24"/>
          <w:szCs w:val="24"/>
          <w:lang w:val="en-GB" w:eastAsia="en-GB"/>
          <w14:ligatures w14:val="none"/>
        </w:rPr>
        <w:t>WaPOR</w:t>
      </w:r>
      <w:proofErr w:type="spellEnd"/>
      <w:r w:rsidRPr="00534CCE">
        <w:rPr>
          <w:rFonts w:ascii="Cambria" w:eastAsia="Times New Roman" w:hAnsi="Cambria" w:cs="Arial"/>
          <w:b/>
          <w:bCs/>
          <w:color w:val="auto"/>
          <w:kern w:val="32"/>
          <w:sz w:val="24"/>
          <w:szCs w:val="24"/>
          <w:lang w:val="en-GB" w:eastAsia="en-GB"/>
          <w14:ligatures w14:val="none"/>
        </w:rPr>
        <w:t xml:space="preserve"> vs In-Situ Data</w:t>
      </w:r>
    </w:p>
    <w:p w14:paraId="2FAF092F" w14:textId="6E17FDFC" w:rsidR="00150E14" w:rsidRPr="00A01E1A" w:rsidRDefault="008A0DDC" w:rsidP="00085499">
      <w:pPr>
        <w:pStyle w:val="Heading1"/>
        <w:keepLines w:val="0"/>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r>
        <w:rPr>
          <w:rFonts w:ascii="Cambria" w:eastAsia="Times New Roman" w:hAnsi="Cambria" w:cs="Arial"/>
          <w:b/>
          <w:bCs/>
          <w:color w:val="auto"/>
          <w:kern w:val="32"/>
          <w:sz w:val="24"/>
          <w:szCs w:val="24"/>
          <w:lang w:val="en-GB" w:eastAsia="en-GB"/>
          <w14:ligatures w14:val="none"/>
        </w:rPr>
        <w:t>Winter</w:t>
      </w:r>
      <w:r w:rsidRPr="002D3F5C">
        <w:rPr>
          <w:rFonts w:ascii="Cambria" w:eastAsia="Times New Roman" w:hAnsi="Cambria" w:cs="Arial"/>
          <w:b/>
          <w:bCs/>
          <w:color w:val="auto"/>
          <w:kern w:val="32"/>
          <w:sz w:val="24"/>
          <w:szCs w:val="24"/>
          <w:lang w:val="en-GB" w:eastAsia="en-GB"/>
          <w14:ligatures w14:val="none"/>
        </w:rPr>
        <w:t xml:space="preserve"> 20</w:t>
      </w:r>
      <w:r>
        <w:rPr>
          <w:rFonts w:ascii="Cambria" w:eastAsia="Times New Roman" w:hAnsi="Cambria" w:cs="Arial"/>
          <w:b/>
          <w:bCs/>
          <w:color w:val="auto"/>
          <w:kern w:val="32"/>
          <w:sz w:val="24"/>
          <w:szCs w:val="24"/>
          <w:lang w:val="en-GB" w:eastAsia="en-GB"/>
          <w14:ligatures w14:val="none"/>
        </w:rPr>
        <w:t>19/2020 - Wheat</w:t>
      </w:r>
    </w:p>
    <w:p w14:paraId="5A39A2E0" w14:textId="781621AD" w:rsidR="009C4422" w:rsidRDefault="00F91A61" w:rsidP="00150E14">
      <w:pPr>
        <w:rPr>
          <w:noProof/>
        </w:rPr>
      </w:pPr>
      <w:r>
        <w:rPr>
          <w:noProof/>
        </w:rPr>
        <w:t>WaPOR data starts f</w:t>
      </w:r>
      <w:r w:rsidRPr="00F91A61">
        <w:rPr>
          <w:noProof/>
        </w:rPr>
        <w:t xml:space="preserve">rom 11 December 2019, which begins at 0.4 and ranges up to 4.3 on 21 March 2020 and declines to 1.8 on 01 May 2020. </w:t>
      </w:r>
      <w:r>
        <w:rPr>
          <w:noProof/>
        </w:rPr>
        <w:t>MODIS data s</w:t>
      </w:r>
      <w:r w:rsidRPr="00F91A61">
        <w:rPr>
          <w:noProof/>
        </w:rPr>
        <w:t>tarts at 0.77, follows an almost similar pattern to the above calculation rising to a peak of 3.63 on April 1, 2020, before dropping to 1.67 on May 1, 2020</w:t>
      </w:r>
      <w:r>
        <w:rPr>
          <w:noProof/>
        </w:rPr>
        <w:t xml:space="preserve"> as illustarted in </w:t>
      </w:r>
      <w:r>
        <w:rPr>
          <w:noProof/>
        </w:rPr>
        <w:fldChar w:fldCharType="begin"/>
      </w:r>
      <w:r>
        <w:rPr>
          <w:noProof/>
        </w:rPr>
        <w:instrText xml:space="preserve"> REF _Ref182429113 \h </w:instrText>
      </w:r>
      <w:r w:rsidR="00E24896">
        <w:rPr>
          <w:noProof/>
        </w:rPr>
        <w:instrText xml:space="preserve"> \* MERGEFORMAT </w:instrText>
      </w:r>
      <w:r>
        <w:rPr>
          <w:noProof/>
        </w:rPr>
      </w:r>
      <w:r>
        <w:rPr>
          <w:noProof/>
        </w:rPr>
        <w:fldChar w:fldCharType="separate"/>
      </w:r>
      <w:r w:rsidR="00E02F7A" w:rsidRPr="00E02F7A">
        <w:t>Figure</w:t>
      </w:r>
      <w:r w:rsidR="00E02F7A">
        <w:rPr>
          <w:noProof/>
        </w:rPr>
        <w:t xml:space="preserve"> 15</w:t>
      </w:r>
      <w:r>
        <w:rPr>
          <w:noProof/>
        </w:rPr>
        <w:fldChar w:fldCharType="end"/>
      </w:r>
      <w:r>
        <w:rPr>
          <w:noProof/>
        </w:rPr>
        <w:t xml:space="preserve">.  </w:t>
      </w:r>
      <w:r w:rsidRPr="00F91A61">
        <w:rPr>
          <w:noProof/>
        </w:rPr>
        <w:t xml:space="preserve">As illustrated in the Box and Whisker plot </w:t>
      </w:r>
      <w:r>
        <w:rPr>
          <w:noProof/>
        </w:rPr>
        <w:t xml:space="preserve">in </w:t>
      </w:r>
      <w:r>
        <w:rPr>
          <w:noProof/>
        </w:rPr>
        <w:fldChar w:fldCharType="begin"/>
      </w:r>
      <w:r>
        <w:rPr>
          <w:noProof/>
        </w:rPr>
        <w:instrText xml:space="preserve"> REF _Ref182429443 \h </w:instrText>
      </w:r>
      <w:r w:rsidR="00E24896">
        <w:rPr>
          <w:noProof/>
        </w:rPr>
        <w:instrText xml:space="preserve"> \* MERGEFORMAT </w:instrText>
      </w:r>
      <w:r>
        <w:rPr>
          <w:noProof/>
        </w:rPr>
      </w:r>
      <w:r>
        <w:rPr>
          <w:noProof/>
        </w:rPr>
        <w:fldChar w:fldCharType="separate"/>
      </w:r>
      <w:r w:rsidR="00E02F7A" w:rsidRPr="00E02F7A">
        <w:t>Figure</w:t>
      </w:r>
      <w:r w:rsidR="00E02F7A">
        <w:rPr>
          <w:noProof/>
        </w:rPr>
        <w:t xml:space="preserve"> 16</w:t>
      </w:r>
      <w:r>
        <w:rPr>
          <w:noProof/>
        </w:rPr>
        <w:fldChar w:fldCharType="end"/>
      </w:r>
      <w:r>
        <w:rPr>
          <w:noProof/>
        </w:rPr>
        <w:t xml:space="preserve">, </w:t>
      </w:r>
      <w:r w:rsidRPr="00F91A61">
        <w:rPr>
          <w:noProof/>
        </w:rPr>
        <w:t xml:space="preserve">both medians represent similar values although the median of </w:t>
      </w:r>
      <w:r w:rsidR="00285749">
        <w:rPr>
          <w:noProof/>
        </w:rPr>
        <w:t>in-situ</w:t>
      </w:r>
      <w:r>
        <w:rPr>
          <w:noProof/>
        </w:rPr>
        <w:t xml:space="preserve"> data</w:t>
      </w:r>
      <w:r w:rsidRPr="00F91A61">
        <w:rPr>
          <w:noProof/>
        </w:rPr>
        <w:t xml:space="preserve"> was slightly higher than </w:t>
      </w:r>
      <w:r>
        <w:rPr>
          <w:noProof/>
        </w:rPr>
        <w:t>the recorded via WaPOR data</w:t>
      </w:r>
      <w:r w:rsidR="00150E14">
        <w:rPr>
          <w:noProof/>
        </w:rPr>
        <w:t xml:space="preserve">. </w:t>
      </w:r>
      <w:r w:rsidR="00150E14" w:rsidRPr="00150E14">
        <w:rPr>
          <w:noProof/>
        </w:rPr>
        <w:t xml:space="preserve">We can reason that </w:t>
      </w:r>
      <w:r w:rsidR="00150E14">
        <w:rPr>
          <w:noProof/>
        </w:rPr>
        <w:t>WaPOR data</w:t>
      </w:r>
      <w:r w:rsidR="00150E14" w:rsidRPr="00150E14">
        <w:rPr>
          <w:noProof/>
        </w:rPr>
        <w:t xml:space="preserve"> should have a larger spread </w:t>
      </w:r>
      <w:r w:rsidR="00150E14">
        <w:rPr>
          <w:noProof/>
        </w:rPr>
        <w:t>measured data</w:t>
      </w:r>
      <w:r w:rsidR="00150E14" w:rsidRPr="00150E14">
        <w:rPr>
          <w:noProof/>
        </w:rPr>
        <w:t xml:space="preserve"> has less variation about the median samples.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6"/>
        <w:gridCol w:w="4170"/>
      </w:tblGrid>
      <w:tr w:rsidR="009C4422" w14:paraId="09803A90" w14:textId="77777777" w:rsidTr="00B43FE7">
        <w:tc>
          <w:tcPr>
            <w:tcW w:w="5448" w:type="dxa"/>
          </w:tcPr>
          <w:p w14:paraId="26C99FA8" w14:textId="77777777" w:rsidR="009C4422" w:rsidRDefault="009C4422" w:rsidP="00C64B75">
            <w:pPr>
              <w:keepNext/>
              <w:jc w:val="center"/>
            </w:pPr>
          </w:p>
          <w:p w14:paraId="2CB1007F" w14:textId="77777777" w:rsidR="00792462" w:rsidRDefault="00792462" w:rsidP="00792462">
            <w:pPr>
              <w:keepNext/>
              <w:jc w:val="center"/>
            </w:pPr>
            <w:r>
              <w:rPr>
                <w:noProof/>
              </w:rPr>
              <w:drawing>
                <wp:inline distT="0" distB="0" distL="0" distR="0" wp14:anchorId="2A9D8872" wp14:editId="4C29A302">
                  <wp:extent cx="3359150" cy="1945640"/>
                  <wp:effectExtent l="0" t="0" r="0" b="0"/>
                  <wp:docPr id="469534233" name="Chart 1">
                    <a:extLst xmlns:a="http://schemas.openxmlformats.org/drawingml/2006/main">
                      <a:ext uri="{FF2B5EF4-FFF2-40B4-BE49-F238E27FC236}">
                        <a16:creationId xmlns:a16="http://schemas.microsoft.com/office/drawing/2014/main" id="{95FCFA08-B19E-794E-E5C9-A9FA9599F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A535E5" w14:textId="360BB81E" w:rsidR="009C4422" w:rsidRDefault="00792462" w:rsidP="0064554E">
            <w:pPr>
              <w:pStyle w:val="Caption"/>
            </w:pPr>
            <w:bookmarkStart w:id="36" w:name="_Ref182429113"/>
            <w:bookmarkStart w:id="37" w:name="_Toc182606032"/>
            <w:r>
              <w:t xml:space="preserve">Figure </w:t>
            </w:r>
            <w:fldSimple w:instr=" SEQ Figure \* ARABIC ">
              <w:r w:rsidR="00E02F7A">
                <w:rPr>
                  <w:noProof/>
                </w:rPr>
                <w:t>15</w:t>
              </w:r>
            </w:fldSimple>
            <w:bookmarkEnd w:id="36"/>
            <w:r w:rsidR="0064554E">
              <w:rPr>
                <w:noProof/>
              </w:rPr>
              <w:t xml:space="preserve"> Comparison between </w:t>
            </w:r>
            <w:r w:rsidR="00285749">
              <w:rPr>
                <w:noProof/>
              </w:rPr>
              <w:t>WaPOR v03</w:t>
            </w:r>
            <w:r w:rsidR="0064554E">
              <w:rPr>
                <w:noProof/>
              </w:rPr>
              <w:t xml:space="preserve"> data and in-situ data for winter 2019/2020 cultivated with Wheat</w:t>
            </w:r>
            <w:bookmarkEnd w:id="37"/>
          </w:p>
        </w:tc>
        <w:tc>
          <w:tcPr>
            <w:tcW w:w="4128" w:type="dxa"/>
          </w:tcPr>
          <w:p w14:paraId="2FD9E685" w14:textId="61A11FF8" w:rsidR="00F91A61" w:rsidRDefault="00792462" w:rsidP="00F91A61">
            <w:pPr>
              <w:pStyle w:val="Caption"/>
              <w:keepNext/>
              <w:jc w:val="center"/>
            </w:pPr>
            <w:r>
              <w:t xml:space="preserve"> </w:t>
            </w:r>
            <w:r w:rsidR="0069698D" w:rsidRPr="0065762D">
              <w:rPr>
                <w:noProof/>
              </w:rPr>
              <mc:AlternateContent>
                <mc:Choice Requires="cx1">
                  <w:drawing>
                    <wp:inline distT="0" distB="0" distL="0" distR="0" wp14:anchorId="4DA2F1A7" wp14:editId="4BC1B748">
                      <wp:extent cx="2510790" cy="1980565"/>
                      <wp:effectExtent l="0" t="0" r="0" b="0"/>
                      <wp:docPr id="41" name="Chart 25"/>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8"/>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drawing>
                    <wp:inline distT="0" distB="0" distL="0" distR="0" wp14:anchorId="4DA2F1A7" wp14:editId="4BC1B748">
                      <wp:extent cx="2510790" cy="1980565"/>
                      <wp:effectExtent l="0" t="0" r="0" b="0"/>
                      <wp:docPr id="41" name="Chart 2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1" name="Chart 25"/>
                              <pic:cNvPicPr>
                                <a:picLocks noGrp="1" noRot="1" noChangeAspect="1" noMove="1" noResize="1" noEditPoints="1" noAdjustHandles="1" noChangeArrowheads="1" noChangeShapeType="1"/>
                              </pic:cNvPicPr>
                            </pic:nvPicPr>
                            <pic:blipFill>
                              <a:blip r:embed="rId39"/>
                              <a:stretch>
                                <a:fillRect/>
                              </a:stretch>
                            </pic:blipFill>
                            <pic:spPr>
                              <a:xfrm>
                                <a:off x="0" y="0"/>
                                <a:ext cx="2510790" cy="1980565"/>
                              </a:xfrm>
                              <a:prstGeom prst="rect">
                                <a:avLst/>
                              </a:prstGeom>
                            </pic:spPr>
                          </pic:pic>
                        </a:graphicData>
                      </a:graphic>
                    </wp:inline>
                  </w:drawing>
                </mc:Fallback>
              </mc:AlternateContent>
            </w:r>
          </w:p>
          <w:p w14:paraId="3C1194A4" w14:textId="312A20A8" w:rsidR="009C4422" w:rsidRDefault="00F91A61" w:rsidP="0064554E">
            <w:pPr>
              <w:pStyle w:val="Caption"/>
              <w:jc w:val="center"/>
            </w:pPr>
            <w:bookmarkStart w:id="38" w:name="_Ref182429443"/>
            <w:bookmarkStart w:id="39" w:name="_Toc182606033"/>
            <w:r>
              <w:t xml:space="preserve">Figure </w:t>
            </w:r>
            <w:fldSimple w:instr=" SEQ Figure \* ARABIC ">
              <w:r w:rsidR="00E02F7A">
                <w:rPr>
                  <w:noProof/>
                </w:rPr>
                <w:t>16</w:t>
              </w:r>
            </w:fldSimple>
            <w:bookmarkEnd w:id="38"/>
            <w:r w:rsidR="0064554E" w:rsidRPr="00EA2ABE">
              <w:t xml:space="preserve"> box plot compares the distribution of </w:t>
            </w:r>
            <w:proofErr w:type="spellStart"/>
            <w:r w:rsidR="0064554E">
              <w:t>WaPOR</w:t>
            </w:r>
            <w:proofErr w:type="spellEnd"/>
            <w:r w:rsidR="0064554E">
              <w:t xml:space="preserve"> v03</w:t>
            </w:r>
            <w:r w:rsidR="0064554E" w:rsidRPr="00EA2ABE">
              <w:t xml:space="preserve"> - ET and In-Situ data</w:t>
            </w:r>
            <w:r w:rsidR="0064554E">
              <w:rPr>
                <w:noProof/>
              </w:rPr>
              <w:t xml:space="preserve"> for winter 2019/2020 cultivated with Wheat</w:t>
            </w:r>
            <w:bookmarkEnd w:id="39"/>
          </w:p>
        </w:tc>
      </w:tr>
    </w:tbl>
    <w:p w14:paraId="159B3465" w14:textId="4C265F56" w:rsidR="008A0DDC" w:rsidRDefault="008A0DDC" w:rsidP="00085499">
      <w:pPr>
        <w:pStyle w:val="Heading1"/>
        <w:keepLines w:val="0"/>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r>
        <w:rPr>
          <w:rFonts w:ascii="Cambria" w:eastAsia="Times New Roman" w:hAnsi="Cambria" w:cs="Arial"/>
          <w:b/>
          <w:bCs/>
          <w:color w:val="auto"/>
          <w:kern w:val="32"/>
          <w:sz w:val="24"/>
          <w:szCs w:val="24"/>
          <w:lang w:val="en-GB" w:eastAsia="en-GB"/>
          <w14:ligatures w14:val="none"/>
        </w:rPr>
        <w:t>Summer</w:t>
      </w:r>
      <w:r w:rsidRPr="002D3F5C">
        <w:rPr>
          <w:rFonts w:ascii="Cambria" w:eastAsia="Times New Roman" w:hAnsi="Cambria" w:cs="Arial"/>
          <w:b/>
          <w:bCs/>
          <w:color w:val="auto"/>
          <w:kern w:val="32"/>
          <w:sz w:val="24"/>
          <w:szCs w:val="24"/>
          <w:lang w:val="en-GB" w:eastAsia="en-GB"/>
          <w14:ligatures w14:val="none"/>
        </w:rPr>
        <w:t xml:space="preserve"> 202</w:t>
      </w:r>
      <w:r>
        <w:rPr>
          <w:rFonts w:ascii="Cambria" w:eastAsia="Times New Roman" w:hAnsi="Cambria" w:cs="Arial"/>
          <w:b/>
          <w:bCs/>
          <w:color w:val="auto"/>
          <w:kern w:val="32"/>
          <w:sz w:val="24"/>
          <w:szCs w:val="24"/>
          <w:lang w:val="en-GB" w:eastAsia="en-GB"/>
          <w14:ligatures w14:val="none"/>
        </w:rPr>
        <w:t xml:space="preserve">0 </w:t>
      </w:r>
      <w:r w:rsidR="00A01E1A">
        <w:rPr>
          <w:rFonts w:ascii="Cambria" w:eastAsia="Times New Roman" w:hAnsi="Cambria" w:cs="Arial"/>
          <w:b/>
          <w:bCs/>
          <w:color w:val="auto"/>
          <w:kern w:val="32"/>
          <w:sz w:val="24"/>
          <w:szCs w:val="24"/>
          <w:lang w:val="en-GB" w:eastAsia="en-GB"/>
          <w14:ligatures w14:val="none"/>
        </w:rPr>
        <w:t>–</w:t>
      </w:r>
      <w:r>
        <w:rPr>
          <w:rFonts w:ascii="Cambria" w:eastAsia="Times New Roman" w:hAnsi="Cambria" w:cs="Arial"/>
          <w:b/>
          <w:bCs/>
          <w:color w:val="auto"/>
          <w:kern w:val="32"/>
          <w:sz w:val="24"/>
          <w:szCs w:val="24"/>
          <w:lang w:val="en-GB" w:eastAsia="en-GB"/>
          <w14:ligatures w14:val="none"/>
        </w:rPr>
        <w:t xml:space="preserve"> Maize</w:t>
      </w:r>
    </w:p>
    <w:bookmarkStart w:id="40" w:name="_Toc182606034"/>
    <w:p w14:paraId="42A76F3A" w14:textId="11E330B0" w:rsidR="00A01E1A" w:rsidRDefault="00E24896" w:rsidP="00085499">
      <w:pPr>
        <w:pStyle w:val="Caption"/>
        <w:jc w:val="both"/>
        <w:rPr>
          <w:i w:val="0"/>
          <w:iCs w:val="0"/>
          <w:color w:val="auto"/>
          <w:sz w:val="22"/>
          <w:szCs w:val="22"/>
          <w:lang w:eastAsia="en-GB"/>
        </w:rPr>
      </w:pPr>
      <w:r w:rsidRPr="00E24896">
        <w:rPr>
          <w:i w:val="0"/>
          <w:iCs w:val="0"/>
          <w:color w:val="auto"/>
          <w:sz w:val="22"/>
          <w:szCs w:val="22"/>
          <w:lang w:eastAsia="en-GB"/>
        </w:rPr>
        <w:fldChar w:fldCharType="begin"/>
      </w:r>
      <w:r>
        <w:rPr>
          <w:i w:val="0"/>
          <w:iCs w:val="0"/>
          <w:color w:val="auto"/>
          <w:sz w:val="22"/>
          <w:szCs w:val="22"/>
          <w:lang w:eastAsia="en-GB"/>
        </w:rPr>
        <w:instrText xml:space="preserve"> REF _Ref182606414 \h  \* MERGEFORMAT </w:instrText>
      </w:r>
      <w:r w:rsidRPr="00E24896">
        <w:rPr>
          <w:i w:val="0"/>
          <w:iCs w:val="0"/>
          <w:color w:val="auto"/>
          <w:sz w:val="22"/>
          <w:szCs w:val="22"/>
          <w:lang w:eastAsia="en-GB"/>
        </w:rPr>
      </w:r>
      <w:r w:rsidRPr="00E24896">
        <w:rPr>
          <w:i w:val="0"/>
          <w:iCs w:val="0"/>
          <w:color w:val="auto"/>
          <w:sz w:val="22"/>
          <w:szCs w:val="22"/>
          <w:lang w:eastAsia="en-GB"/>
        </w:rPr>
        <w:fldChar w:fldCharType="separate"/>
      </w:r>
      <w:r w:rsidR="00E02F7A" w:rsidRPr="00E02F7A">
        <w:rPr>
          <w:i w:val="0"/>
          <w:iCs w:val="0"/>
          <w:color w:val="auto"/>
          <w:sz w:val="22"/>
          <w:szCs w:val="22"/>
          <w:lang w:eastAsia="en-GB"/>
        </w:rPr>
        <w:t>Figure 17</w:t>
      </w:r>
      <w:r w:rsidRPr="00E24896">
        <w:rPr>
          <w:i w:val="0"/>
          <w:iCs w:val="0"/>
          <w:color w:val="auto"/>
          <w:sz w:val="22"/>
          <w:szCs w:val="22"/>
          <w:lang w:eastAsia="en-GB"/>
        </w:rPr>
        <w:fldChar w:fldCharType="end"/>
      </w:r>
      <w:r w:rsidR="00A01E1A" w:rsidRPr="00A01E1A">
        <w:rPr>
          <w:i w:val="0"/>
          <w:iCs w:val="0"/>
          <w:color w:val="auto"/>
          <w:sz w:val="22"/>
          <w:szCs w:val="22"/>
          <w:lang w:eastAsia="en-GB"/>
        </w:rPr>
        <w:t xml:space="preserve"> </w:t>
      </w:r>
      <w:r w:rsidR="00A01E1A">
        <w:rPr>
          <w:i w:val="0"/>
          <w:iCs w:val="0"/>
          <w:color w:val="auto"/>
          <w:sz w:val="22"/>
          <w:szCs w:val="22"/>
          <w:lang w:eastAsia="en-GB"/>
        </w:rPr>
        <w:t xml:space="preserve">illustrates that </w:t>
      </w:r>
      <w:r w:rsidR="00A01E1A" w:rsidRPr="00A01E1A">
        <w:rPr>
          <w:i w:val="0"/>
          <w:iCs w:val="0"/>
          <w:color w:val="auto"/>
          <w:sz w:val="22"/>
          <w:szCs w:val="22"/>
          <w:lang w:eastAsia="en-GB"/>
        </w:rPr>
        <w:t>MODIS16A2 and In-Situ ET values from July to October 2020 shows the following</w:t>
      </w:r>
      <w:bookmarkEnd w:id="40"/>
      <w:r w:rsidR="00085499">
        <w:rPr>
          <w:i w:val="0"/>
          <w:iCs w:val="0"/>
          <w:color w:val="auto"/>
          <w:sz w:val="22"/>
          <w:szCs w:val="22"/>
          <w:lang w:eastAsia="en-GB"/>
        </w:rPr>
        <w:t xml:space="preserve">; </w:t>
      </w:r>
      <w:r w:rsidR="00A01E1A" w:rsidRPr="00A01E1A">
        <w:rPr>
          <w:i w:val="0"/>
          <w:iCs w:val="0"/>
          <w:color w:val="auto"/>
          <w:sz w:val="22"/>
          <w:szCs w:val="22"/>
          <w:lang w:eastAsia="en-GB"/>
        </w:rPr>
        <w:t>The cases in two datasets are increasing from July to mid-September and gradually decrease to early September and after. Both values reduce from late September through October but MODIS16A2 has a bit higher values than In-Situ at the last Value</w:t>
      </w:r>
      <w:r w:rsidR="00085499">
        <w:rPr>
          <w:i w:val="0"/>
          <w:iCs w:val="0"/>
          <w:color w:val="auto"/>
          <w:sz w:val="22"/>
          <w:szCs w:val="22"/>
          <w:lang w:eastAsia="en-GB"/>
        </w:rPr>
        <w:t xml:space="preserve">, </w:t>
      </w:r>
      <w:r w:rsidR="00A01E1A" w:rsidRPr="00A01E1A">
        <w:rPr>
          <w:i w:val="0"/>
          <w:iCs w:val="0"/>
          <w:color w:val="auto"/>
          <w:sz w:val="22"/>
          <w:szCs w:val="22"/>
          <w:lang w:eastAsia="en-GB"/>
        </w:rPr>
        <w:t xml:space="preserve">MODIS16A2 datasets are lower than In-Situ at the initial point of measurement in the year starting from July, after some days of measurements, MODIS16A2 values are higher than In-Situ at early August and continue to be so until October. The variability of change of In-Situ measurements is also </w:t>
      </w:r>
      <w:r w:rsidR="00A01E1A" w:rsidRPr="00A01E1A">
        <w:rPr>
          <w:i w:val="0"/>
          <w:iCs w:val="0"/>
          <w:color w:val="auto"/>
          <w:sz w:val="22"/>
          <w:szCs w:val="22"/>
          <w:lang w:eastAsia="en-GB"/>
        </w:rPr>
        <w:lastRenderedPageBreak/>
        <w:t>higher compared to In-Situ-R measurements during August 1st and October 1</w:t>
      </w:r>
      <w:r w:rsidR="00A01E1A" w:rsidRPr="00085499">
        <w:rPr>
          <w:i w:val="0"/>
          <w:iCs w:val="0"/>
          <w:color w:val="auto"/>
          <w:sz w:val="22"/>
          <w:szCs w:val="22"/>
          <w:vertAlign w:val="superscript"/>
          <w:lang w:eastAsia="en-GB"/>
        </w:rPr>
        <w:t>st</w:t>
      </w:r>
      <w:r w:rsidR="00085499">
        <w:rPr>
          <w:i w:val="0"/>
          <w:iCs w:val="0"/>
          <w:color w:val="auto"/>
          <w:sz w:val="22"/>
          <w:szCs w:val="22"/>
          <w:lang w:eastAsia="en-GB"/>
        </w:rPr>
        <w:t xml:space="preserve">, </w:t>
      </w:r>
      <w:r w:rsidR="00A01E1A" w:rsidRPr="00A01E1A">
        <w:rPr>
          <w:i w:val="0"/>
          <w:iCs w:val="0"/>
          <w:color w:val="auto"/>
          <w:sz w:val="22"/>
          <w:szCs w:val="22"/>
          <w:lang w:eastAsia="en-GB"/>
        </w:rPr>
        <w:t xml:space="preserve">MODIS16A2 reaches </w:t>
      </w:r>
      <w:proofErr w:type="spellStart"/>
      <w:r w:rsidR="00A01E1A" w:rsidRPr="00A01E1A">
        <w:rPr>
          <w:i w:val="0"/>
          <w:iCs w:val="0"/>
          <w:color w:val="auto"/>
          <w:sz w:val="22"/>
          <w:szCs w:val="22"/>
          <w:lang w:eastAsia="en-GB"/>
        </w:rPr>
        <w:t>it</w:t>
      </w:r>
      <w:proofErr w:type="spellEnd"/>
      <w:r w:rsidR="00A01E1A" w:rsidRPr="00A01E1A">
        <w:rPr>
          <w:i w:val="0"/>
          <w:iCs w:val="0"/>
          <w:color w:val="auto"/>
          <w:sz w:val="22"/>
          <w:szCs w:val="22"/>
          <w:lang w:eastAsia="en-GB"/>
        </w:rPr>
        <w:t xml:space="preserve"> highest with a value of 4.8 in early September while In-Situ has its highest value of approximately 4.1 at the same time. The trough in October is deeper in In-Situ at 1.65, while in MODIS16A2, the value is at 2.6. This plot suggests that there </w:t>
      </w:r>
      <w:proofErr w:type="gramStart"/>
      <w:r w:rsidR="00A01E1A" w:rsidRPr="00A01E1A">
        <w:rPr>
          <w:i w:val="0"/>
          <w:iCs w:val="0"/>
          <w:color w:val="auto"/>
          <w:sz w:val="22"/>
          <w:szCs w:val="22"/>
          <w:lang w:eastAsia="en-GB"/>
        </w:rPr>
        <w:t>is</w:t>
      </w:r>
      <w:proofErr w:type="gramEnd"/>
      <w:r w:rsidR="00A01E1A" w:rsidRPr="00A01E1A">
        <w:rPr>
          <w:i w:val="0"/>
          <w:iCs w:val="0"/>
          <w:color w:val="auto"/>
          <w:sz w:val="22"/>
          <w:szCs w:val="22"/>
          <w:lang w:eastAsia="en-GB"/>
        </w:rPr>
        <w:t xml:space="preserve"> some differences in the variability as well as the relative scale in the two </w:t>
      </w:r>
      <w:r w:rsidR="005B5C0B" w:rsidRPr="00A01E1A">
        <w:rPr>
          <w:i w:val="0"/>
          <w:iCs w:val="0"/>
          <w:color w:val="auto"/>
          <w:sz w:val="22"/>
          <w:szCs w:val="22"/>
          <w:lang w:eastAsia="en-GB"/>
        </w:rPr>
        <w:t>datasets,</w:t>
      </w:r>
      <w:r w:rsidR="00A01E1A" w:rsidRPr="00A01E1A">
        <w:rPr>
          <w:i w:val="0"/>
          <w:iCs w:val="0"/>
          <w:color w:val="auto"/>
          <w:sz w:val="22"/>
          <w:szCs w:val="22"/>
          <w:lang w:eastAsia="en-GB"/>
        </w:rPr>
        <w:t xml:space="preserve"> especially with the onset of different seasons.</w:t>
      </w:r>
    </w:p>
    <w:bookmarkStart w:id="41" w:name="_Toc182606035"/>
    <w:p w14:paraId="6DB05326" w14:textId="6F958342" w:rsidR="005B5C0B" w:rsidRDefault="00085499" w:rsidP="00B620A0">
      <w:pPr>
        <w:pStyle w:val="Caption"/>
        <w:jc w:val="both"/>
        <w:rPr>
          <w:i w:val="0"/>
          <w:iCs w:val="0"/>
          <w:color w:val="auto"/>
          <w:sz w:val="22"/>
          <w:szCs w:val="22"/>
          <w:lang w:eastAsia="en-GB"/>
        </w:rPr>
      </w:pPr>
      <w:r w:rsidRPr="00E24896">
        <w:rPr>
          <w:i w:val="0"/>
          <w:iCs w:val="0"/>
          <w:color w:val="auto"/>
          <w:sz w:val="22"/>
          <w:szCs w:val="22"/>
          <w:lang w:eastAsia="en-GB"/>
        </w:rPr>
        <w:fldChar w:fldCharType="begin"/>
      </w:r>
      <w:r>
        <w:rPr>
          <w:i w:val="0"/>
          <w:iCs w:val="0"/>
          <w:color w:val="auto"/>
          <w:sz w:val="22"/>
          <w:szCs w:val="22"/>
          <w:lang w:eastAsia="en-GB"/>
        </w:rPr>
        <w:instrText xml:space="preserve"> REF _Ref182606423 \h  \* MERGEFORMAT </w:instrText>
      </w:r>
      <w:r w:rsidRPr="00E24896">
        <w:rPr>
          <w:i w:val="0"/>
          <w:iCs w:val="0"/>
          <w:color w:val="auto"/>
          <w:sz w:val="22"/>
          <w:szCs w:val="22"/>
          <w:lang w:eastAsia="en-GB"/>
        </w:rPr>
      </w:r>
      <w:r w:rsidRPr="00E24896">
        <w:rPr>
          <w:i w:val="0"/>
          <w:iCs w:val="0"/>
          <w:color w:val="auto"/>
          <w:sz w:val="22"/>
          <w:szCs w:val="22"/>
          <w:lang w:eastAsia="en-GB"/>
        </w:rPr>
        <w:fldChar w:fldCharType="separate"/>
      </w:r>
      <w:r w:rsidRPr="00E02F7A">
        <w:rPr>
          <w:i w:val="0"/>
          <w:iCs w:val="0"/>
          <w:color w:val="auto"/>
          <w:sz w:val="22"/>
          <w:szCs w:val="22"/>
          <w:lang w:eastAsia="en-GB"/>
        </w:rPr>
        <w:t>Figure 18</w:t>
      </w:r>
      <w:r w:rsidRPr="00E24896">
        <w:rPr>
          <w:i w:val="0"/>
          <w:iCs w:val="0"/>
          <w:color w:val="auto"/>
          <w:sz w:val="22"/>
          <w:szCs w:val="22"/>
          <w:lang w:eastAsia="en-GB"/>
        </w:rPr>
        <w:fldChar w:fldCharType="end"/>
      </w:r>
      <w:r>
        <w:rPr>
          <w:i w:val="0"/>
          <w:iCs w:val="0"/>
          <w:color w:val="auto"/>
          <w:sz w:val="22"/>
          <w:szCs w:val="22"/>
          <w:lang w:eastAsia="en-GB"/>
        </w:rPr>
        <w:t>, for t</w:t>
      </w:r>
      <w:r w:rsidR="005B5C0B" w:rsidRPr="005B5C0B">
        <w:rPr>
          <w:i w:val="0"/>
          <w:iCs w:val="0"/>
          <w:color w:val="auto"/>
          <w:sz w:val="22"/>
          <w:szCs w:val="22"/>
          <w:lang w:eastAsia="en-GB"/>
        </w:rPr>
        <w:t>he box plot shows</w:t>
      </w:r>
      <w:r>
        <w:rPr>
          <w:i w:val="0"/>
          <w:iCs w:val="0"/>
          <w:color w:val="auto"/>
          <w:sz w:val="22"/>
          <w:szCs w:val="22"/>
          <w:lang w:eastAsia="en-GB"/>
        </w:rPr>
        <w:t xml:space="preserve"> that </w:t>
      </w:r>
      <w:r w:rsidR="005B5C0B" w:rsidRPr="005B5C0B">
        <w:rPr>
          <w:i w:val="0"/>
          <w:iCs w:val="0"/>
          <w:color w:val="auto"/>
          <w:sz w:val="22"/>
          <w:szCs w:val="22"/>
          <w:lang w:eastAsia="en-GB"/>
        </w:rPr>
        <w:t>the result of the comparison of the WAPOR - ET and Measurement – ET. Here’s a breakdown of the key insights</w:t>
      </w:r>
      <w:bookmarkEnd w:id="41"/>
      <w:r>
        <w:rPr>
          <w:i w:val="0"/>
          <w:iCs w:val="0"/>
          <w:color w:val="auto"/>
          <w:sz w:val="22"/>
          <w:szCs w:val="22"/>
          <w:lang w:eastAsia="en-GB"/>
        </w:rPr>
        <w:t xml:space="preserve"> as ; </w:t>
      </w:r>
      <w:r w:rsidR="005B5C0B" w:rsidRPr="005B5C0B">
        <w:rPr>
          <w:i w:val="0"/>
          <w:iCs w:val="0"/>
          <w:color w:val="auto"/>
          <w:sz w:val="22"/>
          <w:szCs w:val="22"/>
          <w:lang w:eastAsia="en-GB"/>
        </w:rPr>
        <w:t>WAPOR specific to ET has a median of about 3.85 whereas the median for Measurement specific to ET is slightly lower at 3.65. This means that in general the WAPOR data contain</w:t>
      </w:r>
      <w:r w:rsidR="007510FA">
        <w:rPr>
          <w:i w:val="0"/>
          <w:iCs w:val="0"/>
          <w:color w:val="auto"/>
          <w:sz w:val="22"/>
          <w:szCs w:val="22"/>
          <w:lang w:eastAsia="en-GB"/>
        </w:rPr>
        <w:t>s</w:t>
      </w:r>
      <w:r w:rsidR="005B5C0B" w:rsidRPr="005B5C0B">
        <w:rPr>
          <w:i w:val="0"/>
          <w:iCs w:val="0"/>
          <w:color w:val="auto"/>
          <w:sz w:val="22"/>
          <w:szCs w:val="22"/>
          <w:lang w:eastAsia="en-GB"/>
        </w:rPr>
        <w:t xml:space="preserve"> slightly higher ET values than the corresponding measurement data. WAPOR - ET has a range which is around 2.43 and 4.73 and the IQR is moderate. Measurement, it is noticeable that ET has an IQR of 2.33 to 4.04 thus has slightly less variability than WAPOR but with a slightly larger range. </w:t>
      </w:r>
      <w:r w:rsidR="00B620A0">
        <w:rPr>
          <w:i w:val="0"/>
          <w:iCs w:val="0"/>
          <w:color w:val="auto"/>
          <w:sz w:val="22"/>
          <w:szCs w:val="22"/>
          <w:lang w:eastAsia="en-GB"/>
        </w:rPr>
        <w:t xml:space="preserve"> It </w:t>
      </w:r>
      <w:r w:rsidR="005B5C0B" w:rsidRPr="005B5C0B">
        <w:rPr>
          <w:i w:val="0"/>
          <w:iCs w:val="0"/>
          <w:color w:val="auto"/>
          <w:sz w:val="22"/>
          <w:szCs w:val="22"/>
          <w:lang w:eastAsia="en-GB"/>
        </w:rPr>
        <w:t xml:space="preserve"> has values ranging from 1.80 in the smallest value recorded to 5.10 in the largest value recorded. Measurement ET has a narrower range of averaged scores with a range of 1.66 to 4.69 revealed that there were not many extreme scores present among the respondents. </w:t>
      </w:r>
    </w:p>
    <w:p w14:paraId="565CBA90" w14:textId="061EFBD8" w:rsidR="005B5C0B" w:rsidRPr="005B5C0B" w:rsidRDefault="005B5C0B" w:rsidP="005B5C0B">
      <w:pPr>
        <w:pStyle w:val="Caption"/>
        <w:jc w:val="both"/>
        <w:rPr>
          <w:i w:val="0"/>
          <w:iCs w:val="0"/>
          <w:color w:val="auto"/>
          <w:sz w:val="22"/>
          <w:szCs w:val="22"/>
          <w:lang w:eastAsia="en-GB"/>
        </w:rPr>
      </w:pPr>
      <w:r w:rsidRPr="005B5C0B">
        <w:rPr>
          <w:i w:val="0"/>
          <w:iCs w:val="0"/>
          <w:color w:val="auto"/>
          <w:sz w:val="22"/>
          <w:szCs w:val="22"/>
          <w:lang w:eastAsia="en-GB"/>
        </w:rPr>
        <w:t>On balance, the WAPOR data once again appears somewhat more dispersed and variable and the Measurement data more centralized. This pattern might mean that there is wider variation of ET values under the AEP by WAPOR that may be attributed to differences in data collection or estimation.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2"/>
        <w:gridCol w:w="3919"/>
      </w:tblGrid>
      <w:tr w:rsidR="00792462" w14:paraId="457D008F" w14:textId="77777777" w:rsidTr="00B43FE7">
        <w:tc>
          <w:tcPr>
            <w:tcW w:w="5752" w:type="dxa"/>
          </w:tcPr>
          <w:p w14:paraId="0703F7DE" w14:textId="77777777" w:rsidR="00792462" w:rsidRDefault="00792462" w:rsidP="00C64B75">
            <w:pPr>
              <w:keepNext/>
              <w:jc w:val="center"/>
            </w:pPr>
          </w:p>
          <w:p w14:paraId="00951A0E" w14:textId="77777777" w:rsidR="00A01E1A" w:rsidRDefault="00792462" w:rsidP="00A01E1A">
            <w:pPr>
              <w:keepNext/>
              <w:jc w:val="center"/>
            </w:pPr>
            <w:r>
              <w:rPr>
                <w:noProof/>
              </w:rPr>
              <w:drawing>
                <wp:inline distT="0" distB="0" distL="0" distR="0" wp14:anchorId="59574295" wp14:editId="38862896">
                  <wp:extent cx="3515360" cy="2235200"/>
                  <wp:effectExtent l="0" t="0" r="0" b="0"/>
                  <wp:docPr id="1173969904" name="Chart 5">
                    <a:extLst xmlns:a="http://schemas.openxmlformats.org/drawingml/2006/main">
                      <a:ext uri="{FF2B5EF4-FFF2-40B4-BE49-F238E27FC236}">
                        <a16:creationId xmlns:a16="http://schemas.microsoft.com/office/drawing/2014/main" id="{77948A8C-9CC0-4EF2-81C3-C3D925451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5E2562" w14:textId="5805EF7F" w:rsidR="00792462" w:rsidRDefault="00A01E1A" w:rsidP="0064554E">
            <w:pPr>
              <w:pStyle w:val="Caption"/>
            </w:pPr>
            <w:bookmarkStart w:id="42" w:name="_Ref182606414"/>
            <w:bookmarkStart w:id="43" w:name="_Toc182606036"/>
            <w:r>
              <w:t xml:space="preserve">Figure </w:t>
            </w:r>
            <w:fldSimple w:instr=" SEQ Figure \* ARABIC ">
              <w:r w:rsidR="00E02F7A">
                <w:rPr>
                  <w:noProof/>
                </w:rPr>
                <w:t>17</w:t>
              </w:r>
            </w:fldSimple>
            <w:bookmarkEnd w:id="42"/>
            <w:r w:rsidR="0064554E">
              <w:t xml:space="preserve"> </w:t>
            </w:r>
            <w:r w:rsidR="0064554E">
              <w:rPr>
                <w:noProof/>
              </w:rPr>
              <w:t>Comparison between MODIS16A2 data and in-situ data for summer 2020 cultivated with Maize</w:t>
            </w:r>
            <w:bookmarkEnd w:id="43"/>
          </w:p>
        </w:tc>
        <w:tc>
          <w:tcPr>
            <w:tcW w:w="3919" w:type="dxa"/>
          </w:tcPr>
          <w:p w14:paraId="4FCFFD12" w14:textId="77777777" w:rsidR="00792462" w:rsidRDefault="00792462" w:rsidP="00C64B75">
            <w:pPr>
              <w:pStyle w:val="Caption"/>
              <w:jc w:val="center"/>
            </w:pPr>
          </w:p>
          <w:p w14:paraId="1C3B093F" w14:textId="282B71EB" w:rsidR="005B5C0B" w:rsidRDefault="0069698D" w:rsidP="005B5C0B">
            <w:pPr>
              <w:pStyle w:val="Caption"/>
              <w:keepNext/>
              <w:jc w:val="center"/>
            </w:pPr>
            <w:r w:rsidRPr="0065762D">
              <w:rPr>
                <w:noProof/>
              </w:rPr>
              <mc:AlternateContent>
                <mc:Choice Requires="cx1">
                  <w:drawing>
                    <wp:inline distT="0" distB="0" distL="0" distR="0" wp14:anchorId="3A07B5E5" wp14:editId="0AE256DF">
                      <wp:extent cx="2351405" cy="2280920"/>
                      <wp:effectExtent l="0" t="0" r="0" b="0"/>
                      <wp:docPr id="40" name="Chart 27"/>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drawing>
                    <wp:inline distT="0" distB="0" distL="0" distR="0" wp14:anchorId="3A07B5E5" wp14:editId="0AE256DF">
                      <wp:extent cx="2351405" cy="2280920"/>
                      <wp:effectExtent l="0" t="0" r="0" b="0"/>
                      <wp:docPr id="40" name="Chart 2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0" name="Chart 27"/>
                              <pic:cNvPicPr>
                                <a:picLocks noGrp="1" noRot="1" noChangeAspect="1" noMove="1" noResize="1" noEditPoints="1" noAdjustHandles="1" noChangeArrowheads="1" noChangeShapeType="1"/>
                              </pic:cNvPicPr>
                            </pic:nvPicPr>
                            <pic:blipFill>
                              <a:blip r:embed="rId42"/>
                              <a:stretch>
                                <a:fillRect/>
                              </a:stretch>
                            </pic:blipFill>
                            <pic:spPr>
                              <a:xfrm>
                                <a:off x="0" y="0"/>
                                <a:ext cx="2351405" cy="2280920"/>
                              </a:xfrm>
                              <a:prstGeom prst="rect">
                                <a:avLst/>
                              </a:prstGeom>
                            </pic:spPr>
                          </pic:pic>
                        </a:graphicData>
                      </a:graphic>
                    </wp:inline>
                  </w:drawing>
                </mc:Fallback>
              </mc:AlternateContent>
            </w:r>
          </w:p>
          <w:p w14:paraId="04CCF26D" w14:textId="4CB26A6C" w:rsidR="00792462" w:rsidRDefault="005B5C0B" w:rsidP="0064554E">
            <w:pPr>
              <w:pStyle w:val="Caption"/>
            </w:pPr>
            <w:bookmarkStart w:id="44" w:name="_Ref182606423"/>
            <w:bookmarkStart w:id="45" w:name="_Toc182606037"/>
            <w:r>
              <w:t xml:space="preserve">Figure </w:t>
            </w:r>
            <w:fldSimple w:instr=" SEQ Figure \* ARABIC ">
              <w:r w:rsidR="00E02F7A">
                <w:rPr>
                  <w:noProof/>
                </w:rPr>
                <w:t>18</w:t>
              </w:r>
            </w:fldSimple>
            <w:bookmarkEnd w:id="44"/>
            <w:r w:rsidR="0064554E" w:rsidRPr="00EA2ABE">
              <w:t xml:space="preserve"> box plot compares the distribution of </w:t>
            </w:r>
            <w:proofErr w:type="spellStart"/>
            <w:r w:rsidR="0064554E">
              <w:t>WaPOR</w:t>
            </w:r>
            <w:proofErr w:type="spellEnd"/>
            <w:r w:rsidR="0064554E">
              <w:t xml:space="preserve"> v03</w:t>
            </w:r>
            <w:r w:rsidR="0064554E" w:rsidRPr="00EA2ABE">
              <w:t xml:space="preserve"> - ET and In-Situ data</w:t>
            </w:r>
            <w:r w:rsidR="0064554E">
              <w:rPr>
                <w:noProof/>
              </w:rPr>
              <w:t xml:space="preserve"> for summer 2020 cultivated with Maize</w:t>
            </w:r>
            <w:bookmarkEnd w:id="45"/>
          </w:p>
        </w:tc>
      </w:tr>
    </w:tbl>
    <w:p w14:paraId="594F9CB6" w14:textId="77777777" w:rsidR="00B43FE7" w:rsidRDefault="00B43FE7" w:rsidP="00B620A0">
      <w:pPr>
        <w:pStyle w:val="Heading1"/>
        <w:keepLines w:val="0"/>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p>
    <w:p w14:paraId="36A38B97" w14:textId="6D044ECA" w:rsidR="00616082" w:rsidRDefault="008A0DDC" w:rsidP="00B620A0">
      <w:pPr>
        <w:pStyle w:val="Heading1"/>
        <w:keepLines w:val="0"/>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r>
        <w:rPr>
          <w:rFonts w:ascii="Cambria" w:eastAsia="Times New Roman" w:hAnsi="Cambria" w:cs="Arial"/>
          <w:b/>
          <w:bCs/>
          <w:color w:val="auto"/>
          <w:kern w:val="32"/>
          <w:sz w:val="24"/>
          <w:szCs w:val="24"/>
          <w:lang w:val="en-GB" w:eastAsia="en-GB"/>
          <w14:ligatures w14:val="none"/>
        </w:rPr>
        <w:t>Winter 2020/2021</w:t>
      </w:r>
      <w:r w:rsidR="005B5C0B">
        <w:rPr>
          <w:rFonts w:ascii="Cambria" w:eastAsia="Times New Roman" w:hAnsi="Cambria" w:cs="Arial"/>
          <w:b/>
          <w:bCs/>
          <w:color w:val="auto"/>
          <w:kern w:val="32"/>
          <w:sz w:val="24"/>
          <w:szCs w:val="24"/>
          <w:lang w:val="en-GB" w:eastAsia="en-GB"/>
          <w14:ligatures w14:val="none"/>
        </w:rPr>
        <w:t xml:space="preserve"> – Wheat</w:t>
      </w:r>
    </w:p>
    <w:p w14:paraId="48A0BEB0" w14:textId="36757B9D" w:rsidR="008A0DDC" w:rsidRPr="0064554E" w:rsidRDefault="005B5C0B" w:rsidP="0064554E">
      <w:pPr>
        <w:pStyle w:val="Caption"/>
        <w:jc w:val="both"/>
        <w:rPr>
          <w:i w:val="0"/>
          <w:iCs w:val="0"/>
          <w:color w:val="auto"/>
          <w:sz w:val="22"/>
          <w:szCs w:val="22"/>
          <w:lang w:eastAsia="en-GB"/>
        </w:rPr>
      </w:pPr>
      <w:bookmarkStart w:id="46" w:name="_Toc182606038"/>
      <w:r w:rsidRPr="005B5C0B">
        <w:rPr>
          <w:i w:val="0"/>
          <w:iCs w:val="0"/>
          <w:color w:val="auto"/>
          <w:sz w:val="22"/>
          <w:szCs w:val="22"/>
          <w:lang w:eastAsia="en-GB"/>
        </w:rPr>
        <w:t xml:space="preserve">As </w:t>
      </w:r>
      <w:r w:rsidR="00B620A0">
        <w:rPr>
          <w:i w:val="0"/>
          <w:iCs w:val="0"/>
          <w:color w:val="auto"/>
          <w:sz w:val="22"/>
          <w:szCs w:val="22"/>
          <w:lang w:eastAsia="en-GB"/>
        </w:rPr>
        <w:t xml:space="preserve">it </w:t>
      </w:r>
      <w:r w:rsidRPr="005B5C0B">
        <w:rPr>
          <w:i w:val="0"/>
          <w:iCs w:val="0"/>
          <w:color w:val="auto"/>
          <w:sz w:val="22"/>
          <w:szCs w:val="22"/>
          <w:lang w:eastAsia="en-GB"/>
        </w:rPr>
        <w:t xml:space="preserve">is clear from </w:t>
      </w:r>
      <w:r w:rsidR="00E24896" w:rsidRPr="00E24896">
        <w:rPr>
          <w:i w:val="0"/>
          <w:iCs w:val="0"/>
          <w:color w:val="auto"/>
          <w:sz w:val="22"/>
          <w:szCs w:val="22"/>
          <w:lang w:eastAsia="en-GB"/>
        </w:rPr>
        <w:fldChar w:fldCharType="begin"/>
      </w:r>
      <w:r w:rsidR="00E24896">
        <w:rPr>
          <w:i w:val="0"/>
          <w:iCs w:val="0"/>
          <w:color w:val="auto"/>
          <w:sz w:val="22"/>
          <w:szCs w:val="22"/>
          <w:lang w:eastAsia="en-GB"/>
        </w:rPr>
        <w:instrText xml:space="preserve"> REF _Ref182606472 \h  \* MERGEFORMAT </w:instrText>
      </w:r>
      <w:r w:rsidR="00E24896" w:rsidRPr="00E24896">
        <w:rPr>
          <w:i w:val="0"/>
          <w:iCs w:val="0"/>
          <w:color w:val="auto"/>
          <w:sz w:val="22"/>
          <w:szCs w:val="22"/>
          <w:lang w:eastAsia="en-GB"/>
        </w:rPr>
      </w:r>
      <w:r w:rsidR="00E24896" w:rsidRPr="00E24896">
        <w:rPr>
          <w:i w:val="0"/>
          <w:iCs w:val="0"/>
          <w:color w:val="auto"/>
          <w:sz w:val="22"/>
          <w:szCs w:val="22"/>
          <w:lang w:eastAsia="en-GB"/>
        </w:rPr>
        <w:fldChar w:fldCharType="separate"/>
      </w:r>
      <w:r w:rsidR="00E02F7A" w:rsidRPr="00E02F7A">
        <w:rPr>
          <w:i w:val="0"/>
          <w:iCs w:val="0"/>
          <w:color w:val="auto"/>
          <w:sz w:val="22"/>
          <w:szCs w:val="22"/>
          <w:lang w:eastAsia="en-GB"/>
        </w:rPr>
        <w:t>Figure 20</w:t>
      </w:r>
      <w:r w:rsidR="00E24896" w:rsidRPr="00E24896">
        <w:rPr>
          <w:i w:val="0"/>
          <w:iCs w:val="0"/>
          <w:color w:val="auto"/>
          <w:sz w:val="22"/>
          <w:szCs w:val="22"/>
          <w:lang w:eastAsia="en-GB"/>
        </w:rPr>
        <w:fldChar w:fldCharType="end"/>
      </w:r>
      <w:r w:rsidR="00E24896">
        <w:rPr>
          <w:i w:val="0"/>
          <w:iCs w:val="0"/>
          <w:color w:val="auto"/>
          <w:sz w:val="22"/>
          <w:szCs w:val="22"/>
          <w:lang w:eastAsia="en-GB"/>
        </w:rPr>
        <w:t xml:space="preserve"> </w:t>
      </w:r>
      <w:proofErr w:type="spellStart"/>
      <w:r w:rsidRPr="005B5C0B">
        <w:rPr>
          <w:i w:val="0"/>
          <w:iCs w:val="0"/>
          <w:color w:val="auto"/>
          <w:sz w:val="22"/>
          <w:szCs w:val="22"/>
          <w:lang w:eastAsia="en-GB"/>
        </w:rPr>
        <w:t>WaPOR</w:t>
      </w:r>
      <w:proofErr w:type="spellEnd"/>
      <w:r w:rsidRPr="005B5C0B">
        <w:rPr>
          <w:i w:val="0"/>
          <w:iCs w:val="0"/>
          <w:color w:val="auto"/>
          <w:sz w:val="22"/>
          <w:szCs w:val="22"/>
          <w:lang w:eastAsia="en-GB"/>
        </w:rPr>
        <w:t xml:space="preserve"> - ET data displays a broader range and higher variability, while Measurement - ET data remains more consistent around its median. This difference might be due to </w:t>
      </w:r>
      <w:proofErr w:type="spellStart"/>
      <w:r w:rsidRPr="005B5C0B">
        <w:rPr>
          <w:i w:val="0"/>
          <w:iCs w:val="0"/>
          <w:color w:val="auto"/>
          <w:sz w:val="22"/>
          <w:szCs w:val="22"/>
          <w:lang w:eastAsia="en-GB"/>
        </w:rPr>
        <w:t>WaPOR’s</w:t>
      </w:r>
      <w:proofErr w:type="spellEnd"/>
      <w:r w:rsidRPr="005B5C0B">
        <w:rPr>
          <w:i w:val="0"/>
          <w:iCs w:val="0"/>
          <w:color w:val="auto"/>
          <w:sz w:val="22"/>
          <w:szCs w:val="22"/>
          <w:lang w:eastAsia="en-GB"/>
        </w:rPr>
        <w:t xml:space="preserve"> methodology capturing a broader spectrum of ET values</w:t>
      </w:r>
      <w:bookmarkEnd w:id="46"/>
    </w:p>
    <w:tbl>
      <w:tblPr>
        <w:tblStyle w:val="TableGrid"/>
        <w:tblW w:w="0" w:type="auto"/>
        <w:tblLook w:val="04A0" w:firstRow="1" w:lastRow="0" w:firstColumn="1" w:lastColumn="0" w:noHBand="0" w:noVBand="1"/>
      </w:tblPr>
      <w:tblGrid>
        <w:gridCol w:w="5527"/>
        <w:gridCol w:w="4049"/>
      </w:tblGrid>
      <w:tr w:rsidR="00792462" w14:paraId="3EB385E3" w14:textId="77777777" w:rsidTr="005B5C0B">
        <w:tc>
          <w:tcPr>
            <w:tcW w:w="5527" w:type="dxa"/>
          </w:tcPr>
          <w:p w14:paraId="02CE8187" w14:textId="77777777" w:rsidR="005B5C0B" w:rsidRDefault="00792462" w:rsidP="005B5C0B">
            <w:pPr>
              <w:keepNext/>
              <w:jc w:val="center"/>
            </w:pPr>
            <w:r>
              <w:rPr>
                <w:noProof/>
              </w:rPr>
              <w:lastRenderedPageBreak/>
              <w:drawing>
                <wp:inline distT="0" distB="0" distL="0" distR="0" wp14:anchorId="1BEFB74E" wp14:editId="4444C330">
                  <wp:extent cx="3135923" cy="2315308"/>
                  <wp:effectExtent l="0" t="0" r="0" b="0"/>
                  <wp:docPr id="1517641511" name="Chart 2">
                    <a:extLst xmlns:a="http://schemas.openxmlformats.org/drawingml/2006/main">
                      <a:ext uri="{FF2B5EF4-FFF2-40B4-BE49-F238E27FC236}">
                        <a16:creationId xmlns:a16="http://schemas.microsoft.com/office/drawing/2014/main" id="{E1F05FED-1003-41C9-BBE8-7EDC8DCDF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679A51C" w14:textId="1AB09404" w:rsidR="00792462" w:rsidRDefault="005B5C0B" w:rsidP="0064554E">
            <w:pPr>
              <w:pStyle w:val="Caption"/>
            </w:pPr>
            <w:bookmarkStart w:id="47" w:name="_Toc182606039"/>
            <w:r>
              <w:t xml:space="preserve">Figure </w:t>
            </w:r>
            <w:fldSimple w:instr=" SEQ Figure \* ARABIC ">
              <w:r w:rsidR="00E02F7A">
                <w:rPr>
                  <w:noProof/>
                </w:rPr>
                <w:t>19</w:t>
              </w:r>
            </w:fldSimple>
            <w:r w:rsidR="0064554E">
              <w:t xml:space="preserve"> </w:t>
            </w:r>
            <w:r w:rsidR="0064554E">
              <w:rPr>
                <w:noProof/>
              </w:rPr>
              <w:t>Comparison between MODIS16A2 data and in-situ data for winter 2020/2021 cultivated with Wheat</w:t>
            </w:r>
            <w:bookmarkEnd w:id="47"/>
          </w:p>
        </w:tc>
        <w:tc>
          <w:tcPr>
            <w:tcW w:w="4049" w:type="dxa"/>
          </w:tcPr>
          <w:p w14:paraId="3A2A22BC" w14:textId="39B4B86C" w:rsidR="005B5C0B" w:rsidRDefault="0069698D" w:rsidP="005B5C0B">
            <w:pPr>
              <w:pStyle w:val="Caption"/>
              <w:keepNext/>
              <w:jc w:val="center"/>
            </w:pPr>
            <w:r w:rsidRPr="0065762D">
              <w:rPr>
                <w:noProof/>
              </w:rPr>
              <mc:AlternateContent>
                <mc:Choice Requires="cx1">
                  <w:drawing>
                    <wp:inline distT="0" distB="0" distL="0" distR="0" wp14:anchorId="0B84AF26" wp14:editId="63366B06">
                      <wp:extent cx="2433955" cy="2353310"/>
                      <wp:effectExtent l="0" t="0" r="0" b="0"/>
                      <wp:docPr id="39" name="Chart 29"/>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4"/>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drawing>
                    <wp:inline distT="0" distB="0" distL="0" distR="0" wp14:anchorId="0B84AF26" wp14:editId="63366B06">
                      <wp:extent cx="2433955" cy="2353310"/>
                      <wp:effectExtent l="0" t="0" r="0" b="0"/>
                      <wp:docPr id="39" name="Chart 2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9" name="Chart 29"/>
                              <pic:cNvPicPr>
                                <a:picLocks noGrp="1" noRot="1" noChangeAspect="1" noMove="1" noResize="1" noEditPoints="1" noAdjustHandles="1" noChangeArrowheads="1" noChangeShapeType="1"/>
                              </pic:cNvPicPr>
                            </pic:nvPicPr>
                            <pic:blipFill>
                              <a:blip r:embed="rId45"/>
                              <a:stretch>
                                <a:fillRect/>
                              </a:stretch>
                            </pic:blipFill>
                            <pic:spPr>
                              <a:xfrm>
                                <a:off x="0" y="0"/>
                                <a:ext cx="2433955" cy="2353310"/>
                              </a:xfrm>
                              <a:prstGeom prst="rect">
                                <a:avLst/>
                              </a:prstGeom>
                            </pic:spPr>
                          </pic:pic>
                        </a:graphicData>
                      </a:graphic>
                    </wp:inline>
                  </w:drawing>
                </mc:Fallback>
              </mc:AlternateContent>
            </w:r>
          </w:p>
          <w:p w14:paraId="5C36D5C3" w14:textId="385B2783" w:rsidR="00792462" w:rsidRDefault="005B5C0B" w:rsidP="0064554E">
            <w:pPr>
              <w:pStyle w:val="Caption"/>
            </w:pPr>
            <w:bookmarkStart w:id="48" w:name="_Ref182606472"/>
            <w:bookmarkStart w:id="49" w:name="_Toc182606040"/>
            <w:r>
              <w:t xml:space="preserve">Figure </w:t>
            </w:r>
            <w:fldSimple w:instr=" SEQ Figure \* ARABIC ">
              <w:r w:rsidR="00E02F7A">
                <w:rPr>
                  <w:noProof/>
                </w:rPr>
                <w:t>20</w:t>
              </w:r>
            </w:fldSimple>
            <w:bookmarkEnd w:id="48"/>
            <w:r w:rsidR="0064554E" w:rsidRPr="00EA2ABE">
              <w:t xml:space="preserve"> box plot compares the distribution of </w:t>
            </w:r>
            <w:proofErr w:type="spellStart"/>
            <w:r w:rsidR="0064554E">
              <w:t>WaPOR</w:t>
            </w:r>
            <w:proofErr w:type="spellEnd"/>
            <w:r w:rsidR="0064554E">
              <w:t xml:space="preserve"> v03</w:t>
            </w:r>
            <w:r w:rsidR="0064554E" w:rsidRPr="00EA2ABE">
              <w:t xml:space="preserve"> - ET and In-Situ </w:t>
            </w:r>
            <w:r w:rsidR="0064554E">
              <w:rPr>
                <w:noProof/>
              </w:rPr>
              <w:t>data for winter 2020/2021 cultivated with Wheat</w:t>
            </w:r>
            <w:bookmarkEnd w:id="49"/>
          </w:p>
        </w:tc>
      </w:tr>
    </w:tbl>
    <w:p w14:paraId="008E4546" w14:textId="77777777" w:rsidR="00B43FE7" w:rsidRDefault="00B43FE7" w:rsidP="00986B6F">
      <w:pPr>
        <w:pStyle w:val="Heading1"/>
        <w:keepLines w:val="0"/>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p>
    <w:p w14:paraId="4D1D9749" w14:textId="0D513C98" w:rsidR="008A0DDC" w:rsidRDefault="008A0DDC" w:rsidP="00986B6F">
      <w:pPr>
        <w:pStyle w:val="Heading1"/>
        <w:keepLines w:val="0"/>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r>
        <w:rPr>
          <w:rFonts w:ascii="Cambria" w:eastAsia="Times New Roman" w:hAnsi="Cambria" w:cs="Arial"/>
          <w:b/>
          <w:bCs/>
          <w:color w:val="auto"/>
          <w:kern w:val="32"/>
          <w:sz w:val="24"/>
          <w:szCs w:val="24"/>
          <w:lang w:val="en-GB" w:eastAsia="en-GB"/>
          <w14:ligatures w14:val="none"/>
        </w:rPr>
        <w:t xml:space="preserve">Summer 2021 </w:t>
      </w:r>
      <w:r w:rsidR="00141B52">
        <w:rPr>
          <w:rFonts w:ascii="Cambria" w:eastAsia="Times New Roman" w:hAnsi="Cambria" w:cs="Arial"/>
          <w:b/>
          <w:bCs/>
          <w:color w:val="auto"/>
          <w:kern w:val="32"/>
          <w:sz w:val="24"/>
          <w:szCs w:val="24"/>
          <w:lang w:val="en-GB" w:eastAsia="en-GB"/>
          <w14:ligatures w14:val="none"/>
        </w:rPr>
        <w:t>–</w:t>
      </w:r>
      <w:r>
        <w:rPr>
          <w:rFonts w:ascii="Cambria" w:eastAsia="Times New Roman" w:hAnsi="Cambria" w:cs="Arial"/>
          <w:b/>
          <w:bCs/>
          <w:color w:val="auto"/>
          <w:kern w:val="32"/>
          <w:sz w:val="24"/>
          <w:szCs w:val="24"/>
          <w:lang w:val="en-GB" w:eastAsia="en-GB"/>
          <w14:ligatures w14:val="none"/>
        </w:rPr>
        <w:t xml:space="preserve"> Rice</w:t>
      </w:r>
    </w:p>
    <w:p w14:paraId="6032664B" w14:textId="757A51F1" w:rsidR="00141B52" w:rsidRPr="00986B6F" w:rsidRDefault="00141B52" w:rsidP="00986B6F">
      <w:pPr>
        <w:pStyle w:val="Caption"/>
        <w:jc w:val="both"/>
        <w:rPr>
          <w:rFonts w:ascii="Times New Roman" w:hAnsi="Times New Roman" w:cs="Times New Roman"/>
          <w:i w:val="0"/>
          <w:iCs w:val="0"/>
          <w:color w:val="auto"/>
          <w:sz w:val="24"/>
          <w:szCs w:val="24"/>
          <w:lang w:eastAsia="en-GB"/>
        </w:rPr>
      </w:pPr>
      <w:bookmarkStart w:id="50" w:name="_Toc182606041"/>
      <w:r w:rsidRPr="00141B52">
        <w:rPr>
          <w:i w:val="0"/>
          <w:iCs w:val="0"/>
          <w:color w:val="auto"/>
          <w:sz w:val="22"/>
          <w:szCs w:val="22"/>
          <w:lang w:eastAsia="en-GB"/>
        </w:rPr>
        <w:t xml:space="preserve">The comparison of </w:t>
      </w:r>
      <w:proofErr w:type="spellStart"/>
      <w:r w:rsidRPr="00141B52">
        <w:rPr>
          <w:i w:val="0"/>
          <w:iCs w:val="0"/>
          <w:color w:val="auto"/>
          <w:sz w:val="22"/>
          <w:szCs w:val="22"/>
          <w:lang w:eastAsia="en-GB"/>
        </w:rPr>
        <w:t>WaPOR</w:t>
      </w:r>
      <w:proofErr w:type="spellEnd"/>
      <w:r w:rsidRPr="00141B52">
        <w:rPr>
          <w:i w:val="0"/>
          <w:iCs w:val="0"/>
          <w:color w:val="auto"/>
          <w:sz w:val="22"/>
          <w:szCs w:val="22"/>
          <w:lang w:eastAsia="en-GB"/>
        </w:rPr>
        <w:t xml:space="preserve"> and In-Situ ET values from July to October 2021 </w:t>
      </w:r>
      <w:r w:rsidR="00E24896" w:rsidRPr="00E24896">
        <w:rPr>
          <w:i w:val="0"/>
          <w:iCs w:val="0"/>
          <w:color w:val="auto"/>
          <w:sz w:val="22"/>
          <w:szCs w:val="22"/>
          <w:lang w:eastAsia="en-GB"/>
        </w:rPr>
        <w:fldChar w:fldCharType="begin"/>
      </w:r>
      <w:r w:rsidR="00E24896">
        <w:rPr>
          <w:i w:val="0"/>
          <w:iCs w:val="0"/>
          <w:color w:val="auto"/>
          <w:sz w:val="22"/>
          <w:szCs w:val="22"/>
          <w:lang w:eastAsia="en-GB"/>
        </w:rPr>
        <w:instrText xml:space="preserve"> REF _Ref182606532 \h  \* MERGEFORMAT </w:instrText>
      </w:r>
      <w:r w:rsidR="00E24896" w:rsidRPr="00E24896">
        <w:rPr>
          <w:i w:val="0"/>
          <w:iCs w:val="0"/>
          <w:color w:val="auto"/>
          <w:sz w:val="22"/>
          <w:szCs w:val="22"/>
          <w:lang w:eastAsia="en-GB"/>
        </w:rPr>
      </w:r>
      <w:r w:rsidR="00E24896" w:rsidRPr="00E24896">
        <w:rPr>
          <w:i w:val="0"/>
          <w:iCs w:val="0"/>
          <w:color w:val="auto"/>
          <w:sz w:val="22"/>
          <w:szCs w:val="22"/>
          <w:lang w:eastAsia="en-GB"/>
        </w:rPr>
        <w:fldChar w:fldCharType="separate"/>
      </w:r>
      <w:r w:rsidR="00E02F7A" w:rsidRPr="00E02F7A">
        <w:rPr>
          <w:i w:val="0"/>
          <w:iCs w:val="0"/>
          <w:color w:val="auto"/>
          <w:sz w:val="22"/>
          <w:szCs w:val="22"/>
          <w:lang w:eastAsia="en-GB"/>
        </w:rPr>
        <w:t>Figure 21</w:t>
      </w:r>
      <w:r w:rsidR="00E24896" w:rsidRPr="00E24896">
        <w:rPr>
          <w:i w:val="0"/>
          <w:iCs w:val="0"/>
          <w:color w:val="auto"/>
          <w:sz w:val="22"/>
          <w:szCs w:val="22"/>
          <w:lang w:eastAsia="en-GB"/>
        </w:rPr>
        <w:fldChar w:fldCharType="end"/>
      </w:r>
      <w:r w:rsidRPr="00141B52">
        <w:rPr>
          <w:i w:val="0"/>
          <w:iCs w:val="0"/>
          <w:color w:val="auto"/>
          <w:sz w:val="22"/>
          <w:szCs w:val="22"/>
          <w:lang w:eastAsia="en-GB"/>
        </w:rPr>
        <w:t xml:space="preserve"> reveals</w:t>
      </w:r>
      <w:r w:rsidR="00986B6F">
        <w:rPr>
          <w:i w:val="0"/>
          <w:iCs w:val="0"/>
          <w:color w:val="auto"/>
          <w:sz w:val="22"/>
          <w:szCs w:val="22"/>
          <w:lang w:eastAsia="en-GB"/>
        </w:rPr>
        <w:t xml:space="preserve"> that</w:t>
      </w:r>
      <w:r w:rsidR="00986B6F" w:rsidRPr="00986B6F">
        <w:rPr>
          <w:rFonts w:ascii="Times New Roman" w:hAnsi="Times New Roman" w:cs="Times New Roman"/>
          <w:i w:val="0"/>
          <w:iCs w:val="0"/>
          <w:color w:val="auto"/>
          <w:sz w:val="24"/>
          <w:szCs w:val="24"/>
          <w:lang w:eastAsia="en-GB"/>
        </w:rPr>
        <w:t xml:space="preserve">; </w:t>
      </w:r>
      <w:bookmarkEnd w:id="50"/>
      <w:r w:rsidRPr="00986B6F">
        <w:rPr>
          <w:rFonts w:ascii="Times New Roman" w:hAnsi="Times New Roman" w:cs="Times New Roman"/>
          <w:i w:val="0"/>
          <w:iCs w:val="0"/>
          <w:color w:val="auto"/>
          <w:sz w:val="24"/>
          <w:szCs w:val="24"/>
          <w:lang w:eastAsia="en-GB"/>
        </w:rPr>
        <w:t xml:space="preserve">Both sets show an increase through July and August and reached their highest point in early September. Such a rise corresponds to the normal higher ET in summer period that is evident from the observations made in this study. After reaching the highest value in early September, both values </w:t>
      </w:r>
      <w:proofErr w:type="gramStart"/>
      <w:r w:rsidRPr="00986B6F">
        <w:rPr>
          <w:rFonts w:ascii="Times New Roman" w:hAnsi="Times New Roman" w:cs="Times New Roman"/>
          <w:i w:val="0"/>
          <w:iCs w:val="0"/>
          <w:color w:val="auto"/>
          <w:sz w:val="24"/>
          <w:szCs w:val="24"/>
          <w:lang w:eastAsia="en-GB"/>
        </w:rPr>
        <w:t>decreases</w:t>
      </w:r>
      <w:proofErr w:type="gramEnd"/>
      <w:r w:rsidRPr="00986B6F">
        <w:rPr>
          <w:rFonts w:ascii="Times New Roman" w:hAnsi="Times New Roman" w:cs="Times New Roman"/>
          <w:i w:val="0"/>
          <w:iCs w:val="0"/>
          <w:color w:val="auto"/>
          <w:sz w:val="24"/>
          <w:szCs w:val="24"/>
          <w:lang w:eastAsia="en-GB"/>
        </w:rPr>
        <w:t xml:space="preserve"> constantly up to the end of October. Both In-Situ and </w:t>
      </w:r>
      <w:proofErr w:type="spellStart"/>
      <w:r w:rsidRPr="00986B6F">
        <w:rPr>
          <w:rFonts w:ascii="Times New Roman" w:hAnsi="Times New Roman" w:cs="Times New Roman"/>
          <w:i w:val="0"/>
          <w:iCs w:val="0"/>
          <w:color w:val="auto"/>
          <w:sz w:val="24"/>
          <w:szCs w:val="24"/>
          <w:lang w:eastAsia="en-GB"/>
        </w:rPr>
        <w:t>WaPOR</w:t>
      </w:r>
      <w:proofErr w:type="spellEnd"/>
      <w:r w:rsidRPr="00986B6F">
        <w:rPr>
          <w:rFonts w:ascii="Times New Roman" w:hAnsi="Times New Roman" w:cs="Times New Roman"/>
          <w:i w:val="0"/>
          <w:iCs w:val="0"/>
          <w:color w:val="auto"/>
          <w:sz w:val="24"/>
          <w:szCs w:val="24"/>
          <w:lang w:eastAsia="en-GB"/>
        </w:rPr>
        <w:t xml:space="preserve"> - ET show an increase, but the In-Situ values are generally greater than </w:t>
      </w:r>
      <w:proofErr w:type="spellStart"/>
      <w:r w:rsidRPr="00986B6F">
        <w:rPr>
          <w:rFonts w:ascii="Times New Roman" w:hAnsi="Times New Roman" w:cs="Times New Roman"/>
          <w:i w:val="0"/>
          <w:iCs w:val="0"/>
          <w:color w:val="auto"/>
          <w:sz w:val="24"/>
          <w:szCs w:val="24"/>
          <w:lang w:eastAsia="en-GB"/>
        </w:rPr>
        <w:t>WaPOR</w:t>
      </w:r>
      <w:proofErr w:type="spellEnd"/>
      <w:r w:rsidRPr="00986B6F">
        <w:rPr>
          <w:rFonts w:ascii="Times New Roman" w:hAnsi="Times New Roman" w:cs="Times New Roman"/>
          <w:i w:val="0"/>
          <w:iCs w:val="0"/>
          <w:color w:val="auto"/>
          <w:sz w:val="24"/>
          <w:szCs w:val="24"/>
          <w:lang w:eastAsia="en-GB"/>
        </w:rPr>
        <w:t xml:space="preserve"> - ET with a maximum value reaching about 5.07 in the month of August as compared to </w:t>
      </w:r>
      <w:proofErr w:type="spellStart"/>
      <w:r w:rsidRPr="00986B6F">
        <w:rPr>
          <w:rFonts w:ascii="Times New Roman" w:hAnsi="Times New Roman" w:cs="Times New Roman"/>
          <w:i w:val="0"/>
          <w:iCs w:val="0"/>
          <w:color w:val="auto"/>
          <w:sz w:val="24"/>
          <w:szCs w:val="24"/>
          <w:lang w:eastAsia="en-GB"/>
        </w:rPr>
        <w:t>WaPOR</w:t>
      </w:r>
      <w:proofErr w:type="spellEnd"/>
      <w:r w:rsidRPr="00986B6F">
        <w:rPr>
          <w:rFonts w:ascii="Times New Roman" w:hAnsi="Times New Roman" w:cs="Times New Roman"/>
          <w:i w:val="0"/>
          <w:iCs w:val="0"/>
          <w:color w:val="auto"/>
          <w:sz w:val="24"/>
          <w:szCs w:val="24"/>
          <w:lang w:eastAsia="en-GB"/>
        </w:rPr>
        <w:t xml:space="preserve"> - ET with a definite maximum of about 4.0 during the early few days of September. </w:t>
      </w:r>
      <w:proofErr w:type="spellStart"/>
      <w:r w:rsidRPr="00986B6F">
        <w:rPr>
          <w:rFonts w:ascii="Times New Roman" w:hAnsi="Times New Roman" w:cs="Times New Roman"/>
          <w:i w:val="0"/>
          <w:iCs w:val="0"/>
          <w:color w:val="auto"/>
          <w:sz w:val="24"/>
          <w:szCs w:val="24"/>
          <w:lang w:eastAsia="en-GB"/>
        </w:rPr>
        <w:t>WaPOR</w:t>
      </w:r>
      <w:proofErr w:type="spellEnd"/>
      <w:r w:rsidRPr="00986B6F">
        <w:rPr>
          <w:rFonts w:ascii="Times New Roman" w:hAnsi="Times New Roman" w:cs="Times New Roman"/>
          <w:i w:val="0"/>
          <w:iCs w:val="0"/>
          <w:color w:val="auto"/>
          <w:sz w:val="24"/>
          <w:szCs w:val="24"/>
          <w:lang w:eastAsia="en-GB"/>
        </w:rPr>
        <w:t xml:space="preserve"> - ET has a gradual rise and fall as compared to the In-Situ values that have sharp rise and fall.</w:t>
      </w:r>
      <w:r w:rsidR="00986B6F" w:rsidRPr="00986B6F">
        <w:rPr>
          <w:rFonts w:ascii="Times New Roman" w:hAnsi="Times New Roman" w:cs="Times New Roman"/>
          <w:i w:val="0"/>
          <w:iCs w:val="0"/>
          <w:color w:val="auto"/>
          <w:sz w:val="24"/>
          <w:szCs w:val="24"/>
          <w:lang w:eastAsia="en-GB"/>
        </w:rPr>
        <w:t xml:space="preserve"> </w:t>
      </w:r>
      <w:r w:rsidRPr="00986B6F">
        <w:rPr>
          <w:rFonts w:ascii="Times New Roman" w:hAnsi="Times New Roman" w:cs="Times New Roman"/>
          <w:i w:val="0"/>
          <w:iCs w:val="0"/>
          <w:color w:val="auto"/>
          <w:sz w:val="24"/>
          <w:szCs w:val="24"/>
          <w:lang w:eastAsia="en-GB"/>
        </w:rPr>
        <w:t xml:space="preserve">There is a drop off from </w:t>
      </w:r>
      <w:proofErr w:type="spellStart"/>
      <w:r w:rsidRPr="00986B6F">
        <w:rPr>
          <w:rFonts w:ascii="Times New Roman" w:hAnsi="Times New Roman" w:cs="Times New Roman"/>
          <w:i w:val="0"/>
          <w:iCs w:val="0"/>
          <w:color w:val="auto"/>
          <w:sz w:val="24"/>
          <w:szCs w:val="24"/>
          <w:lang w:eastAsia="en-GB"/>
        </w:rPr>
        <w:t>mid September</w:t>
      </w:r>
      <w:proofErr w:type="spellEnd"/>
      <w:r w:rsidRPr="00986B6F">
        <w:rPr>
          <w:rFonts w:ascii="Times New Roman" w:hAnsi="Times New Roman" w:cs="Times New Roman"/>
          <w:i w:val="0"/>
          <w:iCs w:val="0"/>
          <w:color w:val="auto"/>
          <w:sz w:val="24"/>
          <w:szCs w:val="24"/>
          <w:lang w:eastAsia="en-GB"/>
        </w:rPr>
        <w:t xml:space="preserve"> to late October, and In-Situ ends at a lower of around 2.61 and </w:t>
      </w:r>
      <w:proofErr w:type="spellStart"/>
      <w:r w:rsidRPr="00986B6F">
        <w:rPr>
          <w:rFonts w:ascii="Times New Roman" w:hAnsi="Times New Roman" w:cs="Times New Roman"/>
          <w:i w:val="0"/>
          <w:iCs w:val="0"/>
          <w:color w:val="auto"/>
          <w:sz w:val="24"/>
          <w:szCs w:val="24"/>
          <w:lang w:eastAsia="en-GB"/>
        </w:rPr>
        <w:t>WaPOR</w:t>
      </w:r>
      <w:proofErr w:type="spellEnd"/>
      <w:r w:rsidRPr="00986B6F">
        <w:rPr>
          <w:rFonts w:ascii="Times New Roman" w:hAnsi="Times New Roman" w:cs="Times New Roman"/>
          <w:i w:val="0"/>
          <w:iCs w:val="0"/>
          <w:color w:val="auto"/>
          <w:sz w:val="24"/>
          <w:szCs w:val="24"/>
          <w:lang w:eastAsia="en-GB"/>
        </w:rPr>
        <w:t xml:space="preserve"> - ET at approximately 2.6. This pattern demonstrates the seasonality of either In-Situ is obtaining relatively higher ET values than the </w:t>
      </w:r>
      <w:proofErr w:type="spellStart"/>
      <w:r w:rsidRPr="00986B6F">
        <w:rPr>
          <w:rFonts w:ascii="Times New Roman" w:hAnsi="Times New Roman" w:cs="Times New Roman"/>
          <w:i w:val="0"/>
          <w:iCs w:val="0"/>
          <w:color w:val="auto"/>
          <w:sz w:val="24"/>
          <w:szCs w:val="24"/>
          <w:lang w:eastAsia="en-GB"/>
        </w:rPr>
        <w:t>WaPOR</w:t>
      </w:r>
      <w:proofErr w:type="spellEnd"/>
      <w:r w:rsidRPr="00986B6F">
        <w:rPr>
          <w:rFonts w:ascii="Times New Roman" w:hAnsi="Times New Roman" w:cs="Times New Roman"/>
          <w:i w:val="0"/>
          <w:iCs w:val="0"/>
          <w:color w:val="auto"/>
          <w:sz w:val="24"/>
          <w:szCs w:val="24"/>
          <w:lang w:eastAsia="en-GB"/>
        </w:rPr>
        <w:t xml:space="preserve"> - ET derived data due to some micro climatic factors.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8"/>
      </w:tblGrid>
      <w:tr w:rsidR="00792462" w14:paraId="119E3D52" w14:textId="77777777" w:rsidTr="00B43FE7">
        <w:tc>
          <w:tcPr>
            <w:tcW w:w="5778" w:type="dxa"/>
          </w:tcPr>
          <w:p w14:paraId="4E3D3426" w14:textId="77777777" w:rsidR="00792462" w:rsidRDefault="00792462" w:rsidP="00D16CB8">
            <w:pPr>
              <w:keepNext/>
            </w:pPr>
          </w:p>
          <w:p w14:paraId="3B95EFCB" w14:textId="77777777" w:rsidR="00141B52" w:rsidRDefault="00D16CB8" w:rsidP="00141B52">
            <w:pPr>
              <w:keepNext/>
            </w:pPr>
            <w:r>
              <w:rPr>
                <w:noProof/>
              </w:rPr>
              <w:drawing>
                <wp:inline distT="0" distB="0" distL="0" distR="0" wp14:anchorId="28E10729" wp14:editId="60D0EF2C">
                  <wp:extent cx="3498850" cy="2180492"/>
                  <wp:effectExtent l="0" t="0" r="0" b="0"/>
                  <wp:docPr id="1613629634" name="Chart 3">
                    <a:extLst xmlns:a="http://schemas.openxmlformats.org/drawingml/2006/main">
                      <a:ext uri="{FF2B5EF4-FFF2-40B4-BE49-F238E27FC236}">
                        <a16:creationId xmlns:a16="http://schemas.microsoft.com/office/drawing/2014/main" id="{201BF277-D774-4C35-91CA-C132A3BEE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DF8476C" w14:textId="7AED62C6" w:rsidR="00792462" w:rsidRDefault="00141B52" w:rsidP="0064554E">
            <w:pPr>
              <w:pStyle w:val="Caption"/>
            </w:pPr>
            <w:bookmarkStart w:id="51" w:name="_Ref182606532"/>
            <w:bookmarkStart w:id="52" w:name="_Toc182606042"/>
            <w:r>
              <w:t xml:space="preserve">Figure </w:t>
            </w:r>
            <w:fldSimple w:instr=" SEQ Figure \* ARABIC ">
              <w:r w:rsidR="00E02F7A">
                <w:rPr>
                  <w:noProof/>
                </w:rPr>
                <w:t>21</w:t>
              </w:r>
            </w:fldSimple>
            <w:bookmarkEnd w:id="51"/>
            <w:r w:rsidR="0064554E">
              <w:rPr>
                <w:noProof/>
              </w:rPr>
              <w:t xml:space="preserve"> Comparison between MODIS16A2 data and in-situ data for summer 2021 cultivated with Rice</w:t>
            </w:r>
            <w:bookmarkEnd w:id="52"/>
          </w:p>
        </w:tc>
        <w:tc>
          <w:tcPr>
            <w:tcW w:w="3798" w:type="dxa"/>
          </w:tcPr>
          <w:p w14:paraId="15D4B700" w14:textId="77777777" w:rsidR="00D16CB8" w:rsidRDefault="00D16CB8" w:rsidP="00C64B75">
            <w:pPr>
              <w:pStyle w:val="Caption"/>
              <w:jc w:val="center"/>
            </w:pPr>
          </w:p>
          <w:p w14:paraId="095C0552" w14:textId="7839E146" w:rsidR="0064554E" w:rsidRDefault="0069698D" w:rsidP="0064554E">
            <w:pPr>
              <w:pStyle w:val="Caption"/>
              <w:keepNext/>
              <w:jc w:val="center"/>
            </w:pPr>
            <w:r w:rsidRPr="0065762D">
              <w:rPr>
                <w:noProof/>
              </w:rPr>
              <mc:AlternateContent>
                <mc:Choice Requires="cx1">
                  <w:drawing>
                    <wp:inline distT="0" distB="0" distL="0" distR="0" wp14:anchorId="21F212FD" wp14:editId="5AEAAE9F">
                      <wp:extent cx="2053590" cy="2131060"/>
                      <wp:effectExtent l="0" t="0" r="0" b="0"/>
                      <wp:docPr id="38" name="Chart 30"/>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7"/>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drawing>
                    <wp:inline distT="0" distB="0" distL="0" distR="0" wp14:anchorId="21F212FD" wp14:editId="5AEAAE9F">
                      <wp:extent cx="2053590" cy="2131060"/>
                      <wp:effectExtent l="0" t="0" r="0" b="0"/>
                      <wp:docPr id="38" name="Chart 3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8" name="Chart 30"/>
                              <pic:cNvPicPr>
                                <a:picLocks noGrp="1" noRot="1" noChangeAspect="1" noMove="1" noResize="1" noEditPoints="1" noAdjustHandles="1" noChangeArrowheads="1" noChangeShapeType="1"/>
                              </pic:cNvPicPr>
                            </pic:nvPicPr>
                            <pic:blipFill>
                              <a:blip r:embed="rId48"/>
                              <a:stretch>
                                <a:fillRect/>
                              </a:stretch>
                            </pic:blipFill>
                            <pic:spPr>
                              <a:xfrm>
                                <a:off x="0" y="0"/>
                                <a:ext cx="2053590" cy="2131060"/>
                              </a:xfrm>
                              <a:prstGeom prst="rect">
                                <a:avLst/>
                              </a:prstGeom>
                            </pic:spPr>
                          </pic:pic>
                        </a:graphicData>
                      </a:graphic>
                    </wp:inline>
                  </w:drawing>
                </mc:Fallback>
              </mc:AlternateContent>
            </w:r>
          </w:p>
          <w:p w14:paraId="0B7E9170" w14:textId="4E162FC7" w:rsidR="00792462" w:rsidRDefault="0064554E" w:rsidP="0064554E">
            <w:pPr>
              <w:pStyle w:val="Caption"/>
            </w:pPr>
            <w:bookmarkStart w:id="53" w:name="_Toc182606043"/>
            <w:r>
              <w:t xml:space="preserve">Figure </w:t>
            </w:r>
            <w:fldSimple w:instr=" SEQ Figure \* ARABIC ">
              <w:r w:rsidR="00E02F7A">
                <w:rPr>
                  <w:noProof/>
                </w:rPr>
                <w:t>22</w:t>
              </w:r>
            </w:fldSimple>
            <w:r w:rsidRPr="00EA2ABE">
              <w:t xml:space="preserve"> box plot compares the distribution of </w:t>
            </w:r>
            <w:proofErr w:type="spellStart"/>
            <w:r>
              <w:t>WaPOR</w:t>
            </w:r>
            <w:proofErr w:type="spellEnd"/>
            <w:r>
              <w:t xml:space="preserve"> v03</w:t>
            </w:r>
            <w:r w:rsidRPr="00EA2ABE">
              <w:t xml:space="preserve"> - ET and In-Situ </w:t>
            </w:r>
            <w:r>
              <w:rPr>
                <w:noProof/>
              </w:rPr>
              <w:t>data for summer 2021 cultivated with Rice</w:t>
            </w:r>
            <w:bookmarkEnd w:id="53"/>
          </w:p>
        </w:tc>
      </w:tr>
    </w:tbl>
    <w:p w14:paraId="27E1CB41" w14:textId="06F2595B" w:rsidR="008A0DDC" w:rsidRDefault="008A0DDC" w:rsidP="00986B6F">
      <w:pPr>
        <w:pStyle w:val="Heading1"/>
        <w:keepLines w:val="0"/>
        <w:spacing w:before="0" w:after="0" w:line="240" w:lineRule="auto"/>
        <w:ind w:right="567"/>
        <w:contextualSpacing/>
        <w:rPr>
          <w:rFonts w:ascii="Cambria" w:eastAsia="Times New Roman" w:hAnsi="Cambria" w:cs="Arial"/>
          <w:b/>
          <w:bCs/>
          <w:color w:val="auto"/>
          <w:kern w:val="32"/>
          <w:sz w:val="24"/>
          <w:szCs w:val="24"/>
          <w:lang w:val="en-GB" w:eastAsia="en-GB"/>
          <w14:ligatures w14:val="none"/>
        </w:rPr>
      </w:pPr>
      <w:r>
        <w:rPr>
          <w:rFonts w:ascii="Cambria" w:eastAsia="Times New Roman" w:hAnsi="Cambria" w:cs="Arial"/>
          <w:b/>
          <w:bCs/>
          <w:color w:val="auto"/>
          <w:kern w:val="32"/>
          <w:sz w:val="24"/>
          <w:szCs w:val="24"/>
          <w:lang w:val="en-GB" w:eastAsia="en-GB"/>
          <w14:ligatures w14:val="none"/>
        </w:rPr>
        <w:t xml:space="preserve">Winter 2021/2022- </w:t>
      </w:r>
      <w:r w:rsidR="00C94C91">
        <w:rPr>
          <w:rFonts w:ascii="Cambria" w:eastAsia="Times New Roman" w:hAnsi="Cambria" w:cs="Arial"/>
          <w:b/>
          <w:bCs/>
          <w:color w:val="auto"/>
          <w:kern w:val="32"/>
          <w:sz w:val="24"/>
          <w:szCs w:val="24"/>
          <w:lang w:val="en-GB" w:eastAsia="en-GB"/>
          <w14:ligatures w14:val="none"/>
        </w:rPr>
        <w:t>Wheat</w:t>
      </w:r>
    </w:p>
    <w:bookmarkStart w:id="54" w:name="_Toc182606044"/>
    <w:p w14:paraId="4F527C4B" w14:textId="43C1E13F" w:rsidR="00C94C91" w:rsidRPr="00C94C91" w:rsidRDefault="00E37F3D" w:rsidP="00986B6F">
      <w:pPr>
        <w:rPr>
          <w:lang w:eastAsia="en-GB"/>
        </w:rPr>
      </w:pPr>
      <w:r>
        <w:rPr>
          <w:color w:val="FF0000"/>
          <w:lang w:eastAsia="en-GB"/>
        </w:rPr>
        <w:fldChar w:fldCharType="begin"/>
      </w:r>
      <w:r>
        <w:rPr>
          <w:lang w:eastAsia="en-GB"/>
        </w:rPr>
        <w:instrText xml:space="preserve"> REF _Ref182606594 \h </w:instrText>
      </w:r>
      <w:r>
        <w:rPr>
          <w:color w:val="FF0000"/>
          <w:lang w:eastAsia="en-GB"/>
        </w:rPr>
      </w:r>
      <w:r>
        <w:rPr>
          <w:color w:val="FF0000"/>
          <w:lang w:eastAsia="en-GB"/>
        </w:rPr>
        <w:fldChar w:fldCharType="separate"/>
      </w:r>
      <w:r w:rsidR="00E02F7A">
        <w:t xml:space="preserve">Figure </w:t>
      </w:r>
      <w:r w:rsidR="00E02F7A">
        <w:rPr>
          <w:noProof/>
        </w:rPr>
        <w:t>23</w:t>
      </w:r>
      <w:r>
        <w:rPr>
          <w:color w:val="FF0000"/>
          <w:lang w:eastAsia="en-GB"/>
        </w:rPr>
        <w:fldChar w:fldCharType="end"/>
      </w:r>
      <w:r w:rsidR="00C94C91" w:rsidRPr="00C94C91">
        <w:rPr>
          <w:lang w:eastAsia="en-GB"/>
        </w:rPr>
        <w:t xml:space="preserve"> </w:t>
      </w:r>
      <w:r w:rsidR="00C94C91">
        <w:rPr>
          <w:lang w:eastAsia="en-GB"/>
        </w:rPr>
        <w:t>illustrates t</w:t>
      </w:r>
      <w:r w:rsidR="00C94C91" w:rsidRPr="00C94C91">
        <w:rPr>
          <w:lang w:eastAsia="en-GB"/>
        </w:rPr>
        <w:t xml:space="preserve">he comparison of </w:t>
      </w:r>
      <w:proofErr w:type="spellStart"/>
      <w:r w:rsidR="00C94C91">
        <w:rPr>
          <w:lang w:eastAsia="en-GB"/>
        </w:rPr>
        <w:t>WaPOR</w:t>
      </w:r>
      <w:proofErr w:type="spellEnd"/>
      <w:r w:rsidR="00C94C91" w:rsidRPr="00C94C91">
        <w:rPr>
          <w:lang w:eastAsia="en-GB"/>
        </w:rPr>
        <w:t xml:space="preserve"> and In-Situ ET values from December 2021 to May 2022 shows</w:t>
      </w:r>
      <w:bookmarkEnd w:id="54"/>
      <w:r w:rsidR="00986B6F">
        <w:rPr>
          <w:lang w:eastAsia="en-GB"/>
        </w:rPr>
        <w:t xml:space="preserve"> that; </w:t>
      </w:r>
      <w:r w:rsidR="00C94C91" w:rsidRPr="00C94C91">
        <w:rPr>
          <w:lang w:eastAsia="en-GB"/>
        </w:rPr>
        <w:t>Trend Alignment:</w:t>
      </w:r>
      <w:r w:rsidR="00C94C91">
        <w:rPr>
          <w:lang w:eastAsia="en-GB"/>
        </w:rPr>
        <w:t xml:space="preserve"> </w:t>
      </w:r>
      <w:r w:rsidR="00C94C91" w:rsidRPr="00C94C91">
        <w:rPr>
          <w:lang w:eastAsia="en-GB"/>
        </w:rPr>
        <w:t xml:space="preserve">Both datasets follow an upward trend from December through early April, peaking in early April for </w:t>
      </w:r>
      <w:proofErr w:type="spellStart"/>
      <w:r w:rsidR="00C94C91">
        <w:rPr>
          <w:lang w:eastAsia="en-GB"/>
        </w:rPr>
        <w:t>WaPOR</w:t>
      </w:r>
      <w:proofErr w:type="spellEnd"/>
      <w:r w:rsidR="00C94C91" w:rsidRPr="00C94C91">
        <w:rPr>
          <w:lang w:eastAsia="en-GB"/>
        </w:rPr>
        <w:t xml:space="preserve"> and slightly later for In-Situ.</w:t>
      </w:r>
      <w:r w:rsidR="00C94C91">
        <w:rPr>
          <w:lang w:eastAsia="en-GB"/>
        </w:rPr>
        <w:t xml:space="preserve"> </w:t>
      </w:r>
      <w:r w:rsidR="00C94C91" w:rsidRPr="00C94C91">
        <w:rPr>
          <w:lang w:eastAsia="en-GB"/>
        </w:rPr>
        <w:t>After reaching their peaks, both datasets display a decline through April and May.</w:t>
      </w:r>
      <w:r w:rsidR="00986B6F">
        <w:rPr>
          <w:lang w:eastAsia="en-GB"/>
        </w:rPr>
        <w:t xml:space="preserve"> </w:t>
      </w:r>
      <w:r w:rsidR="00C94C91" w:rsidRPr="00C94C91">
        <w:rPr>
          <w:lang w:eastAsia="en-GB"/>
        </w:rPr>
        <w:t>Magnitude Differences:</w:t>
      </w:r>
      <w:r w:rsidR="00C94C91">
        <w:rPr>
          <w:lang w:eastAsia="en-GB"/>
        </w:rPr>
        <w:t xml:space="preserve"> </w:t>
      </w:r>
      <w:proofErr w:type="spellStart"/>
      <w:r w:rsidR="00C94C91">
        <w:rPr>
          <w:lang w:eastAsia="en-GB"/>
        </w:rPr>
        <w:t>WaPOR</w:t>
      </w:r>
      <w:proofErr w:type="spellEnd"/>
      <w:r w:rsidR="00C94C91" w:rsidRPr="00C94C91">
        <w:rPr>
          <w:lang w:eastAsia="en-GB"/>
        </w:rPr>
        <w:t xml:space="preserve"> values generally remain higher than In-Situ throughout this period, especially in March and April, where </w:t>
      </w:r>
      <w:proofErr w:type="spellStart"/>
      <w:r w:rsidR="00C94C91">
        <w:rPr>
          <w:lang w:eastAsia="en-GB"/>
        </w:rPr>
        <w:t>WaPOR</w:t>
      </w:r>
      <w:proofErr w:type="spellEnd"/>
      <w:r w:rsidR="00C94C91" w:rsidRPr="00C94C91">
        <w:rPr>
          <w:lang w:eastAsia="en-GB"/>
        </w:rPr>
        <w:t xml:space="preserve"> reaches a maximum around 5.7.</w:t>
      </w:r>
      <w:r w:rsidR="00C94C91">
        <w:rPr>
          <w:lang w:eastAsia="en-GB"/>
        </w:rPr>
        <w:t xml:space="preserve"> </w:t>
      </w:r>
      <w:r w:rsidR="00C94C91" w:rsidRPr="00C94C91">
        <w:rPr>
          <w:lang w:eastAsia="en-GB"/>
        </w:rPr>
        <w:t>In-Situ shows a more gradual increase, peaking at a lower value of about 4.14 in April.</w:t>
      </w:r>
      <w:r w:rsidR="00986B6F">
        <w:rPr>
          <w:lang w:eastAsia="en-GB"/>
        </w:rPr>
        <w:t xml:space="preserve"> For </w:t>
      </w:r>
      <w:r w:rsidR="00C94C91" w:rsidRPr="00C94C91">
        <w:rPr>
          <w:lang w:eastAsia="en-GB"/>
        </w:rPr>
        <w:t>Variability</w:t>
      </w:r>
      <w:r w:rsidR="00986B6F">
        <w:rPr>
          <w:lang w:eastAsia="en-GB"/>
        </w:rPr>
        <w:t xml:space="preserve">, </w:t>
      </w:r>
      <w:r w:rsidR="00C94C91">
        <w:rPr>
          <w:lang w:eastAsia="en-GB"/>
        </w:rPr>
        <w:t xml:space="preserve"> </w:t>
      </w:r>
      <w:proofErr w:type="spellStart"/>
      <w:r w:rsidR="00C94C91">
        <w:rPr>
          <w:lang w:eastAsia="en-GB"/>
        </w:rPr>
        <w:t>WaPOR</w:t>
      </w:r>
      <w:proofErr w:type="spellEnd"/>
      <w:r w:rsidR="00C94C91" w:rsidRPr="00C94C91">
        <w:rPr>
          <w:lang w:eastAsia="en-GB"/>
        </w:rPr>
        <w:t xml:space="preserve"> exhibits a steeper increase and decrease, indicating more sensitivity to seasonal changes during the period.</w:t>
      </w:r>
      <w:r w:rsidR="00C94C91">
        <w:rPr>
          <w:lang w:eastAsia="en-GB"/>
        </w:rPr>
        <w:t xml:space="preserve"> </w:t>
      </w:r>
      <w:r w:rsidR="00C94C91" w:rsidRPr="00C94C91">
        <w:rPr>
          <w:lang w:eastAsia="en-GB"/>
        </w:rPr>
        <w:t>In-Situ values are smoother and less variable, reflecting a more gradual response to environmental changes.</w:t>
      </w:r>
      <w:r w:rsidR="00986B6F">
        <w:rPr>
          <w:lang w:eastAsia="en-GB"/>
        </w:rPr>
        <w:t xml:space="preserve"> </w:t>
      </w:r>
      <w:r w:rsidR="00C94C91" w:rsidRPr="00C94C91">
        <w:rPr>
          <w:lang w:eastAsia="en-GB"/>
        </w:rPr>
        <w:t xml:space="preserve">This analysis suggests that </w:t>
      </w:r>
      <w:proofErr w:type="spellStart"/>
      <w:r w:rsidR="00C94C91">
        <w:rPr>
          <w:lang w:eastAsia="en-GB"/>
        </w:rPr>
        <w:t>WaPOR</w:t>
      </w:r>
      <w:proofErr w:type="spellEnd"/>
      <w:r w:rsidR="00C94C91" w:rsidRPr="00C94C91">
        <w:rPr>
          <w:lang w:eastAsia="en-GB"/>
        </w:rPr>
        <w:t xml:space="preserve"> captures more dynamic changes in ET, while In-Situ measurements show more stable, less extreme values</w:t>
      </w:r>
      <w:r w:rsidR="00986B6F">
        <w:rPr>
          <w:lang w:eastAsia="en-GB"/>
        </w:rPr>
        <w:t xml:space="preserve"> </w:t>
      </w:r>
    </w:p>
    <w:p w14:paraId="32A4C699" w14:textId="1E899F15" w:rsidR="00616082" w:rsidRDefault="00616082" w:rsidP="00616082">
      <w:pPr>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2"/>
        <w:gridCol w:w="4294"/>
      </w:tblGrid>
      <w:tr w:rsidR="00D16CB8" w14:paraId="11BC1A7F" w14:textId="77777777" w:rsidTr="00B43FE7">
        <w:tc>
          <w:tcPr>
            <w:tcW w:w="5286" w:type="dxa"/>
          </w:tcPr>
          <w:p w14:paraId="3C225AA3" w14:textId="77777777" w:rsidR="00C94C91" w:rsidRDefault="00D16CB8" w:rsidP="00C94C91">
            <w:pPr>
              <w:keepNext/>
            </w:pPr>
            <w:r>
              <w:rPr>
                <w:noProof/>
              </w:rPr>
              <w:lastRenderedPageBreak/>
              <w:drawing>
                <wp:inline distT="0" distB="0" distL="0" distR="0" wp14:anchorId="6F19A537" wp14:editId="702328FD">
                  <wp:extent cx="3223260" cy="2309446"/>
                  <wp:effectExtent l="0" t="0" r="0" b="0"/>
                  <wp:docPr id="1348598038" name="Chart 4">
                    <a:extLst xmlns:a="http://schemas.openxmlformats.org/drawingml/2006/main">
                      <a:ext uri="{FF2B5EF4-FFF2-40B4-BE49-F238E27FC236}">
                        <a16:creationId xmlns:a16="http://schemas.microsoft.com/office/drawing/2014/main" id="{D0E23F71-8740-4B02-848C-4F84A3761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833AEDA" w14:textId="3F46B493" w:rsidR="00D16CB8" w:rsidRDefault="00C94C91" w:rsidP="00C94C91">
            <w:pPr>
              <w:pStyle w:val="Caption"/>
            </w:pPr>
            <w:bookmarkStart w:id="55" w:name="_Ref182606594"/>
            <w:bookmarkStart w:id="56" w:name="_Toc182606045"/>
            <w:r>
              <w:t xml:space="preserve">Figure </w:t>
            </w:r>
            <w:fldSimple w:instr=" SEQ Figure \* ARABIC ">
              <w:r w:rsidR="00E02F7A">
                <w:rPr>
                  <w:noProof/>
                </w:rPr>
                <w:t>23</w:t>
              </w:r>
            </w:fldSimple>
            <w:bookmarkEnd w:id="55"/>
            <w:r w:rsidR="0064554E">
              <w:t xml:space="preserve"> </w:t>
            </w:r>
            <w:r w:rsidR="0064554E">
              <w:rPr>
                <w:noProof/>
              </w:rPr>
              <w:t>Comparison between MODIS16A2 data and in-situ data for winter 2021/2022 cultivated with Wheat</w:t>
            </w:r>
            <w:bookmarkEnd w:id="56"/>
          </w:p>
          <w:p w14:paraId="51C7B6EA" w14:textId="0920E94A" w:rsidR="00D16CB8" w:rsidRDefault="00D16CB8" w:rsidP="00C64B75"/>
          <w:p w14:paraId="75C1010D" w14:textId="77777777" w:rsidR="00D16CB8" w:rsidRDefault="00D16CB8" w:rsidP="00C64B75"/>
        </w:tc>
        <w:tc>
          <w:tcPr>
            <w:tcW w:w="4290" w:type="dxa"/>
          </w:tcPr>
          <w:p w14:paraId="7B4A1B99" w14:textId="77777777" w:rsidR="00D16CB8" w:rsidRDefault="00D16CB8" w:rsidP="00C64B75">
            <w:pPr>
              <w:pStyle w:val="Caption"/>
              <w:jc w:val="center"/>
            </w:pPr>
          </w:p>
          <w:p w14:paraId="18BEC9D5" w14:textId="1C340798" w:rsidR="00C94C91" w:rsidRDefault="0069698D" w:rsidP="00C94C91">
            <w:pPr>
              <w:pStyle w:val="Caption"/>
              <w:keepNext/>
              <w:jc w:val="center"/>
            </w:pPr>
            <w:r w:rsidRPr="0065762D">
              <w:rPr>
                <w:noProof/>
              </w:rPr>
              <mc:AlternateContent>
                <mc:Choice Requires="cx1">
                  <w:drawing>
                    <wp:inline distT="0" distB="0" distL="0" distR="0" wp14:anchorId="6BF0056D" wp14:editId="4EAB499E">
                      <wp:extent cx="2589530" cy="2282190"/>
                      <wp:effectExtent l="0" t="0" r="0" b="0"/>
                      <wp:docPr id="37" name="Chart 32"/>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0"/>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drawing>
                    <wp:inline distT="0" distB="0" distL="0" distR="0" wp14:anchorId="6BF0056D" wp14:editId="4EAB499E">
                      <wp:extent cx="2589530" cy="2282190"/>
                      <wp:effectExtent l="0" t="0" r="0" b="0"/>
                      <wp:docPr id="37" name="Chart 3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7" name="Chart 32"/>
                              <pic:cNvPicPr>
                                <a:picLocks noGrp="1" noRot="1" noChangeAspect="1" noMove="1" noResize="1" noEditPoints="1" noAdjustHandles="1" noChangeArrowheads="1" noChangeShapeType="1"/>
                              </pic:cNvPicPr>
                            </pic:nvPicPr>
                            <pic:blipFill>
                              <a:blip r:embed="rId51"/>
                              <a:stretch>
                                <a:fillRect/>
                              </a:stretch>
                            </pic:blipFill>
                            <pic:spPr>
                              <a:xfrm>
                                <a:off x="0" y="0"/>
                                <a:ext cx="2589530" cy="2282190"/>
                              </a:xfrm>
                              <a:prstGeom prst="rect">
                                <a:avLst/>
                              </a:prstGeom>
                            </pic:spPr>
                          </pic:pic>
                        </a:graphicData>
                      </a:graphic>
                    </wp:inline>
                  </w:drawing>
                </mc:Fallback>
              </mc:AlternateContent>
            </w:r>
          </w:p>
          <w:p w14:paraId="5838AFC6" w14:textId="5E3BC4C3" w:rsidR="00D16CB8" w:rsidRDefault="00C94C91" w:rsidP="00B43FE7">
            <w:pPr>
              <w:pStyle w:val="Caption"/>
            </w:pPr>
            <w:bookmarkStart w:id="57" w:name="_Toc182606046"/>
            <w:r>
              <w:t xml:space="preserve">Figure </w:t>
            </w:r>
            <w:fldSimple w:instr=" SEQ Figure \* ARABIC ">
              <w:r w:rsidR="00E02F7A">
                <w:rPr>
                  <w:noProof/>
                </w:rPr>
                <w:t>24</w:t>
              </w:r>
            </w:fldSimple>
            <w:r w:rsidR="0064554E">
              <w:t xml:space="preserve"> </w:t>
            </w:r>
            <w:r w:rsidR="0064554E" w:rsidRPr="00EA2ABE">
              <w:t xml:space="preserve">box plot compares the distribution of </w:t>
            </w:r>
            <w:proofErr w:type="spellStart"/>
            <w:r w:rsidR="0064554E">
              <w:t>WaPOR</w:t>
            </w:r>
            <w:proofErr w:type="spellEnd"/>
            <w:r w:rsidR="0064554E">
              <w:t xml:space="preserve"> v03</w:t>
            </w:r>
            <w:r w:rsidR="0064554E" w:rsidRPr="00EA2ABE">
              <w:t xml:space="preserve"> - ET and In-Situ </w:t>
            </w:r>
            <w:r w:rsidR="0064554E">
              <w:rPr>
                <w:noProof/>
              </w:rPr>
              <w:t>data for winter 2021/2022 cultivated with Wheat</w:t>
            </w:r>
            <w:bookmarkEnd w:id="57"/>
          </w:p>
        </w:tc>
      </w:tr>
    </w:tbl>
    <w:p w14:paraId="6F545CFF" w14:textId="464BDDFD" w:rsidR="00616082" w:rsidRDefault="00616082" w:rsidP="00616082">
      <w:pPr>
        <w:rPr>
          <w:noProof/>
        </w:rPr>
      </w:pPr>
    </w:p>
    <w:p w14:paraId="2D3E658E" w14:textId="646294E8" w:rsidR="00616082" w:rsidRDefault="00616082" w:rsidP="00616082">
      <w:pPr>
        <w:jc w:val="center"/>
        <w:rPr>
          <w:noProof/>
        </w:rPr>
      </w:pPr>
    </w:p>
    <w:p w14:paraId="786A979A" w14:textId="60F5F220" w:rsidR="00616082" w:rsidRPr="00534CCE" w:rsidRDefault="00BB01EC" w:rsidP="006F2D78">
      <w:pPr>
        <w:pStyle w:val="Heading1"/>
        <w:keepLines w:val="0"/>
        <w:numPr>
          <w:ilvl w:val="0"/>
          <w:numId w:val="2"/>
        </w:numPr>
        <w:spacing w:before="0" w:after="0" w:line="240" w:lineRule="auto"/>
        <w:ind w:left="0" w:right="567" w:firstLine="0"/>
        <w:contextualSpacing/>
        <w:rPr>
          <w:rFonts w:ascii="Cambria" w:eastAsia="Times New Roman" w:hAnsi="Cambria" w:cs="Arial"/>
          <w:b/>
          <w:bCs/>
          <w:color w:val="auto"/>
          <w:kern w:val="32"/>
          <w:sz w:val="24"/>
          <w:szCs w:val="24"/>
          <w:lang w:val="en-GB" w:eastAsia="en-GB"/>
          <w14:ligatures w14:val="none"/>
        </w:rPr>
      </w:pPr>
      <w:r w:rsidRPr="00534CCE">
        <w:rPr>
          <w:rFonts w:ascii="Cambria" w:eastAsia="Times New Roman" w:hAnsi="Cambria" w:cs="Arial"/>
          <w:b/>
          <w:bCs/>
          <w:color w:val="auto"/>
          <w:kern w:val="32"/>
          <w:sz w:val="24"/>
          <w:szCs w:val="24"/>
          <w:lang w:val="en-GB" w:eastAsia="en-GB"/>
          <w14:ligatures w14:val="none"/>
        </w:rPr>
        <w:t xml:space="preserve">Performance indicators for </w:t>
      </w:r>
      <w:r w:rsidR="00DC4A75" w:rsidRPr="00534CCE">
        <w:rPr>
          <w:rFonts w:ascii="Cambria" w:eastAsia="Times New Roman" w:hAnsi="Cambria" w:cs="Arial"/>
          <w:b/>
          <w:bCs/>
          <w:color w:val="auto"/>
          <w:kern w:val="32"/>
          <w:sz w:val="24"/>
          <w:szCs w:val="24"/>
          <w:lang w:val="en-GB" w:eastAsia="en-GB"/>
          <w14:ligatures w14:val="none"/>
        </w:rPr>
        <w:t xml:space="preserve">MODIS16A2 </w:t>
      </w:r>
      <w:r w:rsidRPr="00534CCE">
        <w:rPr>
          <w:rFonts w:ascii="Cambria" w:eastAsia="Times New Roman" w:hAnsi="Cambria" w:cs="Arial"/>
          <w:b/>
          <w:bCs/>
          <w:color w:val="auto"/>
          <w:kern w:val="32"/>
          <w:sz w:val="24"/>
          <w:szCs w:val="24"/>
          <w:lang w:val="en-GB" w:eastAsia="en-GB"/>
          <w14:ligatures w14:val="none"/>
        </w:rPr>
        <w:t xml:space="preserve">and </w:t>
      </w:r>
      <w:proofErr w:type="spellStart"/>
      <w:r w:rsidR="00DC4A75" w:rsidRPr="00534CCE">
        <w:rPr>
          <w:rFonts w:ascii="Cambria" w:eastAsia="Times New Roman" w:hAnsi="Cambria" w:cs="Arial"/>
          <w:b/>
          <w:bCs/>
          <w:color w:val="auto"/>
          <w:kern w:val="32"/>
          <w:sz w:val="24"/>
          <w:szCs w:val="24"/>
          <w:lang w:val="en-GB" w:eastAsia="en-GB"/>
          <w14:ligatures w14:val="none"/>
        </w:rPr>
        <w:t>WaPOR</w:t>
      </w:r>
      <w:proofErr w:type="spellEnd"/>
      <w:r w:rsidR="00DC4A75" w:rsidRPr="00534CCE">
        <w:rPr>
          <w:rFonts w:ascii="Cambria" w:eastAsia="Times New Roman" w:hAnsi="Cambria" w:cs="Arial"/>
          <w:b/>
          <w:bCs/>
          <w:color w:val="auto"/>
          <w:kern w:val="32"/>
          <w:sz w:val="24"/>
          <w:szCs w:val="24"/>
          <w:lang w:val="en-GB" w:eastAsia="en-GB"/>
          <w14:ligatures w14:val="none"/>
        </w:rPr>
        <w:t xml:space="preserve"> data</w:t>
      </w:r>
    </w:p>
    <w:p w14:paraId="36A3922B" w14:textId="5A0AFD21" w:rsidR="00616082" w:rsidRDefault="00616082" w:rsidP="00616082">
      <w:pPr>
        <w:rPr>
          <w:noProof/>
        </w:rPr>
      </w:pPr>
    </w:p>
    <w:p w14:paraId="6E7663AC" w14:textId="09944AAC" w:rsidR="00616082" w:rsidRDefault="00DC4A75" w:rsidP="00DC4A75">
      <w:pPr>
        <w:rPr>
          <w:noProof/>
        </w:rPr>
      </w:pPr>
      <w:r>
        <w:t xml:space="preserve">Table </w:t>
      </w:r>
      <w:fldSimple w:instr=" SEQ Table \* ARABIC ">
        <w:r>
          <w:rPr>
            <w:noProof/>
          </w:rPr>
          <w:t>3</w:t>
        </w:r>
      </w:fldSimple>
      <w:r w:rsidR="00E37F3D">
        <w:t xml:space="preserve"> and </w:t>
      </w:r>
      <w:r w:rsidR="00E37F3D">
        <w:fldChar w:fldCharType="begin"/>
      </w:r>
      <w:r w:rsidR="00E37F3D">
        <w:instrText xml:space="preserve"> REF _Ref182606666 \h </w:instrText>
      </w:r>
      <w:r w:rsidR="00E37F3D">
        <w:fldChar w:fldCharType="separate"/>
      </w:r>
      <w:r w:rsidR="00E02F7A">
        <w:t xml:space="preserve">Figure </w:t>
      </w:r>
      <w:r w:rsidR="00E02F7A">
        <w:rPr>
          <w:noProof/>
        </w:rPr>
        <w:t>25</w:t>
      </w:r>
      <w:r w:rsidR="00E37F3D">
        <w:fldChar w:fldCharType="end"/>
      </w:r>
      <w:r>
        <w:t xml:space="preserve"> show the </w:t>
      </w:r>
      <w:r w:rsidRPr="00DC4A75">
        <w:rPr>
          <w:noProof/>
        </w:rPr>
        <w:t>detailed analysis of the seasonal performance of MODIS16A2 and WaPOR across different seasons and crops</w:t>
      </w:r>
    </w:p>
    <w:p w14:paraId="12F55F81" w14:textId="39854559" w:rsidR="00DC4A75" w:rsidRDefault="00DC4A75" w:rsidP="00DC4A75">
      <w:pPr>
        <w:pStyle w:val="Caption"/>
        <w:keepNext/>
      </w:pPr>
      <w:r>
        <w:t xml:space="preserve">Table </w:t>
      </w:r>
      <w:fldSimple w:instr=" SEQ Table \* ARABIC ">
        <w:r>
          <w:rPr>
            <w:noProof/>
          </w:rPr>
          <w:t>3</w:t>
        </w:r>
      </w:fldSimple>
      <w:r>
        <w:t xml:space="preserve"> values of </w:t>
      </w:r>
      <w:r w:rsidRPr="00A5462C">
        <w:t>statistical factors</w:t>
      </w:r>
      <w:r>
        <w:t xml:space="preserve"> regarding MODIS16A2 and </w:t>
      </w:r>
      <w:proofErr w:type="spellStart"/>
      <w:r>
        <w:t>WaPOR</w:t>
      </w:r>
      <w:proofErr w:type="spellEnd"/>
      <w:r>
        <w:t xml:space="preserve"> data</w:t>
      </w:r>
    </w:p>
    <w:tbl>
      <w:tblPr>
        <w:tblW w:w="10925" w:type="dxa"/>
        <w:tblInd w:w="-774" w:type="dxa"/>
        <w:tblBorders>
          <w:top w:val="single" w:sz="4" w:space="0" w:color="auto"/>
          <w:bottom w:val="single" w:sz="4" w:space="0" w:color="auto"/>
          <w:insideH w:val="single" w:sz="4" w:space="0" w:color="auto"/>
        </w:tblBorders>
        <w:tblLook w:val="04A0" w:firstRow="1" w:lastRow="0" w:firstColumn="1" w:lastColumn="0" w:noHBand="0" w:noVBand="1"/>
      </w:tblPr>
      <w:tblGrid>
        <w:gridCol w:w="1253"/>
        <w:gridCol w:w="1414"/>
        <w:gridCol w:w="950"/>
        <w:gridCol w:w="1569"/>
        <w:gridCol w:w="1011"/>
        <w:gridCol w:w="1414"/>
        <w:gridCol w:w="950"/>
        <w:gridCol w:w="1414"/>
        <w:gridCol w:w="950"/>
      </w:tblGrid>
      <w:tr w:rsidR="00E86406" w:rsidRPr="00591430" w14:paraId="2742A913" w14:textId="77777777" w:rsidTr="00534CCE">
        <w:trPr>
          <w:trHeight w:val="288"/>
        </w:trPr>
        <w:tc>
          <w:tcPr>
            <w:tcW w:w="1253" w:type="dxa"/>
            <w:shd w:val="clear" w:color="auto" w:fill="auto"/>
            <w:noWrap/>
            <w:vAlign w:val="bottom"/>
            <w:hideMark/>
          </w:tcPr>
          <w:p w14:paraId="40FCFF30" w14:textId="77777777" w:rsidR="00E86406" w:rsidRPr="00591430" w:rsidRDefault="00E86406" w:rsidP="006F2D78">
            <w:pPr>
              <w:spacing w:after="0" w:line="240" w:lineRule="auto"/>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Season</w:t>
            </w:r>
          </w:p>
        </w:tc>
        <w:tc>
          <w:tcPr>
            <w:tcW w:w="2364" w:type="dxa"/>
            <w:gridSpan w:val="2"/>
            <w:shd w:val="clear" w:color="auto" w:fill="auto"/>
            <w:noWrap/>
            <w:vAlign w:val="bottom"/>
            <w:hideMark/>
          </w:tcPr>
          <w:p w14:paraId="44D69B18" w14:textId="300D18B1" w:rsidR="00E86406" w:rsidRPr="00591430" w:rsidRDefault="00B43FE7" w:rsidP="006F2D78">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Winter 2019/2020</w:t>
            </w:r>
            <w:r w:rsidR="00E86406" w:rsidRPr="00591430">
              <w:rPr>
                <w:rFonts w:asciiTheme="majorBidi" w:eastAsia="Times New Roman" w:hAnsiTheme="majorBidi" w:cstheme="majorBidi"/>
                <w:color w:val="000000"/>
                <w:kern w:val="0"/>
                <w14:ligatures w14:val="none"/>
              </w:rPr>
              <w:t xml:space="preserve"> Wheat</w:t>
            </w:r>
          </w:p>
        </w:tc>
        <w:tc>
          <w:tcPr>
            <w:tcW w:w="2580" w:type="dxa"/>
            <w:gridSpan w:val="2"/>
            <w:shd w:val="clear" w:color="auto" w:fill="auto"/>
            <w:noWrap/>
            <w:vAlign w:val="bottom"/>
            <w:hideMark/>
          </w:tcPr>
          <w:p w14:paraId="7AD0C58C" w14:textId="77777777" w:rsidR="00B43FE7" w:rsidRPr="00591430" w:rsidRDefault="00B43FE7" w:rsidP="006F2D78">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Winter 2020/2021</w:t>
            </w:r>
          </w:p>
          <w:p w14:paraId="7808CC92" w14:textId="0DA02125" w:rsidR="00E86406" w:rsidRPr="00591430" w:rsidRDefault="00E86406" w:rsidP="006F2D78">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Wheat</w:t>
            </w:r>
          </w:p>
        </w:tc>
        <w:tc>
          <w:tcPr>
            <w:tcW w:w="2364" w:type="dxa"/>
            <w:gridSpan w:val="2"/>
            <w:shd w:val="clear" w:color="auto" w:fill="auto"/>
            <w:noWrap/>
            <w:vAlign w:val="bottom"/>
            <w:hideMark/>
          </w:tcPr>
          <w:p w14:paraId="469C2059" w14:textId="77777777" w:rsidR="00B43FE7" w:rsidRPr="00591430" w:rsidRDefault="00B43FE7" w:rsidP="006F2D78">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Summer 2021</w:t>
            </w:r>
          </w:p>
          <w:p w14:paraId="049CE99D" w14:textId="4604F0F1" w:rsidR="00E86406" w:rsidRPr="00591430" w:rsidRDefault="00E86406" w:rsidP="006F2D78">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Rice</w:t>
            </w:r>
          </w:p>
        </w:tc>
        <w:tc>
          <w:tcPr>
            <w:tcW w:w="2364" w:type="dxa"/>
            <w:gridSpan w:val="2"/>
            <w:shd w:val="clear" w:color="auto" w:fill="auto"/>
            <w:noWrap/>
            <w:vAlign w:val="bottom"/>
            <w:hideMark/>
          </w:tcPr>
          <w:p w14:paraId="71FA8697" w14:textId="77777777" w:rsidR="00B43FE7" w:rsidRPr="00591430" w:rsidRDefault="00B43FE7" w:rsidP="006F2D78">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Winter 2021/2022</w:t>
            </w:r>
          </w:p>
          <w:p w14:paraId="12BAE728" w14:textId="159AE2C6" w:rsidR="00E86406" w:rsidRPr="00591430" w:rsidRDefault="00E86406" w:rsidP="006F2D78">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Wheat</w:t>
            </w:r>
          </w:p>
        </w:tc>
      </w:tr>
      <w:tr w:rsidR="00E86406" w:rsidRPr="00591430" w14:paraId="071A6805" w14:textId="77777777" w:rsidTr="00534CCE">
        <w:trPr>
          <w:trHeight w:val="288"/>
        </w:trPr>
        <w:tc>
          <w:tcPr>
            <w:tcW w:w="1253" w:type="dxa"/>
            <w:shd w:val="clear" w:color="auto" w:fill="auto"/>
            <w:noWrap/>
            <w:vAlign w:val="bottom"/>
            <w:hideMark/>
          </w:tcPr>
          <w:p w14:paraId="435CF294" w14:textId="77777777" w:rsidR="00E86406" w:rsidRPr="00591430" w:rsidRDefault="00E86406" w:rsidP="006F2D78">
            <w:pPr>
              <w:spacing w:after="0" w:line="240" w:lineRule="auto"/>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Product</w:t>
            </w:r>
          </w:p>
        </w:tc>
        <w:tc>
          <w:tcPr>
            <w:tcW w:w="1414" w:type="dxa"/>
            <w:shd w:val="clear" w:color="auto" w:fill="auto"/>
            <w:noWrap/>
            <w:vAlign w:val="bottom"/>
            <w:hideMark/>
          </w:tcPr>
          <w:p w14:paraId="5FD2E5D7" w14:textId="7FB294CB" w:rsidR="00E86406" w:rsidRPr="00591430" w:rsidRDefault="00E86406" w:rsidP="006F2D78">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MOD16A2</w:t>
            </w:r>
          </w:p>
        </w:tc>
        <w:tc>
          <w:tcPr>
            <w:tcW w:w="950" w:type="dxa"/>
            <w:shd w:val="clear" w:color="auto" w:fill="auto"/>
            <w:noWrap/>
            <w:vAlign w:val="bottom"/>
            <w:hideMark/>
          </w:tcPr>
          <w:p w14:paraId="38C84D49" w14:textId="21C5BFCA" w:rsidR="00E86406" w:rsidRPr="00591430" w:rsidRDefault="00E86406" w:rsidP="006F2D78">
            <w:pPr>
              <w:spacing w:after="0" w:line="240" w:lineRule="auto"/>
              <w:jc w:val="center"/>
              <w:rPr>
                <w:rFonts w:asciiTheme="majorBidi" w:eastAsia="Times New Roman" w:hAnsiTheme="majorBidi" w:cstheme="majorBidi"/>
                <w:color w:val="000000"/>
                <w:kern w:val="0"/>
                <w14:ligatures w14:val="none"/>
              </w:rPr>
            </w:pPr>
            <w:proofErr w:type="spellStart"/>
            <w:r w:rsidRPr="00591430">
              <w:rPr>
                <w:rFonts w:asciiTheme="majorBidi" w:eastAsia="Times New Roman" w:hAnsiTheme="majorBidi" w:cstheme="majorBidi"/>
                <w:color w:val="000000"/>
                <w:kern w:val="0"/>
                <w14:ligatures w14:val="none"/>
              </w:rPr>
              <w:t>WaPOR</w:t>
            </w:r>
            <w:proofErr w:type="spellEnd"/>
          </w:p>
        </w:tc>
        <w:tc>
          <w:tcPr>
            <w:tcW w:w="1569" w:type="dxa"/>
            <w:shd w:val="clear" w:color="auto" w:fill="auto"/>
            <w:noWrap/>
            <w:vAlign w:val="bottom"/>
            <w:hideMark/>
          </w:tcPr>
          <w:p w14:paraId="7749BDBC" w14:textId="46FE9287" w:rsidR="00E86406" w:rsidRPr="00591430" w:rsidRDefault="00E86406" w:rsidP="006F2D78">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MOD16A2</w:t>
            </w:r>
          </w:p>
        </w:tc>
        <w:tc>
          <w:tcPr>
            <w:tcW w:w="1011" w:type="dxa"/>
            <w:shd w:val="clear" w:color="auto" w:fill="auto"/>
            <w:noWrap/>
            <w:vAlign w:val="bottom"/>
            <w:hideMark/>
          </w:tcPr>
          <w:p w14:paraId="6300DBCB" w14:textId="3A5B6680" w:rsidR="00E86406" w:rsidRPr="00591430" w:rsidRDefault="00E86406" w:rsidP="006F2D78">
            <w:pPr>
              <w:spacing w:after="0" w:line="240" w:lineRule="auto"/>
              <w:jc w:val="center"/>
              <w:rPr>
                <w:rFonts w:asciiTheme="majorBidi" w:eastAsia="Times New Roman" w:hAnsiTheme="majorBidi" w:cstheme="majorBidi"/>
                <w:color w:val="000000"/>
                <w:kern w:val="0"/>
                <w14:ligatures w14:val="none"/>
              </w:rPr>
            </w:pPr>
            <w:proofErr w:type="spellStart"/>
            <w:r w:rsidRPr="00591430">
              <w:rPr>
                <w:rFonts w:asciiTheme="majorBidi" w:eastAsia="Times New Roman" w:hAnsiTheme="majorBidi" w:cstheme="majorBidi"/>
                <w:color w:val="000000"/>
                <w:kern w:val="0"/>
                <w14:ligatures w14:val="none"/>
              </w:rPr>
              <w:t>WaPOR</w:t>
            </w:r>
            <w:proofErr w:type="spellEnd"/>
          </w:p>
        </w:tc>
        <w:tc>
          <w:tcPr>
            <w:tcW w:w="1414" w:type="dxa"/>
            <w:shd w:val="clear" w:color="auto" w:fill="auto"/>
            <w:noWrap/>
            <w:vAlign w:val="bottom"/>
            <w:hideMark/>
          </w:tcPr>
          <w:p w14:paraId="32FCD662" w14:textId="700049B8" w:rsidR="00E86406" w:rsidRPr="00591430" w:rsidRDefault="00E86406" w:rsidP="006F2D78">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MOD16A2</w:t>
            </w:r>
          </w:p>
        </w:tc>
        <w:tc>
          <w:tcPr>
            <w:tcW w:w="950" w:type="dxa"/>
            <w:shd w:val="clear" w:color="auto" w:fill="auto"/>
            <w:noWrap/>
            <w:vAlign w:val="bottom"/>
            <w:hideMark/>
          </w:tcPr>
          <w:p w14:paraId="28B94D10" w14:textId="5F78063A" w:rsidR="00E86406" w:rsidRPr="00591430" w:rsidRDefault="00E86406" w:rsidP="006F2D78">
            <w:pPr>
              <w:spacing w:after="0" w:line="240" w:lineRule="auto"/>
              <w:jc w:val="center"/>
              <w:rPr>
                <w:rFonts w:asciiTheme="majorBidi" w:eastAsia="Times New Roman" w:hAnsiTheme="majorBidi" w:cstheme="majorBidi"/>
                <w:color w:val="000000"/>
                <w:kern w:val="0"/>
                <w14:ligatures w14:val="none"/>
              </w:rPr>
            </w:pPr>
            <w:proofErr w:type="spellStart"/>
            <w:r w:rsidRPr="00591430">
              <w:rPr>
                <w:rFonts w:asciiTheme="majorBidi" w:eastAsia="Times New Roman" w:hAnsiTheme="majorBidi" w:cstheme="majorBidi"/>
                <w:color w:val="000000"/>
                <w:kern w:val="0"/>
                <w14:ligatures w14:val="none"/>
              </w:rPr>
              <w:t>WaPOR</w:t>
            </w:r>
            <w:proofErr w:type="spellEnd"/>
          </w:p>
        </w:tc>
        <w:tc>
          <w:tcPr>
            <w:tcW w:w="1414" w:type="dxa"/>
            <w:shd w:val="clear" w:color="auto" w:fill="auto"/>
            <w:noWrap/>
            <w:vAlign w:val="bottom"/>
            <w:hideMark/>
          </w:tcPr>
          <w:p w14:paraId="67CE2205" w14:textId="174734EA" w:rsidR="00E86406" w:rsidRPr="00591430" w:rsidRDefault="00E86406" w:rsidP="006F2D78">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MOD16A2</w:t>
            </w:r>
          </w:p>
        </w:tc>
        <w:tc>
          <w:tcPr>
            <w:tcW w:w="950" w:type="dxa"/>
            <w:shd w:val="clear" w:color="auto" w:fill="auto"/>
            <w:noWrap/>
            <w:vAlign w:val="bottom"/>
            <w:hideMark/>
          </w:tcPr>
          <w:p w14:paraId="69FC1765" w14:textId="1A93D516" w:rsidR="00E86406" w:rsidRPr="00591430" w:rsidRDefault="00E86406" w:rsidP="006F2D78">
            <w:pPr>
              <w:spacing w:after="0" w:line="240" w:lineRule="auto"/>
              <w:jc w:val="center"/>
              <w:rPr>
                <w:rFonts w:asciiTheme="majorBidi" w:eastAsia="Times New Roman" w:hAnsiTheme="majorBidi" w:cstheme="majorBidi"/>
                <w:color w:val="000000"/>
                <w:kern w:val="0"/>
                <w14:ligatures w14:val="none"/>
              </w:rPr>
            </w:pPr>
            <w:proofErr w:type="spellStart"/>
            <w:r w:rsidRPr="00591430">
              <w:rPr>
                <w:rFonts w:asciiTheme="majorBidi" w:eastAsia="Times New Roman" w:hAnsiTheme="majorBidi" w:cstheme="majorBidi"/>
                <w:color w:val="000000"/>
                <w:kern w:val="0"/>
                <w14:ligatures w14:val="none"/>
              </w:rPr>
              <w:t>WaPOR</w:t>
            </w:r>
            <w:proofErr w:type="spellEnd"/>
          </w:p>
        </w:tc>
      </w:tr>
      <w:tr w:rsidR="00E86406" w:rsidRPr="00591430" w14:paraId="2867C71F" w14:textId="77777777" w:rsidTr="00534CCE">
        <w:trPr>
          <w:trHeight w:val="288"/>
        </w:trPr>
        <w:tc>
          <w:tcPr>
            <w:tcW w:w="1253" w:type="dxa"/>
            <w:shd w:val="clear" w:color="auto" w:fill="auto"/>
            <w:noWrap/>
            <w:vAlign w:val="bottom"/>
            <w:hideMark/>
          </w:tcPr>
          <w:p w14:paraId="1B1531A1" w14:textId="77777777" w:rsidR="00E86406" w:rsidRPr="00591430" w:rsidRDefault="00E86406" w:rsidP="006F2D78">
            <w:pPr>
              <w:spacing w:after="0" w:line="240" w:lineRule="auto"/>
              <w:rPr>
                <w:rFonts w:asciiTheme="majorBidi" w:eastAsia="Times New Roman" w:hAnsiTheme="majorBidi" w:cstheme="majorBidi"/>
                <w:kern w:val="0"/>
                <w14:ligatures w14:val="none"/>
              </w:rPr>
            </w:pPr>
            <w:r w:rsidRPr="00591430">
              <w:rPr>
                <w:rFonts w:asciiTheme="majorBidi" w:eastAsia="Times New Roman" w:hAnsiTheme="majorBidi" w:cstheme="majorBidi"/>
                <w:kern w:val="0"/>
                <w14:ligatures w14:val="none"/>
              </w:rPr>
              <w:t>R2</w:t>
            </w:r>
          </w:p>
        </w:tc>
        <w:tc>
          <w:tcPr>
            <w:tcW w:w="1414" w:type="dxa"/>
            <w:shd w:val="clear" w:color="auto" w:fill="auto"/>
            <w:noWrap/>
            <w:vAlign w:val="bottom"/>
            <w:hideMark/>
          </w:tcPr>
          <w:p w14:paraId="171DAE9B"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0.761</w:t>
            </w:r>
          </w:p>
        </w:tc>
        <w:tc>
          <w:tcPr>
            <w:tcW w:w="950" w:type="dxa"/>
            <w:shd w:val="clear" w:color="auto" w:fill="auto"/>
            <w:noWrap/>
            <w:vAlign w:val="bottom"/>
            <w:hideMark/>
          </w:tcPr>
          <w:p w14:paraId="68C01DDD"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0.865</w:t>
            </w:r>
          </w:p>
        </w:tc>
        <w:tc>
          <w:tcPr>
            <w:tcW w:w="1569" w:type="dxa"/>
            <w:shd w:val="clear" w:color="auto" w:fill="auto"/>
            <w:noWrap/>
            <w:vAlign w:val="bottom"/>
            <w:hideMark/>
          </w:tcPr>
          <w:p w14:paraId="2D4691E9"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0.590</w:t>
            </w:r>
          </w:p>
        </w:tc>
        <w:tc>
          <w:tcPr>
            <w:tcW w:w="1011" w:type="dxa"/>
            <w:shd w:val="clear" w:color="auto" w:fill="auto"/>
            <w:noWrap/>
            <w:vAlign w:val="bottom"/>
            <w:hideMark/>
          </w:tcPr>
          <w:p w14:paraId="07585D55"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0.731</w:t>
            </w:r>
          </w:p>
        </w:tc>
        <w:tc>
          <w:tcPr>
            <w:tcW w:w="1414" w:type="dxa"/>
            <w:shd w:val="clear" w:color="auto" w:fill="auto"/>
            <w:noWrap/>
            <w:vAlign w:val="bottom"/>
            <w:hideMark/>
          </w:tcPr>
          <w:p w14:paraId="64013681"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0.350</w:t>
            </w:r>
          </w:p>
        </w:tc>
        <w:tc>
          <w:tcPr>
            <w:tcW w:w="950" w:type="dxa"/>
            <w:shd w:val="clear" w:color="auto" w:fill="auto"/>
            <w:noWrap/>
            <w:vAlign w:val="bottom"/>
            <w:hideMark/>
          </w:tcPr>
          <w:p w14:paraId="1D94EEA6"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0.009</w:t>
            </w:r>
          </w:p>
        </w:tc>
        <w:tc>
          <w:tcPr>
            <w:tcW w:w="1414" w:type="dxa"/>
            <w:shd w:val="clear" w:color="auto" w:fill="auto"/>
            <w:noWrap/>
            <w:vAlign w:val="bottom"/>
            <w:hideMark/>
          </w:tcPr>
          <w:p w14:paraId="75940C7A"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0.540</w:t>
            </w:r>
          </w:p>
        </w:tc>
        <w:tc>
          <w:tcPr>
            <w:tcW w:w="950" w:type="dxa"/>
            <w:shd w:val="clear" w:color="auto" w:fill="auto"/>
            <w:noWrap/>
            <w:vAlign w:val="bottom"/>
            <w:hideMark/>
          </w:tcPr>
          <w:p w14:paraId="4BAF8AAC"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0.647</w:t>
            </w:r>
          </w:p>
        </w:tc>
      </w:tr>
      <w:tr w:rsidR="00E86406" w:rsidRPr="00591430" w14:paraId="6FC50845" w14:textId="77777777" w:rsidTr="00534CCE">
        <w:trPr>
          <w:trHeight w:val="288"/>
        </w:trPr>
        <w:tc>
          <w:tcPr>
            <w:tcW w:w="1253" w:type="dxa"/>
            <w:shd w:val="clear" w:color="auto" w:fill="auto"/>
            <w:noWrap/>
            <w:vAlign w:val="bottom"/>
            <w:hideMark/>
          </w:tcPr>
          <w:p w14:paraId="304EB38C" w14:textId="77777777" w:rsidR="00E86406" w:rsidRPr="00591430" w:rsidRDefault="00E86406" w:rsidP="006F2D78">
            <w:pPr>
              <w:spacing w:after="0" w:line="240" w:lineRule="auto"/>
              <w:rPr>
                <w:rFonts w:asciiTheme="majorBidi" w:eastAsia="Times New Roman" w:hAnsiTheme="majorBidi" w:cstheme="majorBidi"/>
                <w:kern w:val="0"/>
                <w14:ligatures w14:val="none"/>
              </w:rPr>
            </w:pPr>
            <w:r w:rsidRPr="00591430">
              <w:rPr>
                <w:rFonts w:asciiTheme="majorBidi" w:eastAsia="Times New Roman" w:hAnsiTheme="majorBidi" w:cstheme="majorBidi"/>
                <w:kern w:val="0"/>
                <w14:ligatures w14:val="none"/>
              </w:rPr>
              <w:t>Correlation</w:t>
            </w:r>
          </w:p>
        </w:tc>
        <w:tc>
          <w:tcPr>
            <w:tcW w:w="1414" w:type="dxa"/>
            <w:shd w:val="clear" w:color="auto" w:fill="auto"/>
            <w:noWrap/>
            <w:vAlign w:val="bottom"/>
            <w:hideMark/>
          </w:tcPr>
          <w:p w14:paraId="564AE00B"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0.872</w:t>
            </w:r>
          </w:p>
        </w:tc>
        <w:tc>
          <w:tcPr>
            <w:tcW w:w="950" w:type="dxa"/>
            <w:shd w:val="clear" w:color="auto" w:fill="auto"/>
            <w:noWrap/>
            <w:vAlign w:val="bottom"/>
            <w:hideMark/>
          </w:tcPr>
          <w:p w14:paraId="1181EC34"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0.930</w:t>
            </w:r>
          </w:p>
        </w:tc>
        <w:tc>
          <w:tcPr>
            <w:tcW w:w="1569" w:type="dxa"/>
            <w:shd w:val="clear" w:color="auto" w:fill="auto"/>
            <w:noWrap/>
            <w:vAlign w:val="bottom"/>
            <w:hideMark/>
          </w:tcPr>
          <w:p w14:paraId="404F3113"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0.768</w:t>
            </w:r>
          </w:p>
        </w:tc>
        <w:tc>
          <w:tcPr>
            <w:tcW w:w="1011" w:type="dxa"/>
            <w:shd w:val="clear" w:color="auto" w:fill="auto"/>
            <w:noWrap/>
            <w:vAlign w:val="bottom"/>
            <w:hideMark/>
          </w:tcPr>
          <w:p w14:paraId="391A89DC"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0.855</w:t>
            </w:r>
          </w:p>
        </w:tc>
        <w:tc>
          <w:tcPr>
            <w:tcW w:w="1414" w:type="dxa"/>
            <w:shd w:val="clear" w:color="auto" w:fill="auto"/>
            <w:noWrap/>
            <w:vAlign w:val="bottom"/>
            <w:hideMark/>
          </w:tcPr>
          <w:p w14:paraId="4A277C3C"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0.591</w:t>
            </w:r>
          </w:p>
        </w:tc>
        <w:tc>
          <w:tcPr>
            <w:tcW w:w="950" w:type="dxa"/>
            <w:shd w:val="clear" w:color="auto" w:fill="auto"/>
            <w:noWrap/>
            <w:vAlign w:val="bottom"/>
            <w:hideMark/>
          </w:tcPr>
          <w:p w14:paraId="67D5F64A"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-0.095</w:t>
            </w:r>
          </w:p>
        </w:tc>
        <w:tc>
          <w:tcPr>
            <w:tcW w:w="1414" w:type="dxa"/>
            <w:shd w:val="clear" w:color="auto" w:fill="auto"/>
            <w:noWrap/>
            <w:vAlign w:val="bottom"/>
            <w:hideMark/>
          </w:tcPr>
          <w:p w14:paraId="165675B0"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0.735</w:t>
            </w:r>
          </w:p>
        </w:tc>
        <w:tc>
          <w:tcPr>
            <w:tcW w:w="950" w:type="dxa"/>
            <w:shd w:val="clear" w:color="auto" w:fill="auto"/>
            <w:noWrap/>
            <w:vAlign w:val="bottom"/>
            <w:hideMark/>
          </w:tcPr>
          <w:p w14:paraId="0DED9DA2"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0.804</w:t>
            </w:r>
          </w:p>
        </w:tc>
      </w:tr>
      <w:tr w:rsidR="00E86406" w:rsidRPr="00591430" w14:paraId="3393896F" w14:textId="77777777" w:rsidTr="00534CCE">
        <w:trPr>
          <w:trHeight w:val="288"/>
        </w:trPr>
        <w:tc>
          <w:tcPr>
            <w:tcW w:w="1253" w:type="dxa"/>
            <w:shd w:val="clear" w:color="auto" w:fill="auto"/>
            <w:noWrap/>
            <w:vAlign w:val="bottom"/>
            <w:hideMark/>
          </w:tcPr>
          <w:p w14:paraId="74DB36A6" w14:textId="77777777" w:rsidR="00E86406" w:rsidRPr="00591430" w:rsidRDefault="00E86406" w:rsidP="006F2D78">
            <w:pPr>
              <w:spacing w:after="0" w:line="240" w:lineRule="auto"/>
              <w:rPr>
                <w:rFonts w:asciiTheme="majorBidi" w:eastAsia="Times New Roman" w:hAnsiTheme="majorBidi" w:cstheme="majorBidi"/>
                <w:kern w:val="0"/>
                <w14:ligatures w14:val="none"/>
              </w:rPr>
            </w:pPr>
            <w:r w:rsidRPr="00591430">
              <w:rPr>
                <w:rFonts w:asciiTheme="majorBidi" w:eastAsia="Times New Roman" w:hAnsiTheme="majorBidi" w:cstheme="majorBidi"/>
                <w:kern w:val="0"/>
                <w14:ligatures w14:val="none"/>
              </w:rPr>
              <w:t>RSME (mm)</w:t>
            </w:r>
          </w:p>
        </w:tc>
        <w:tc>
          <w:tcPr>
            <w:tcW w:w="1414" w:type="dxa"/>
            <w:shd w:val="clear" w:color="auto" w:fill="auto"/>
            <w:noWrap/>
            <w:vAlign w:val="bottom"/>
            <w:hideMark/>
          </w:tcPr>
          <w:p w14:paraId="18CC7A9D"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1.964</w:t>
            </w:r>
          </w:p>
        </w:tc>
        <w:tc>
          <w:tcPr>
            <w:tcW w:w="950" w:type="dxa"/>
            <w:shd w:val="clear" w:color="auto" w:fill="auto"/>
            <w:noWrap/>
            <w:vAlign w:val="bottom"/>
            <w:hideMark/>
          </w:tcPr>
          <w:p w14:paraId="778899B2"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0.125</w:t>
            </w:r>
          </w:p>
        </w:tc>
        <w:tc>
          <w:tcPr>
            <w:tcW w:w="1569" w:type="dxa"/>
            <w:shd w:val="clear" w:color="auto" w:fill="auto"/>
            <w:noWrap/>
            <w:vAlign w:val="bottom"/>
            <w:hideMark/>
          </w:tcPr>
          <w:p w14:paraId="4E7D3880"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1.457</w:t>
            </w:r>
          </w:p>
        </w:tc>
        <w:tc>
          <w:tcPr>
            <w:tcW w:w="1011" w:type="dxa"/>
            <w:shd w:val="clear" w:color="auto" w:fill="auto"/>
            <w:noWrap/>
            <w:vAlign w:val="bottom"/>
            <w:hideMark/>
          </w:tcPr>
          <w:p w14:paraId="34ED63A3"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0.159</w:t>
            </w:r>
          </w:p>
        </w:tc>
        <w:tc>
          <w:tcPr>
            <w:tcW w:w="1414" w:type="dxa"/>
            <w:shd w:val="clear" w:color="auto" w:fill="auto"/>
            <w:noWrap/>
            <w:vAlign w:val="bottom"/>
            <w:hideMark/>
          </w:tcPr>
          <w:p w14:paraId="12143597"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6.736</w:t>
            </w:r>
          </w:p>
        </w:tc>
        <w:tc>
          <w:tcPr>
            <w:tcW w:w="950" w:type="dxa"/>
            <w:shd w:val="clear" w:color="auto" w:fill="auto"/>
            <w:noWrap/>
            <w:vAlign w:val="bottom"/>
            <w:hideMark/>
          </w:tcPr>
          <w:p w14:paraId="2C589F60"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0.517</w:t>
            </w:r>
          </w:p>
        </w:tc>
        <w:tc>
          <w:tcPr>
            <w:tcW w:w="1414" w:type="dxa"/>
            <w:shd w:val="clear" w:color="auto" w:fill="auto"/>
            <w:noWrap/>
            <w:vAlign w:val="bottom"/>
            <w:hideMark/>
          </w:tcPr>
          <w:p w14:paraId="5EE6DE38"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1.828</w:t>
            </w:r>
          </w:p>
        </w:tc>
        <w:tc>
          <w:tcPr>
            <w:tcW w:w="950" w:type="dxa"/>
            <w:shd w:val="clear" w:color="auto" w:fill="auto"/>
            <w:noWrap/>
            <w:vAlign w:val="bottom"/>
            <w:hideMark/>
          </w:tcPr>
          <w:p w14:paraId="59E7FAF6"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0.252</w:t>
            </w:r>
          </w:p>
        </w:tc>
      </w:tr>
      <w:tr w:rsidR="00E86406" w:rsidRPr="00591430" w14:paraId="5A8AABBF" w14:textId="77777777" w:rsidTr="00534CCE">
        <w:trPr>
          <w:trHeight w:val="288"/>
        </w:trPr>
        <w:tc>
          <w:tcPr>
            <w:tcW w:w="1253" w:type="dxa"/>
            <w:shd w:val="clear" w:color="auto" w:fill="auto"/>
            <w:noWrap/>
            <w:vAlign w:val="bottom"/>
            <w:hideMark/>
          </w:tcPr>
          <w:p w14:paraId="3E0C278A" w14:textId="77777777" w:rsidR="00E86406" w:rsidRPr="00591430" w:rsidRDefault="00E86406" w:rsidP="006F2D78">
            <w:pPr>
              <w:spacing w:after="0" w:line="240" w:lineRule="auto"/>
              <w:rPr>
                <w:rFonts w:asciiTheme="majorBidi" w:eastAsia="Times New Roman" w:hAnsiTheme="majorBidi" w:cstheme="majorBidi"/>
                <w:kern w:val="0"/>
                <w14:ligatures w14:val="none"/>
              </w:rPr>
            </w:pPr>
            <w:proofErr w:type="spellStart"/>
            <w:r w:rsidRPr="00591430">
              <w:rPr>
                <w:rFonts w:asciiTheme="majorBidi" w:eastAsia="Times New Roman" w:hAnsiTheme="majorBidi" w:cstheme="majorBidi"/>
                <w:kern w:val="0"/>
                <w14:ligatures w14:val="none"/>
              </w:rPr>
              <w:t>rRSME</w:t>
            </w:r>
            <w:proofErr w:type="spellEnd"/>
            <w:r w:rsidRPr="00591430">
              <w:rPr>
                <w:rFonts w:asciiTheme="majorBidi" w:eastAsia="Times New Roman" w:hAnsiTheme="majorBidi" w:cstheme="majorBidi"/>
                <w:kern w:val="0"/>
                <w14:ligatures w14:val="none"/>
              </w:rPr>
              <w:t xml:space="preserve"> (%)</w:t>
            </w:r>
          </w:p>
        </w:tc>
        <w:tc>
          <w:tcPr>
            <w:tcW w:w="1414" w:type="dxa"/>
            <w:shd w:val="clear" w:color="auto" w:fill="auto"/>
            <w:noWrap/>
            <w:vAlign w:val="bottom"/>
            <w:hideMark/>
          </w:tcPr>
          <w:p w14:paraId="7355A628"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0.108</w:t>
            </w:r>
          </w:p>
        </w:tc>
        <w:tc>
          <w:tcPr>
            <w:tcW w:w="950" w:type="dxa"/>
            <w:shd w:val="clear" w:color="auto" w:fill="auto"/>
            <w:noWrap/>
            <w:vAlign w:val="bottom"/>
            <w:hideMark/>
          </w:tcPr>
          <w:p w14:paraId="37D4423F"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0.054</w:t>
            </w:r>
          </w:p>
        </w:tc>
        <w:tc>
          <w:tcPr>
            <w:tcW w:w="1569" w:type="dxa"/>
            <w:shd w:val="clear" w:color="auto" w:fill="auto"/>
            <w:noWrap/>
            <w:vAlign w:val="bottom"/>
            <w:hideMark/>
          </w:tcPr>
          <w:p w14:paraId="64FE2C26"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0.090</w:t>
            </w:r>
          </w:p>
        </w:tc>
        <w:tc>
          <w:tcPr>
            <w:tcW w:w="1011" w:type="dxa"/>
            <w:shd w:val="clear" w:color="auto" w:fill="auto"/>
            <w:noWrap/>
            <w:vAlign w:val="bottom"/>
            <w:hideMark/>
          </w:tcPr>
          <w:p w14:paraId="05F08FAA"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0.077</w:t>
            </w:r>
          </w:p>
        </w:tc>
        <w:tc>
          <w:tcPr>
            <w:tcW w:w="1414" w:type="dxa"/>
            <w:shd w:val="clear" w:color="auto" w:fill="auto"/>
            <w:noWrap/>
            <w:vAlign w:val="bottom"/>
            <w:hideMark/>
          </w:tcPr>
          <w:p w14:paraId="78C428C6"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0.198</w:t>
            </w:r>
          </w:p>
        </w:tc>
        <w:tc>
          <w:tcPr>
            <w:tcW w:w="950" w:type="dxa"/>
            <w:shd w:val="clear" w:color="auto" w:fill="auto"/>
            <w:noWrap/>
            <w:vAlign w:val="bottom"/>
            <w:hideMark/>
          </w:tcPr>
          <w:p w14:paraId="185D20BA"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0.119</w:t>
            </w:r>
          </w:p>
        </w:tc>
        <w:tc>
          <w:tcPr>
            <w:tcW w:w="1414" w:type="dxa"/>
            <w:shd w:val="clear" w:color="auto" w:fill="auto"/>
            <w:noWrap/>
            <w:vAlign w:val="bottom"/>
            <w:hideMark/>
          </w:tcPr>
          <w:p w14:paraId="47BD4F85"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0.124</w:t>
            </w:r>
          </w:p>
        </w:tc>
        <w:tc>
          <w:tcPr>
            <w:tcW w:w="950" w:type="dxa"/>
            <w:shd w:val="clear" w:color="auto" w:fill="auto"/>
            <w:noWrap/>
            <w:vAlign w:val="bottom"/>
            <w:hideMark/>
          </w:tcPr>
          <w:p w14:paraId="44A073E3"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0.108</w:t>
            </w:r>
          </w:p>
        </w:tc>
      </w:tr>
      <w:tr w:rsidR="00E86406" w:rsidRPr="00591430" w14:paraId="76604B56" w14:textId="77777777" w:rsidTr="00534CCE">
        <w:trPr>
          <w:trHeight w:val="288"/>
        </w:trPr>
        <w:tc>
          <w:tcPr>
            <w:tcW w:w="1253" w:type="dxa"/>
            <w:shd w:val="clear" w:color="auto" w:fill="auto"/>
            <w:noWrap/>
            <w:vAlign w:val="bottom"/>
            <w:hideMark/>
          </w:tcPr>
          <w:p w14:paraId="14EBA7E4" w14:textId="77777777" w:rsidR="00E86406" w:rsidRPr="00591430" w:rsidRDefault="00E86406" w:rsidP="006F2D78">
            <w:pPr>
              <w:spacing w:after="0" w:line="240" w:lineRule="auto"/>
              <w:rPr>
                <w:rFonts w:asciiTheme="majorBidi" w:eastAsia="Times New Roman" w:hAnsiTheme="majorBidi" w:cstheme="majorBidi"/>
                <w:kern w:val="0"/>
                <w14:ligatures w14:val="none"/>
              </w:rPr>
            </w:pPr>
            <w:r w:rsidRPr="00591430">
              <w:rPr>
                <w:rFonts w:asciiTheme="majorBidi" w:eastAsia="Times New Roman" w:hAnsiTheme="majorBidi" w:cstheme="majorBidi"/>
                <w:kern w:val="0"/>
                <w14:ligatures w14:val="none"/>
              </w:rPr>
              <w:t>MBE(mm)</w:t>
            </w:r>
          </w:p>
        </w:tc>
        <w:tc>
          <w:tcPr>
            <w:tcW w:w="1414" w:type="dxa"/>
            <w:shd w:val="clear" w:color="auto" w:fill="auto"/>
            <w:noWrap/>
            <w:vAlign w:val="bottom"/>
            <w:hideMark/>
          </w:tcPr>
          <w:p w14:paraId="2F947FB7"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0.406</w:t>
            </w:r>
          </w:p>
        </w:tc>
        <w:tc>
          <w:tcPr>
            <w:tcW w:w="950" w:type="dxa"/>
            <w:shd w:val="clear" w:color="auto" w:fill="auto"/>
            <w:noWrap/>
            <w:vAlign w:val="bottom"/>
            <w:hideMark/>
          </w:tcPr>
          <w:p w14:paraId="6EF4578F"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0.003</w:t>
            </w:r>
          </w:p>
        </w:tc>
        <w:tc>
          <w:tcPr>
            <w:tcW w:w="1569" w:type="dxa"/>
            <w:shd w:val="clear" w:color="auto" w:fill="auto"/>
            <w:noWrap/>
            <w:vAlign w:val="bottom"/>
            <w:hideMark/>
          </w:tcPr>
          <w:p w14:paraId="2ECFFF1D"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0.267</w:t>
            </w:r>
          </w:p>
        </w:tc>
        <w:tc>
          <w:tcPr>
            <w:tcW w:w="1011" w:type="dxa"/>
            <w:shd w:val="clear" w:color="auto" w:fill="auto"/>
            <w:noWrap/>
            <w:vAlign w:val="bottom"/>
            <w:hideMark/>
          </w:tcPr>
          <w:p w14:paraId="7C7AC03E"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-0.021</w:t>
            </w:r>
          </w:p>
        </w:tc>
        <w:tc>
          <w:tcPr>
            <w:tcW w:w="1414" w:type="dxa"/>
            <w:shd w:val="clear" w:color="auto" w:fill="auto"/>
            <w:noWrap/>
            <w:vAlign w:val="bottom"/>
            <w:hideMark/>
          </w:tcPr>
          <w:p w14:paraId="0C2DFA05"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1.640</w:t>
            </w:r>
          </w:p>
        </w:tc>
        <w:tc>
          <w:tcPr>
            <w:tcW w:w="950" w:type="dxa"/>
            <w:shd w:val="clear" w:color="auto" w:fill="auto"/>
            <w:noWrap/>
            <w:vAlign w:val="bottom"/>
            <w:hideMark/>
          </w:tcPr>
          <w:p w14:paraId="5ADD5015"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-0.021</w:t>
            </w:r>
          </w:p>
        </w:tc>
        <w:tc>
          <w:tcPr>
            <w:tcW w:w="1414" w:type="dxa"/>
            <w:shd w:val="clear" w:color="auto" w:fill="auto"/>
            <w:noWrap/>
            <w:vAlign w:val="bottom"/>
            <w:hideMark/>
          </w:tcPr>
          <w:p w14:paraId="77560D4B"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0.336</w:t>
            </w:r>
          </w:p>
        </w:tc>
        <w:tc>
          <w:tcPr>
            <w:tcW w:w="950" w:type="dxa"/>
            <w:shd w:val="clear" w:color="auto" w:fill="auto"/>
            <w:noWrap/>
            <w:vAlign w:val="bottom"/>
            <w:hideMark/>
          </w:tcPr>
          <w:p w14:paraId="3B48E404"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-0.026</w:t>
            </w:r>
          </w:p>
        </w:tc>
      </w:tr>
      <w:tr w:rsidR="00E86406" w:rsidRPr="00591430" w14:paraId="0775D023" w14:textId="77777777" w:rsidTr="00534CCE">
        <w:trPr>
          <w:trHeight w:val="288"/>
        </w:trPr>
        <w:tc>
          <w:tcPr>
            <w:tcW w:w="1253" w:type="dxa"/>
            <w:shd w:val="clear" w:color="auto" w:fill="auto"/>
            <w:noWrap/>
            <w:vAlign w:val="bottom"/>
            <w:hideMark/>
          </w:tcPr>
          <w:p w14:paraId="673712EF" w14:textId="77777777" w:rsidR="00E86406" w:rsidRPr="00591430" w:rsidRDefault="00E86406" w:rsidP="006F2D78">
            <w:pPr>
              <w:spacing w:after="0" w:line="240" w:lineRule="auto"/>
              <w:rPr>
                <w:rFonts w:asciiTheme="majorBidi" w:eastAsia="Times New Roman" w:hAnsiTheme="majorBidi" w:cstheme="majorBidi"/>
                <w:kern w:val="0"/>
                <w14:ligatures w14:val="none"/>
              </w:rPr>
            </w:pPr>
            <w:r w:rsidRPr="00591430">
              <w:rPr>
                <w:rFonts w:asciiTheme="majorBidi" w:eastAsia="Times New Roman" w:hAnsiTheme="majorBidi" w:cstheme="majorBidi"/>
                <w:kern w:val="0"/>
                <w14:ligatures w14:val="none"/>
              </w:rPr>
              <w:t>PB(%)</w:t>
            </w:r>
          </w:p>
        </w:tc>
        <w:tc>
          <w:tcPr>
            <w:tcW w:w="1414" w:type="dxa"/>
            <w:shd w:val="clear" w:color="auto" w:fill="auto"/>
            <w:noWrap/>
            <w:vAlign w:val="bottom"/>
            <w:hideMark/>
          </w:tcPr>
          <w:p w14:paraId="46DE3BDB"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42.320</w:t>
            </w:r>
          </w:p>
        </w:tc>
        <w:tc>
          <w:tcPr>
            <w:tcW w:w="950" w:type="dxa"/>
            <w:shd w:val="clear" w:color="auto" w:fill="auto"/>
            <w:noWrap/>
            <w:vAlign w:val="bottom"/>
            <w:hideMark/>
          </w:tcPr>
          <w:p w14:paraId="56AB2303"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1.918</w:t>
            </w:r>
          </w:p>
        </w:tc>
        <w:tc>
          <w:tcPr>
            <w:tcW w:w="1569" w:type="dxa"/>
            <w:shd w:val="clear" w:color="auto" w:fill="auto"/>
            <w:noWrap/>
            <w:vAlign w:val="bottom"/>
            <w:hideMark/>
          </w:tcPr>
          <w:p w14:paraId="7E6B1DDA"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33.024</w:t>
            </w:r>
          </w:p>
        </w:tc>
        <w:tc>
          <w:tcPr>
            <w:tcW w:w="1011" w:type="dxa"/>
            <w:shd w:val="clear" w:color="auto" w:fill="auto"/>
            <w:noWrap/>
            <w:vAlign w:val="bottom"/>
            <w:hideMark/>
          </w:tcPr>
          <w:p w14:paraId="6E652662"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-14.900</w:t>
            </w:r>
          </w:p>
        </w:tc>
        <w:tc>
          <w:tcPr>
            <w:tcW w:w="1414" w:type="dxa"/>
            <w:shd w:val="clear" w:color="auto" w:fill="auto"/>
            <w:noWrap/>
            <w:vAlign w:val="bottom"/>
            <w:hideMark/>
          </w:tcPr>
          <w:p w14:paraId="397E76E9"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76.963</w:t>
            </w:r>
          </w:p>
        </w:tc>
        <w:tc>
          <w:tcPr>
            <w:tcW w:w="950" w:type="dxa"/>
            <w:shd w:val="clear" w:color="auto" w:fill="auto"/>
            <w:noWrap/>
            <w:vAlign w:val="bottom"/>
            <w:hideMark/>
          </w:tcPr>
          <w:p w14:paraId="43A4A57B"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31.741</w:t>
            </w:r>
          </w:p>
        </w:tc>
        <w:tc>
          <w:tcPr>
            <w:tcW w:w="1414" w:type="dxa"/>
            <w:shd w:val="clear" w:color="auto" w:fill="auto"/>
            <w:noWrap/>
            <w:vAlign w:val="bottom"/>
            <w:hideMark/>
          </w:tcPr>
          <w:p w14:paraId="1E6D3B8C"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34.279</w:t>
            </w:r>
          </w:p>
        </w:tc>
        <w:tc>
          <w:tcPr>
            <w:tcW w:w="950" w:type="dxa"/>
            <w:shd w:val="clear" w:color="auto" w:fill="auto"/>
            <w:noWrap/>
            <w:vAlign w:val="bottom"/>
            <w:hideMark/>
          </w:tcPr>
          <w:p w14:paraId="5F9237DC"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-16.413</w:t>
            </w:r>
          </w:p>
        </w:tc>
      </w:tr>
      <w:tr w:rsidR="00E86406" w:rsidRPr="00591430" w14:paraId="13912846" w14:textId="77777777" w:rsidTr="00534CCE">
        <w:trPr>
          <w:trHeight w:val="288"/>
        </w:trPr>
        <w:tc>
          <w:tcPr>
            <w:tcW w:w="1253" w:type="dxa"/>
            <w:shd w:val="clear" w:color="auto" w:fill="auto"/>
            <w:noWrap/>
            <w:vAlign w:val="bottom"/>
            <w:hideMark/>
          </w:tcPr>
          <w:p w14:paraId="4DBE80B1" w14:textId="77777777" w:rsidR="00E86406" w:rsidRPr="00591430" w:rsidRDefault="00E86406" w:rsidP="006F2D78">
            <w:pPr>
              <w:spacing w:after="0" w:line="240" w:lineRule="auto"/>
              <w:rPr>
                <w:rFonts w:asciiTheme="majorBidi" w:eastAsia="Times New Roman" w:hAnsiTheme="majorBidi" w:cstheme="majorBidi"/>
                <w:kern w:val="0"/>
                <w14:ligatures w14:val="none"/>
              </w:rPr>
            </w:pPr>
            <w:r w:rsidRPr="00591430">
              <w:rPr>
                <w:rFonts w:asciiTheme="majorBidi" w:eastAsia="Times New Roman" w:hAnsiTheme="majorBidi" w:cstheme="majorBidi"/>
                <w:kern w:val="0"/>
                <w14:ligatures w14:val="none"/>
              </w:rPr>
              <w:t>EFF</w:t>
            </w:r>
          </w:p>
        </w:tc>
        <w:tc>
          <w:tcPr>
            <w:tcW w:w="1414" w:type="dxa"/>
            <w:shd w:val="clear" w:color="auto" w:fill="auto"/>
            <w:noWrap/>
            <w:vAlign w:val="bottom"/>
            <w:hideMark/>
          </w:tcPr>
          <w:p w14:paraId="205BE610"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-0.515</w:t>
            </w:r>
          </w:p>
        </w:tc>
        <w:tc>
          <w:tcPr>
            <w:tcW w:w="950" w:type="dxa"/>
            <w:shd w:val="clear" w:color="auto" w:fill="auto"/>
            <w:noWrap/>
            <w:vAlign w:val="bottom"/>
            <w:hideMark/>
          </w:tcPr>
          <w:p w14:paraId="0095AC8A"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0.657</w:t>
            </w:r>
          </w:p>
        </w:tc>
        <w:tc>
          <w:tcPr>
            <w:tcW w:w="1569" w:type="dxa"/>
            <w:shd w:val="clear" w:color="auto" w:fill="auto"/>
            <w:noWrap/>
            <w:vAlign w:val="bottom"/>
            <w:hideMark/>
          </w:tcPr>
          <w:p w14:paraId="0908CA81"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-0.104</w:t>
            </w:r>
          </w:p>
        </w:tc>
        <w:tc>
          <w:tcPr>
            <w:tcW w:w="1011" w:type="dxa"/>
            <w:shd w:val="clear" w:color="auto" w:fill="auto"/>
            <w:noWrap/>
            <w:vAlign w:val="bottom"/>
            <w:hideMark/>
          </w:tcPr>
          <w:p w14:paraId="314D7C53"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0.340</w:t>
            </w:r>
          </w:p>
        </w:tc>
        <w:tc>
          <w:tcPr>
            <w:tcW w:w="1414" w:type="dxa"/>
            <w:shd w:val="clear" w:color="auto" w:fill="auto"/>
            <w:noWrap/>
            <w:vAlign w:val="bottom"/>
            <w:hideMark/>
          </w:tcPr>
          <w:p w14:paraId="04A749BF"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-1.380</w:t>
            </w:r>
          </w:p>
        </w:tc>
        <w:tc>
          <w:tcPr>
            <w:tcW w:w="950" w:type="dxa"/>
            <w:shd w:val="clear" w:color="auto" w:fill="auto"/>
            <w:noWrap/>
            <w:vAlign w:val="bottom"/>
            <w:hideMark/>
          </w:tcPr>
          <w:p w14:paraId="20C4C818"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0.340</w:t>
            </w:r>
          </w:p>
        </w:tc>
        <w:tc>
          <w:tcPr>
            <w:tcW w:w="1414" w:type="dxa"/>
            <w:shd w:val="clear" w:color="auto" w:fill="auto"/>
            <w:noWrap/>
            <w:vAlign w:val="bottom"/>
            <w:hideMark/>
          </w:tcPr>
          <w:p w14:paraId="383CF62E"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0.092</w:t>
            </w:r>
          </w:p>
        </w:tc>
        <w:tc>
          <w:tcPr>
            <w:tcW w:w="950" w:type="dxa"/>
            <w:shd w:val="clear" w:color="auto" w:fill="auto"/>
            <w:noWrap/>
            <w:vAlign w:val="bottom"/>
            <w:hideMark/>
          </w:tcPr>
          <w:p w14:paraId="15BD2069"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0.182</w:t>
            </w:r>
          </w:p>
        </w:tc>
      </w:tr>
      <w:tr w:rsidR="00E86406" w:rsidRPr="00591430" w14:paraId="53A54CD5" w14:textId="77777777" w:rsidTr="00534CCE">
        <w:trPr>
          <w:trHeight w:val="288"/>
        </w:trPr>
        <w:tc>
          <w:tcPr>
            <w:tcW w:w="1253" w:type="dxa"/>
            <w:shd w:val="clear" w:color="auto" w:fill="auto"/>
            <w:noWrap/>
            <w:vAlign w:val="bottom"/>
            <w:hideMark/>
          </w:tcPr>
          <w:p w14:paraId="42C2CDE3" w14:textId="77777777" w:rsidR="00E86406" w:rsidRPr="00591430" w:rsidRDefault="00E86406" w:rsidP="006F2D78">
            <w:pPr>
              <w:spacing w:after="0" w:line="240" w:lineRule="auto"/>
              <w:rPr>
                <w:rFonts w:asciiTheme="majorBidi" w:eastAsia="Times New Roman" w:hAnsiTheme="majorBidi" w:cstheme="majorBidi"/>
                <w:kern w:val="0"/>
                <w14:ligatures w14:val="none"/>
              </w:rPr>
            </w:pPr>
            <w:r w:rsidRPr="00591430">
              <w:rPr>
                <w:rFonts w:asciiTheme="majorBidi" w:eastAsia="Times New Roman" w:hAnsiTheme="majorBidi" w:cstheme="majorBidi"/>
                <w:kern w:val="0"/>
                <w14:ligatures w14:val="none"/>
              </w:rPr>
              <w:t>KGE</w:t>
            </w:r>
          </w:p>
        </w:tc>
        <w:tc>
          <w:tcPr>
            <w:tcW w:w="1414" w:type="dxa"/>
            <w:shd w:val="clear" w:color="auto" w:fill="auto"/>
            <w:noWrap/>
            <w:vAlign w:val="bottom"/>
            <w:hideMark/>
          </w:tcPr>
          <w:p w14:paraId="466149BE"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0.435</w:t>
            </w:r>
          </w:p>
        </w:tc>
        <w:tc>
          <w:tcPr>
            <w:tcW w:w="950" w:type="dxa"/>
            <w:shd w:val="clear" w:color="auto" w:fill="auto"/>
            <w:noWrap/>
            <w:vAlign w:val="bottom"/>
            <w:hideMark/>
          </w:tcPr>
          <w:p w14:paraId="1D56D46B"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0.958</w:t>
            </w:r>
          </w:p>
        </w:tc>
        <w:tc>
          <w:tcPr>
            <w:tcW w:w="1569" w:type="dxa"/>
            <w:shd w:val="clear" w:color="auto" w:fill="auto"/>
            <w:noWrap/>
            <w:vAlign w:val="bottom"/>
            <w:hideMark/>
          </w:tcPr>
          <w:p w14:paraId="271FD0E8"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0.799</w:t>
            </w:r>
          </w:p>
        </w:tc>
        <w:tc>
          <w:tcPr>
            <w:tcW w:w="1011" w:type="dxa"/>
            <w:shd w:val="clear" w:color="auto" w:fill="auto"/>
            <w:noWrap/>
            <w:vAlign w:val="bottom"/>
            <w:hideMark/>
          </w:tcPr>
          <w:p w14:paraId="0A9E2B6D"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0.942</w:t>
            </w:r>
          </w:p>
        </w:tc>
        <w:tc>
          <w:tcPr>
            <w:tcW w:w="1414" w:type="dxa"/>
            <w:shd w:val="clear" w:color="auto" w:fill="auto"/>
            <w:noWrap/>
            <w:vAlign w:val="bottom"/>
            <w:hideMark/>
          </w:tcPr>
          <w:p w14:paraId="70F4B196"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 </w:t>
            </w:r>
          </w:p>
        </w:tc>
        <w:tc>
          <w:tcPr>
            <w:tcW w:w="950" w:type="dxa"/>
            <w:shd w:val="clear" w:color="auto" w:fill="auto"/>
            <w:noWrap/>
            <w:vAlign w:val="bottom"/>
            <w:hideMark/>
          </w:tcPr>
          <w:p w14:paraId="764DC226"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 </w:t>
            </w:r>
          </w:p>
        </w:tc>
        <w:tc>
          <w:tcPr>
            <w:tcW w:w="1414" w:type="dxa"/>
            <w:shd w:val="clear" w:color="auto" w:fill="auto"/>
            <w:noWrap/>
            <w:vAlign w:val="bottom"/>
            <w:hideMark/>
          </w:tcPr>
          <w:p w14:paraId="201E12FC"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 </w:t>
            </w:r>
          </w:p>
        </w:tc>
        <w:tc>
          <w:tcPr>
            <w:tcW w:w="950" w:type="dxa"/>
            <w:shd w:val="clear" w:color="auto" w:fill="auto"/>
            <w:noWrap/>
            <w:vAlign w:val="bottom"/>
            <w:hideMark/>
          </w:tcPr>
          <w:p w14:paraId="3CCB05AB" w14:textId="77777777" w:rsidR="00E86406" w:rsidRPr="00591430" w:rsidRDefault="00E86406" w:rsidP="00E86406">
            <w:pPr>
              <w:spacing w:after="0" w:line="240" w:lineRule="auto"/>
              <w:jc w:val="center"/>
              <w:rPr>
                <w:rFonts w:asciiTheme="majorBidi" w:eastAsia="Times New Roman" w:hAnsiTheme="majorBidi" w:cstheme="majorBidi"/>
                <w:color w:val="000000"/>
                <w:kern w:val="0"/>
                <w14:ligatures w14:val="none"/>
              </w:rPr>
            </w:pPr>
            <w:r w:rsidRPr="00591430">
              <w:rPr>
                <w:rFonts w:asciiTheme="majorBidi" w:eastAsia="Times New Roman" w:hAnsiTheme="majorBidi" w:cstheme="majorBidi"/>
                <w:color w:val="000000"/>
                <w:kern w:val="0"/>
                <w14:ligatures w14:val="none"/>
              </w:rPr>
              <w:t>0.930</w:t>
            </w:r>
          </w:p>
        </w:tc>
      </w:tr>
    </w:tbl>
    <w:p w14:paraId="3D9747B4" w14:textId="77777777" w:rsidR="006F2D78" w:rsidRPr="00591430" w:rsidRDefault="006F2D78" w:rsidP="00591430">
      <w:pPr>
        <w:jc w:val="both"/>
        <w:rPr>
          <w:rFonts w:ascii="Cambria" w:eastAsia="Times New Roman" w:hAnsi="Cambria" w:cs="Arial"/>
          <w:kern w:val="32"/>
          <w:sz w:val="24"/>
          <w:szCs w:val="24"/>
          <w:lang w:val="en-GB" w:eastAsia="en-GB"/>
          <w14:ligatures w14:val="none"/>
        </w:rPr>
      </w:pPr>
    </w:p>
    <w:p w14:paraId="2BF2665B" w14:textId="346263B1" w:rsidR="00DC4A75" w:rsidRPr="00591430" w:rsidRDefault="00DC4A75" w:rsidP="00591430">
      <w:pPr>
        <w:pStyle w:val="ListParagraph"/>
        <w:numPr>
          <w:ilvl w:val="0"/>
          <w:numId w:val="6"/>
        </w:numPr>
        <w:jc w:val="both"/>
        <w:rPr>
          <w:rFonts w:ascii="Cambria" w:eastAsia="Times New Roman" w:hAnsi="Cambria" w:cs="Arial"/>
          <w:kern w:val="32"/>
          <w:sz w:val="24"/>
          <w:szCs w:val="24"/>
          <w:lang w:val="en-GB" w:eastAsia="en-GB"/>
          <w14:ligatures w14:val="none"/>
        </w:rPr>
      </w:pPr>
      <w:r w:rsidRPr="00591430">
        <w:rPr>
          <w:rFonts w:ascii="Cambria" w:eastAsia="Times New Roman" w:hAnsi="Cambria" w:cs="Arial"/>
          <w:kern w:val="32"/>
          <w:sz w:val="24"/>
          <w:szCs w:val="24"/>
          <w:lang w:val="en-GB" w:eastAsia="en-GB"/>
          <w14:ligatures w14:val="none"/>
        </w:rPr>
        <w:t>R² (Coefficient of Determination)</w:t>
      </w:r>
    </w:p>
    <w:p w14:paraId="0D4D6CC8" w14:textId="4942C840" w:rsidR="00DC4A75" w:rsidRPr="00591430" w:rsidRDefault="00DC4A75" w:rsidP="00591430">
      <w:pPr>
        <w:ind w:left="360"/>
        <w:jc w:val="both"/>
      </w:pPr>
      <w:r w:rsidRPr="00591430">
        <w:t xml:space="preserve">Winter 2019/2020 - Wheat: </w:t>
      </w:r>
      <w:proofErr w:type="spellStart"/>
      <w:r w:rsidRPr="00591430">
        <w:t>WaPOR</w:t>
      </w:r>
      <w:proofErr w:type="spellEnd"/>
      <w:r w:rsidRPr="00591430">
        <w:t xml:space="preserve"> performs better</w:t>
      </w:r>
      <w:r w:rsidRPr="00591430">
        <w:rPr>
          <w:rFonts w:ascii="Cambria" w:eastAsia="Times New Roman" w:hAnsi="Cambria" w:cs="Arial"/>
          <w:kern w:val="32"/>
          <w:sz w:val="24"/>
          <w:szCs w:val="24"/>
          <w:lang w:val="en-GB" w:eastAsia="en-GB"/>
          <w14:ligatures w14:val="none"/>
        </w:rPr>
        <w:t xml:space="preserve"> </w:t>
      </w:r>
      <w:r w:rsidRPr="00591430">
        <w:t>Coefficient of Determination (R</w:t>
      </w:r>
      <w:r w:rsidRPr="00591430">
        <w:rPr>
          <w:vertAlign w:val="superscript"/>
        </w:rPr>
        <w:t>2</w:t>
      </w:r>
      <w:r w:rsidRPr="00591430">
        <w:t>=0.865, 0.865, and 0.865) compared to MODIS16A2 (R</w:t>
      </w:r>
      <w:r w:rsidRPr="00591430">
        <w:rPr>
          <w:vertAlign w:val="superscript"/>
        </w:rPr>
        <w:t>2</w:t>
      </w:r>
      <w:r w:rsidRPr="00591430">
        <w:t xml:space="preserve">=0.761, 0.761, and 0.761), which indicate that </w:t>
      </w:r>
      <w:proofErr w:type="spellStart"/>
      <w:r w:rsidRPr="00591430">
        <w:t>WaPOR</w:t>
      </w:r>
      <w:proofErr w:type="spellEnd"/>
      <w:r w:rsidRPr="00591430">
        <w:t xml:space="preserve"> has a better descriptive for ET variations.</w:t>
      </w:r>
    </w:p>
    <w:p w14:paraId="6E52DF37" w14:textId="7A701F10" w:rsidR="00DC4A75" w:rsidRPr="00591430" w:rsidRDefault="00DC4A75" w:rsidP="00591430">
      <w:pPr>
        <w:ind w:left="360"/>
        <w:jc w:val="both"/>
      </w:pPr>
      <w:r w:rsidRPr="00591430">
        <w:lastRenderedPageBreak/>
        <w:t xml:space="preserve">Winter 2020/2021 - Wheat: </w:t>
      </w:r>
      <w:proofErr w:type="spellStart"/>
      <w:r w:rsidRPr="00591430">
        <w:t>WaPOR</w:t>
      </w:r>
      <w:proofErr w:type="spellEnd"/>
      <w:r w:rsidRPr="00591430">
        <w:t xml:space="preserve"> (R</w:t>
      </w:r>
      <w:r w:rsidR="004420F3" w:rsidRPr="00591430">
        <w:rPr>
          <w:vertAlign w:val="superscript"/>
        </w:rPr>
        <w:t>2</w:t>
      </w:r>
      <w:r w:rsidRPr="00591430">
        <w:t>=0.731</w:t>
      </w:r>
      <w:r w:rsidR="004420F3" w:rsidRPr="00591430">
        <w:t xml:space="preserve">, </w:t>
      </w:r>
      <w:r w:rsidRPr="00591430">
        <w:t>0.731</w:t>
      </w:r>
      <w:r w:rsidR="004420F3" w:rsidRPr="00591430">
        <w:t xml:space="preserve">, and </w:t>
      </w:r>
      <w:r w:rsidRPr="00591430">
        <w:t>0.731) again outperforms MODIS16A2 (R</w:t>
      </w:r>
      <w:r w:rsidR="004420F3" w:rsidRPr="00591430">
        <w:rPr>
          <w:vertAlign w:val="superscript"/>
        </w:rPr>
        <w:t>2</w:t>
      </w:r>
      <w:r w:rsidRPr="00591430">
        <w:t>=0.590</w:t>
      </w:r>
      <w:r w:rsidR="004420F3" w:rsidRPr="00591430">
        <w:t xml:space="preserve">, </w:t>
      </w:r>
      <w:r w:rsidRPr="00591430">
        <w:t>0.590</w:t>
      </w:r>
      <w:r w:rsidR="004420F3" w:rsidRPr="00591430">
        <w:t xml:space="preserve">, and </w:t>
      </w:r>
      <w:r w:rsidRPr="00591430">
        <w:t>0.590).</w:t>
      </w:r>
    </w:p>
    <w:p w14:paraId="7C4A2169" w14:textId="17934358" w:rsidR="00DC4A75" w:rsidRPr="00591430" w:rsidRDefault="004420F3" w:rsidP="00591430">
      <w:pPr>
        <w:ind w:left="360"/>
        <w:jc w:val="both"/>
      </w:pPr>
      <w:r w:rsidRPr="00591430">
        <w:t>Summer 2020</w:t>
      </w:r>
      <w:r w:rsidR="00DC4A75" w:rsidRPr="00591430">
        <w:t xml:space="preserve"> - Rice: Both products have low R</w:t>
      </w:r>
      <w:r w:rsidR="00DC4A75" w:rsidRPr="00591430">
        <w:rPr>
          <w:vertAlign w:val="superscript"/>
        </w:rPr>
        <w:t>2</w:t>
      </w:r>
      <w:r w:rsidRPr="00591430">
        <w:t xml:space="preserve"> </w:t>
      </w:r>
      <w:r w:rsidR="00DC4A75" w:rsidRPr="00591430">
        <w:t xml:space="preserve">values, with </w:t>
      </w:r>
      <w:proofErr w:type="spellStart"/>
      <w:r w:rsidR="00DC4A75" w:rsidRPr="00591430">
        <w:t>WaPOR</w:t>
      </w:r>
      <w:proofErr w:type="spellEnd"/>
      <w:r w:rsidR="00DC4A75" w:rsidRPr="00591430">
        <w:t xml:space="preserve"> almost negligible at 0.009, suggesting a poor fit, especially for </w:t>
      </w:r>
      <w:proofErr w:type="spellStart"/>
      <w:r w:rsidR="00DC4A75" w:rsidRPr="00591430">
        <w:t>WaPOR</w:t>
      </w:r>
      <w:proofErr w:type="spellEnd"/>
      <w:r w:rsidR="00DC4A75" w:rsidRPr="00591430">
        <w:t>.</w:t>
      </w:r>
    </w:p>
    <w:p w14:paraId="42F0B0A8" w14:textId="0DEA32E8" w:rsidR="00DC4A75" w:rsidRPr="00591430" w:rsidRDefault="004420F3" w:rsidP="00591430">
      <w:pPr>
        <w:ind w:left="360"/>
        <w:jc w:val="both"/>
      </w:pPr>
      <w:r w:rsidRPr="00591430">
        <w:t>Winter 2021/2022</w:t>
      </w:r>
      <w:r w:rsidR="00DC4A75" w:rsidRPr="00591430">
        <w:t xml:space="preserve"> - Wheat: </w:t>
      </w:r>
      <w:proofErr w:type="spellStart"/>
      <w:r w:rsidR="00DC4A75" w:rsidRPr="00591430">
        <w:t>WaPOR</w:t>
      </w:r>
      <w:proofErr w:type="spellEnd"/>
      <w:r w:rsidR="00DC4A75" w:rsidRPr="00591430">
        <w:t xml:space="preserve"> (R</w:t>
      </w:r>
      <w:r w:rsidR="00DC4A75" w:rsidRPr="00591430">
        <w:rPr>
          <w:vertAlign w:val="superscript"/>
        </w:rPr>
        <w:t>2</w:t>
      </w:r>
      <w:r w:rsidR="00DC4A75" w:rsidRPr="00591430">
        <w:t>=0.647</w:t>
      </w:r>
      <w:r w:rsidRPr="00591430">
        <w:t xml:space="preserve">, </w:t>
      </w:r>
      <w:r w:rsidR="00DC4A75" w:rsidRPr="00591430">
        <w:t>0.647</w:t>
      </w:r>
      <w:r w:rsidRPr="00591430">
        <w:t xml:space="preserve">, and </w:t>
      </w:r>
      <w:r w:rsidR="00DC4A75" w:rsidRPr="00591430">
        <w:t>0.647) is slightly better than MODIS16A2 (R</w:t>
      </w:r>
      <w:r w:rsidR="00DC4A75" w:rsidRPr="00591430">
        <w:rPr>
          <w:vertAlign w:val="superscript"/>
        </w:rPr>
        <w:t>2</w:t>
      </w:r>
      <w:r w:rsidR="00DC4A75" w:rsidRPr="00591430">
        <w:t>=0.540</w:t>
      </w:r>
      <w:r w:rsidRPr="00591430">
        <w:t xml:space="preserve">, </w:t>
      </w:r>
      <w:r w:rsidR="00DC4A75" w:rsidRPr="00591430">
        <w:t>0.540</w:t>
      </w:r>
      <w:r w:rsidRPr="00591430">
        <w:t xml:space="preserve">, and </w:t>
      </w:r>
      <w:r w:rsidR="00DC4A75" w:rsidRPr="00591430">
        <w:t>0.540).</w:t>
      </w:r>
    </w:p>
    <w:p w14:paraId="60EC47E1" w14:textId="6186C081" w:rsidR="004420F3" w:rsidRPr="00591430" w:rsidRDefault="004420F3" w:rsidP="00591430">
      <w:pPr>
        <w:pStyle w:val="ListParagraph"/>
        <w:numPr>
          <w:ilvl w:val="0"/>
          <w:numId w:val="6"/>
        </w:numPr>
        <w:jc w:val="both"/>
        <w:rPr>
          <w:rFonts w:ascii="Cambria" w:eastAsia="Times New Roman" w:hAnsi="Cambria" w:cs="Arial"/>
          <w:kern w:val="32"/>
          <w:sz w:val="24"/>
          <w:szCs w:val="24"/>
          <w:lang w:val="en-GB" w:eastAsia="en-GB"/>
          <w14:ligatures w14:val="none"/>
        </w:rPr>
      </w:pPr>
      <w:r w:rsidRPr="00591430">
        <w:rPr>
          <w:rFonts w:ascii="Cambria" w:eastAsia="Times New Roman" w:hAnsi="Cambria" w:cs="Arial"/>
          <w:kern w:val="32"/>
          <w:sz w:val="24"/>
          <w:szCs w:val="24"/>
          <w:lang w:val="en-GB" w:eastAsia="en-GB"/>
          <w14:ligatures w14:val="none"/>
        </w:rPr>
        <w:t>Correlation</w:t>
      </w:r>
    </w:p>
    <w:p w14:paraId="66AEABF5" w14:textId="5CBBE495" w:rsidR="004420F3" w:rsidRPr="00591430" w:rsidRDefault="004420F3" w:rsidP="00591430">
      <w:pPr>
        <w:ind w:left="360"/>
        <w:jc w:val="both"/>
      </w:pPr>
      <w:r w:rsidRPr="00591430">
        <w:t xml:space="preserve">All seasons of the study indicate that </w:t>
      </w:r>
      <w:proofErr w:type="spellStart"/>
      <w:r w:rsidRPr="00591430">
        <w:t>WaPOR</w:t>
      </w:r>
      <w:proofErr w:type="spellEnd"/>
      <w:r w:rsidRPr="00591430">
        <w:t xml:space="preserve"> has better correlation values than MODIS16A2, with the exception of Season 4 (Rice) that has a negative correlation estimate of -0.0954., </w:t>
      </w:r>
    </w:p>
    <w:p w14:paraId="6A344C66" w14:textId="37D1EB96" w:rsidR="004420F3" w:rsidRPr="00591430" w:rsidRDefault="004420F3" w:rsidP="00591430">
      <w:pPr>
        <w:pStyle w:val="ListParagraph"/>
        <w:numPr>
          <w:ilvl w:val="0"/>
          <w:numId w:val="6"/>
        </w:numPr>
        <w:jc w:val="both"/>
        <w:rPr>
          <w:rFonts w:ascii="Cambria" w:eastAsia="Times New Roman" w:hAnsi="Cambria" w:cs="Arial"/>
          <w:kern w:val="32"/>
          <w:sz w:val="24"/>
          <w:szCs w:val="24"/>
          <w:lang w:val="en-GB" w:eastAsia="en-GB"/>
          <w14:ligatures w14:val="none"/>
        </w:rPr>
      </w:pPr>
      <w:r w:rsidRPr="00591430">
        <w:rPr>
          <w:rFonts w:ascii="Cambria" w:eastAsia="Times New Roman" w:hAnsi="Cambria" w:cs="Arial"/>
          <w:kern w:val="32"/>
          <w:sz w:val="24"/>
          <w:szCs w:val="24"/>
          <w:lang w:val="en-GB" w:eastAsia="en-GB"/>
          <w14:ligatures w14:val="none"/>
        </w:rPr>
        <w:t>RMSE (Root Mean Square Error)</w:t>
      </w:r>
    </w:p>
    <w:p w14:paraId="4699A73E" w14:textId="0DEA7469" w:rsidR="004420F3" w:rsidRPr="00591430" w:rsidRDefault="004420F3" w:rsidP="00591430">
      <w:pPr>
        <w:tabs>
          <w:tab w:val="num" w:pos="720"/>
        </w:tabs>
        <w:ind w:left="360"/>
        <w:jc w:val="both"/>
      </w:pPr>
      <w:r w:rsidRPr="00591430">
        <w:t xml:space="preserve">The evaluations show that, in terms of accuracy, RMSE for the </w:t>
      </w:r>
      <w:proofErr w:type="spellStart"/>
      <w:r w:rsidRPr="00591430">
        <w:t>WaPOR</w:t>
      </w:r>
      <w:proofErr w:type="spellEnd"/>
      <w:r w:rsidRPr="00591430">
        <w:t xml:space="preserve"> dataset is substantially lower than for MODIS16A2 in all the considered seasons. For instance, in the Wheat Season MODIS16A2 has an RMSE of 1.9642mm compared to RMSE of only 0.1247mm for the case of </w:t>
      </w:r>
      <w:proofErr w:type="spellStart"/>
      <w:r w:rsidRPr="00591430">
        <w:t>WaPOR</w:t>
      </w:r>
      <w:proofErr w:type="spellEnd"/>
      <w:r w:rsidRPr="00591430">
        <w:t>.</w:t>
      </w:r>
    </w:p>
    <w:p w14:paraId="55CFDB27" w14:textId="2451CCBC" w:rsidR="004420F3" w:rsidRPr="00591430" w:rsidRDefault="004420F3" w:rsidP="00591430">
      <w:pPr>
        <w:pStyle w:val="ListParagraph"/>
        <w:numPr>
          <w:ilvl w:val="0"/>
          <w:numId w:val="6"/>
        </w:numPr>
        <w:jc w:val="both"/>
        <w:rPr>
          <w:rFonts w:ascii="Cambria" w:eastAsia="Times New Roman" w:hAnsi="Cambria" w:cs="Arial"/>
          <w:kern w:val="32"/>
          <w:sz w:val="24"/>
          <w:szCs w:val="24"/>
          <w:lang w:val="en-GB" w:eastAsia="en-GB"/>
          <w14:ligatures w14:val="none"/>
        </w:rPr>
      </w:pPr>
      <w:r w:rsidRPr="00591430">
        <w:rPr>
          <w:rFonts w:ascii="Cambria" w:eastAsia="Times New Roman" w:hAnsi="Cambria" w:cs="Arial"/>
          <w:kern w:val="32"/>
          <w:sz w:val="24"/>
          <w:szCs w:val="24"/>
          <w:lang w:val="en-GB" w:eastAsia="en-GB"/>
          <w14:ligatures w14:val="none"/>
        </w:rPr>
        <w:t>Relative RMSE (</w:t>
      </w:r>
      <w:proofErr w:type="spellStart"/>
      <w:r w:rsidRPr="00591430">
        <w:rPr>
          <w:rFonts w:ascii="Cambria" w:eastAsia="Times New Roman" w:hAnsi="Cambria" w:cs="Arial"/>
          <w:kern w:val="32"/>
          <w:sz w:val="24"/>
          <w:szCs w:val="24"/>
          <w:lang w:val="en-GB" w:eastAsia="en-GB"/>
          <w14:ligatures w14:val="none"/>
        </w:rPr>
        <w:t>rRMSE</w:t>
      </w:r>
      <w:proofErr w:type="spellEnd"/>
      <w:r w:rsidRPr="00591430">
        <w:rPr>
          <w:rFonts w:ascii="Cambria" w:eastAsia="Times New Roman" w:hAnsi="Cambria" w:cs="Arial"/>
          <w:kern w:val="32"/>
          <w:sz w:val="24"/>
          <w:szCs w:val="24"/>
          <w:lang w:val="en-GB" w:eastAsia="en-GB"/>
          <w14:ligatures w14:val="none"/>
        </w:rPr>
        <w:t>, %)</w:t>
      </w:r>
    </w:p>
    <w:p w14:paraId="530F8EA0" w14:textId="75D772B4" w:rsidR="00CB7C64" w:rsidRPr="00591430" w:rsidRDefault="004420F3" w:rsidP="00591430">
      <w:pPr>
        <w:ind w:left="360"/>
        <w:jc w:val="both"/>
      </w:pPr>
      <w:r w:rsidRPr="00591430">
        <w:t xml:space="preserve">Another proof is that compared to the parameters of other models, the relative RMSE of </w:t>
      </w:r>
      <w:proofErr w:type="spellStart"/>
      <w:r w:rsidRPr="00591430">
        <w:t>WaPOR</w:t>
      </w:r>
      <w:proofErr w:type="spellEnd"/>
      <w:r w:rsidRPr="00591430">
        <w:t xml:space="preserve"> is significantly lower and establish more reliable performance.</w:t>
      </w:r>
      <w:r w:rsidR="00CB7C64" w:rsidRPr="00591430">
        <w:t xml:space="preserve"> </w:t>
      </w:r>
      <w:r w:rsidRPr="00591430">
        <w:t xml:space="preserve">For instance, the MODIS16A2 is 9.02% in Season 3 of </w:t>
      </w:r>
      <w:proofErr w:type="spellStart"/>
      <w:r w:rsidRPr="00591430">
        <w:t>rRMSE</w:t>
      </w:r>
      <w:proofErr w:type="spellEnd"/>
      <w:r w:rsidRPr="00591430">
        <w:t xml:space="preserve">, whereas, the </w:t>
      </w:r>
      <w:proofErr w:type="spellStart"/>
      <w:r w:rsidRPr="00591430">
        <w:t>WaPOR</w:t>
      </w:r>
      <w:proofErr w:type="spellEnd"/>
      <w:r w:rsidRPr="00591430">
        <w:t xml:space="preserve"> was state 7.67%.</w:t>
      </w:r>
    </w:p>
    <w:p w14:paraId="749B1390" w14:textId="1121A6FA" w:rsidR="004420F3" w:rsidRPr="00591430" w:rsidRDefault="004420F3" w:rsidP="00591430">
      <w:pPr>
        <w:pStyle w:val="ListParagraph"/>
        <w:numPr>
          <w:ilvl w:val="0"/>
          <w:numId w:val="6"/>
        </w:numPr>
        <w:jc w:val="both"/>
        <w:rPr>
          <w:rFonts w:ascii="Cambria" w:eastAsia="Times New Roman" w:hAnsi="Cambria" w:cs="Arial"/>
          <w:kern w:val="32"/>
          <w:sz w:val="24"/>
          <w:szCs w:val="24"/>
          <w:lang w:val="en-GB" w:eastAsia="en-GB"/>
          <w14:ligatures w14:val="none"/>
        </w:rPr>
      </w:pPr>
      <w:r w:rsidRPr="00591430">
        <w:rPr>
          <w:rFonts w:ascii="Cambria" w:eastAsia="Times New Roman" w:hAnsi="Cambria" w:cs="Arial"/>
          <w:kern w:val="32"/>
          <w:sz w:val="24"/>
          <w:szCs w:val="24"/>
          <w:lang w:val="en-GB" w:eastAsia="en-GB"/>
          <w14:ligatures w14:val="none"/>
        </w:rPr>
        <w:t>MBE (Mean Bias Error, mm)</w:t>
      </w:r>
    </w:p>
    <w:p w14:paraId="11859B28" w14:textId="77777777" w:rsidR="00CB7C64" w:rsidRPr="00591430" w:rsidRDefault="00CB7C64" w:rsidP="00591430">
      <w:pPr>
        <w:tabs>
          <w:tab w:val="num" w:pos="720"/>
        </w:tabs>
        <w:ind w:left="360"/>
        <w:jc w:val="both"/>
      </w:pPr>
      <w:r w:rsidRPr="00591430">
        <w:t xml:space="preserve">As evident from the above results, there is reduced MBE observed </w:t>
      </w:r>
      <w:proofErr w:type="spellStart"/>
      <w:r w:rsidRPr="00591430">
        <w:t>through out</w:t>
      </w:r>
      <w:proofErr w:type="spellEnd"/>
      <w:r w:rsidRPr="00591430">
        <w:t xml:space="preserve"> majority of the seasons with some of them close to zero implying very low bias. MODIS16A2 is again higher in biases especially for the first and fourth seasons.</w:t>
      </w:r>
    </w:p>
    <w:p w14:paraId="4FE18F2A" w14:textId="4ECFB5FD" w:rsidR="004420F3" w:rsidRPr="00591430" w:rsidRDefault="004420F3" w:rsidP="00591430">
      <w:pPr>
        <w:pStyle w:val="ListParagraph"/>
        <w:numPr>
          <w:ilvl w:val="0"/>
          <w:numId w:val="6"/>
        </w:numPr>
        <w:jc w:val="both"/>
        <w:rPr>
          <w:rFonts w:ascii="Cambria" w:eastAsia="Times New Roman" w:hAnsi="Cambria" w:cs="Arial"/>
          <w:kern w:val="32"/>
          <w:sz w:val="24"/>
          <w:szCs w:val="24"/>
          <w:lang w:val="en-GB" w:eastAsia="en-GB"/>
          <w14:ligatures w14:val="none"/>
        </w:rPr>
      </w:pPr>
      <w:r w:rsidRPr="00591430">
        <w:rPr>
          <w:rFonts w:ascii="Cambria" w:eastAsia="Times New Roman" w:hAnsi="Cambria" w:cs="Arial"/>
          <w:kern w:val="32"/>
          <w:sz w:val="24"/>
          <w:szCs w:val="24"/>
          <w:lang w:val="en-GB" w:eastAsia="en-GB"/>
          <w14:ligatures w14:val="none"/>
        </w:rPr>
        <w:t>PB (%)</w:t>
      </w:r>
    </w:p>
    <w:p w14:paraId="280BC9DB" w14:textId="674BA54E" w:rsidR="00CB7C64" w:rsidRPr="00591430" w:rsidRDefault="00CB7C64" w:rsidP="00591430">
      <w:pPr>
        <w:ind w:left="360"/>
        <w:jc w:val="both"/>
      </w:pPr>
      <w:r w:rsidRPr="00591430">
        <w:t xml:space="preserve">Smaller PB are noted on </w:t>
      </w:r>
      <w:proofErr w:type="spellStart"/>
      <w:r w:rsidRPr="00591430">
        <w:t>WaPOR</w:t>
      </w:r>
      <w:proofErr w:type="spellEnd"/>
      <w:r w:rsidRPr="00591430">
        <w:t xml:space="preserve"> which indicate that it captures seasonal pattern of evapotranspiration better. For example, in Season 1, MODIS16A2 has high PB of 42.32percent and low PB of </w:t>
      </w:r>
      <w:proofErr w:type="spellStart"/>
      <w:r w:rsidRPr="00591430">
        <w:t>WaPOR</w:t>
      </w:r>
      <w:proofErr w:type="spellEnd"/>
      <w:r w:rsidRPr="00591430">
        <w:t xml:space="preserve"> at 1.92percent.</w:t>
      </w:r>
    </w:p>
    <w:p w14:paraId="3B4E64CD" w14:textId="3E0384D6" w:rsidR="004420F3" w:rsidRPr="00591430" w:rsidRDefault="004420F3" w:rsidP="00591430">
      <w:pPr>
        <w:pStyle w:val="ListParagraph"/>
        <w:numPr>
          <w:ilvl w:val="0"/>
          <w:numId w:val="6"/>
        </w:numPr>
        <w:jc w:val="both"/>
        <w:rPr>
          <w:rFonts w:ascii="Cambria" w:eastAsia="Times New Roman" w:hAnsi="Cambria" w:cs="Arial"/>
          <w:kern w:val="32"/>
          <w:sz w:val="24"/>
          <w:szCs w:val="24"/>
          <w:lang w:val="en-GB" w:eastAsia="en-GB"/>
          <w14:ligatures w14:val="none"/>
        </w:rPr>
      </w:pPr>
      <w:r w:rsidRPr="00591430">
        <w:rPr>
          <w:rFonts w:ascii="Cambria" w:eastAsia="Times New Roman" w:hAnsi="Cambria" w:cs="Arial"/>
          <w:kern w:val="32"/>
          <w:sz w:val="24"/>
          <w:szCs w:val="24"/>
          <w:lang w:val="en-GB" w:eastAsia="en-GB"/>
          <w14:ligatures w14:val="none"/>
        </w:rPr>
        <w:t>Efficiency (EFF)</w:t>
      </w:r>
    </w:p>
    <w:p w14:paraId="17A40176" w14:textId="365FCA44" w:rsidR="00CB7C64" w:rsidRPr="00591430" w:rsidRDefault="00CB7C64" w:rsidP="00591430">
      <w:pPr>
        <w:jc w:val="both"/>
      </w:pPr>
      <w:r w:rsidRPr="00591430">
        <w:t xml:space="preserve">In general, brought out that EFF values of </w:t>
      </w:r>
      <w:proofErr w:type="spellStart"/>
      <w:r w:rsidRPr="00591430">
        <w:t>WaPOR</w:t>
      </w:r>
      <w:proofErr w:type="spellEnd"/>
      <w:r w:rsidRPr="00591430">
        <w:t xml:space="preserve"> are higher than MODIS16A2 indicating better performance during all the seasons. Although MODIS16A2 has favorable ODR and RSRE values, there are negative EFF values of the models for Season 1, 3, and 4.</w:t>
      </w:r>
    </w:p>
    <w:p w14:paraId="7EB15474" w14:textId="6D0C9B05" w:rsidR="004420F3" w:rsidRPr="00591430" w:rsidRDefault="004420F3" w:rsidP="00591430">
      <w:pPr>
        <w:pStyle w:val="ListParagraph"/>
        <w:numPr>
          <w:ilvl w:val="0"/>
          <w:numId w:val="6"/>
        </w:numPr>
        <w:jc w:val="both"/>
        <w:rPr>
          <w:rFonts w:ascii="Cambria" w:eastAsia="Times New Roman" w:hAnsi="Cambria" w:cs="Arial"/>
          <w:kern w:val="32"/>
          <w:sz w:val="24"/>
          <w:szCs w:val="24"/>
          <w:lang w:val="en-GB" w:eastAsia="en-GB"/>
          <w14:ligatures w14:val="none"/>
        </w:rPr>
      </w:pPr>
      <w:r w:rsidRPr="00591430">
        <w:rPr>
          <w:rFonts w:ascii="Cambria" w:eastAsia="Times New Roman" w:hAnsi="Cambria" w:cs="Arial"/>
          <w:kern w:val="32"/>
          <w:sz w:val="24"/>
          <w:szCs w:val="24"/>
          <w:lang w:val="en-GB" w:eastAsia="en-GB"/>
          <w14:ligatures w14:val="none"/>
        </w:rPr>
        <w:t>Kling-Gupta Efficiency (KGE)</w:t>
      </w:r>
    </w:p>
    <w:p w14:paraId="25CA675E" w14:textId="2D58EC9F" w:rsidR="004420F3" w:rsidRPr="00591430" w:rsidRDefault="00CB7C64" w:rsidP="00591430">
      <w:pPr>
        <w:jc w:val="both"/>
      </w:pPr>
      <w:r w:rsidRPr="00591430">
        <w:t xml:space="preserve">KGE scores demonstrate that </w:t>
      </w:r>
      <w:proofErr w:type="spellStart"/>
      <w:r w:rsidRPr="00591430">
        <w:t>WaPOR</w:t>
      </w:r>
      <w:proofErr w:type="spellEnd"/>
      <w:r w:rsidRPr="00591430">
        <w:t xml:space="preserve"> generates comparatively higher values for all seasons, possibly the highest in Season 1 at 0.9581 against MODIS16A2 at 0.4351. High KGE values can be considered indicating better correspondence in terms of correlation and at the same time, low variability and preliminary bias.</w:t>
      </w:r>
    </w:p>
    <w:p w14:paraId="7297F384" w14:textId="6AD0CD10" w:rsidR="00264D41" w:rsidRDefault="00534CCE" w:rsidP="00B43FE7">
      <w:r>
        <w:rPr>
          <w:noProof/>
        </w:rPr>
        <w:lastRenderedPageBreak/>
        <w:drawing>
          <wp:inline distT="0" distB="0" distL="0" distR="0" wp14:anchorId="748247F2" wp14:editId="537B4FCC">
            <wp:extent cx="6229350" cy="2813538"/>
            <wp:effectExtent l="0" t="0" r="0" b="6350"/>
            <wp:docPr id="263340881" name="Chart 1">
              <a:extLst xmlns:a="http://schemas.openxmlformats.org/drawingml/2006/main">
                <a:ext uri="{FF2B5EF4-FFF2-40B4-BE49-F238E27FC236}">
                  <a16:creationId xmlns:a16="http://schemas.microsoft.com/office/drawing/2014/main" id="{F66C3A84-BC40-C4F2-B24B-488AA2E89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E7707B9" w14:textId="2EB2099E" w:rsidR="00B43FE7" w:rsidRPr="00DC4A75" w:rsidRDefault="00534CCE" w:rsidP="00B43FE7">
      <w:r>
        <w:rPr>
          <w:noProof/>
        </w:rPr>
        <w:drawing>
          <wp:inline distT="0" distB="0" distL="0" distR="0" wp14:anchorId="03DB6AC7" wp14:editId="4D9F4216">
            <wp:extent cx="6229350" cy="2583180"/>
            <wp:effectExtent l="0" t="0" r="0" b="7620"/>
            <wp:docPr id="691696758" name="Chart 1">
              <a:extLst xmlns:a="http://schemas.openxmlformats.org/drawingml/2006/main">
                <a:ext uri="{FF2B5EF4-FFF2-40B4-BE49-F238E27FC236}">
                  <a16:creationId xmlns:a16="http://schemas.microsoft.com/office/drawing/2014/main" id="{2382190F-B67E-4F6F-A226-9C164393C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984673D" w14:textId="7103E29C" w:rsidR="00DC4A75" w:rsidRDefault="00534CCE" w:rsidP="00616082">
      <w:pPr>
        <w:jc w:val="center"/>
      </w:pPr>
      <w:r>
        <w:rPr>
          <w:noProof/>
        </w:rPr>
        <w:drawing>
          <wp:inline distT="0" distB="0" distL="0" distR="0" wp14:anchorId="3D19649F" wp14:editId="029C25EE">
            <wp:extent cx="6229350" cy="2377440"/>
            <wp:effectExtent l="0" t="0" r="0" b="3810"/>
            <wp:docPr id="11950784" name="Chart 1">
              <a:extLst xmlns:a="http://schemas.openxmlformats.org/drawingml/2006/main">
                <a:ext uri="{FF2B5EF4-FFF2-40B4-BE49-F238E27FC236}">
                  <a16:creationId xmlns:a16="http://schemas.microsoft.com/office/drawing/2014/main" id="{153715F3-EE40-4C56-87DC-DFA8D6734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E11ED6" w14:textId="4580410F" w:rsidR="00E37F3D" w:rsidRPr="00E37F3D" w:rsidRDefault="00E37F3D" w:rsidP="00E37F3D">
      <w:pPr>
        <w:pStyle w:val="Caption"/>
      </w:pPr>
      <w:bookmarkStart w:id="58" w:name="_Ref182606666"/>
      <w:r>
        <w:t xml:space="preserve">Figure </w:t>
      </w:r>
      <w:fldSimple w:instr=" SEQ Figure \* ARABIC ">
        <w:r w:rsidR="00E02F7A">
          <w:rPr>
            <w:noProof/>
          </w:rPr>
          <w:t>25</w:t>
        </w:r>
      </w:fldSimple>
      <w:bookmarkEnd w:id="58"/>
      <w:r>
        <w:t xml:space="preserve"> </w:t>
      </w:r>
      <w:r w:rsidRPr="00E37F3D">
        <w:rPr>
          <w:noProof/>
        </w:rPr>
        <w:t>Comparative analysis of MODIS16A2 vs WaPOR data</w:t>
      </w:r>
    </w:p>
    <w:p w14:paraId="470B69A8" w14:textId="77777777" w:rsidR="00E37F3D" w:rsidRPr="00E37F3D" w:rsidRDefault="00E37F3D" w:rsidP="00E37F3D">
      <w:pPr>
        <w:rPr>
          <w:lang w:val="en-GB"/>
        </w:rPr>
      </w:pPr>
    </w:p>
    <w:p w14:paraId="7DD3E708" w14:textId="78BDBDD2" w:rsidR="00284EFB" w:rsidRPr="00596DAC" w:rsidRDefault="00637C88" w:rsidP="00C76AF6">
      <w:pPr>
        <w:pStyle w:val="Heading1"/>
        <w:keepLines w:val="0"/>
        <w:numPr>
          <w:ilvl w:val="0"/>
          <w:numId w:val="2"/>
        </w:numPr>
        <w:spacing w:before="0" w:after="0" w:line="240" w:lineRule="auto"/>
        <w:ind w:left="0" w:right="567" w:firstLine="0"/>
        <w:contextualSpacing/>
        <w:rPr>
          <w:rFonts w:ascii="Cambria" w:eastAsia="Times New Roman" w:hAnsi="Cambria" w:cs="Arial"/>
          <w:b/>
          <w:bCs/>
          <w:color w:val="auto"/>
          <w:kern w:val="32"/>
          <w:sz w:val="24"/>
          <w:szCs w:val="24"/>
          <w:lang w:val="en-GB" w:eastAsia="en-GB"/>
          <w14:ligatures w14:val="none"/>
        </w:rPr>
      </w:pPr>
      <w:r w:rsidRPr="00596DAC">
        <w:rPr>
          <w:rFonts w:ascii="Cambria" w:eastAsia="Times New Roman" w:hAnsi="Cambria" w:cs="Arial"/>
          <w:b/>
          <w:bCs/>
          <w:color w:val="auto"/>
          <w:kern w:val="32"/>
          <w:sz w:val="24"/>
          <w:szCs w:val="24"/>
          <w:lang w:val="en-GB" w:eastAsia="en-GB"/>
          <w14:ligatures w14:val="none"/>
        </w:rPr>
        <w:t>Conclusion and Recommendations</w:t>
      </w:r>
    </w:p>
    <w:p w14:paraId="1C612618" w14:textId="77777777" w:rsidR="00164D56" w:rsidRDefault="00164D56" w:rsidP="00284EFB"/>
    <w:p w14:paraId="4FCB47DC" w14:textId="102B60C8" w:rsidR="00164D56" w:rsidRDefault="00A10C39" w:rsidP="00A10C39">
      <w:pPr>
        <w:ind w:firstLine="360"/>
        <w:jc w:val="both"/>
      </w:pPr>
      <w:r>
        <w:t xml:space="preserve">This paper compares evapotranspiration derived from MODIS16A2 and </w:t>
      </w:r>
      <w:proofErr w:type="spellStart"/>
      <w:r>
        <w:t>WaPOR</w:t>
      </w:r>
      <w:proofErr w:type="spellEnd"/>
      <w:r>
        <w:t xml:space="preserve"> version 3 with the observed data. It</w:t>
      </w:r>
      <w:r w:rsidR="00164D56">
        <w:t xml:space="preserve"> has been realized that the accuracy of ET calculation varies greatly over different seasons of agricultural practices. On average, the results indicated that all the metrics in the present study were significantly better in </w:t>
      </w:r>
      <w:proofErr w:type="spellStart"/>
      <w:r w:rsidR="00164D56">
        <w:t>WaPOR</w:t>
      </w:r>
      <w:proofErr w:type="spellEnd"/>
      <w:r w:rsidR="00164D56">
        <w:t xml:space="preserve"> v3.0 than in MODIS16A2.</w:t>
      </w:r>
    </w:p>
    <w:p w14:paraId="3D3EEC3D" w14:textId="000B68AA" w:rsidR="00164D56" w:rsidRDefault="00164D56" w:rsidP="00306071">
      <w:pPr>
        <w:ind w:firstLine="360"/>
        <w:jc w:val="both"/>
      </w:pPr>
      <w:r>
        <w:t xml:space="preserve">Estimated ET was expressed using four statistical parameters; R² (coefficient of determination), correlation coefficient, RMSE (Root Mean Square Error), and PB (Percentage Bias) to prove the higher accuracy level and closeness of the remotely sensed to the observed ET data. </w:t>
      </w:r>
      <w:r w:rsidR="00A10C39">
        <w:t xml:space="preserve">Specifically, the performance of </w:t>
      </w:r>
      <w:proofErr w:type="spellStart"/>
      <w:r w:rsidR="00A10C39">
        <w:t>WaPOR</w:t>
      </w:r>
      <w:proofErr w:type="spellEnd"/>
      <w:r w:rsidR="00A10C39">
        <w:t xml:space="preserve"> v3.0 was high in the wheat production season</w:t>
      </w:r>
      <w:r>
        <w:t xml:space="preserve"> and its correlation and error coefficients were low. MODIS16A2, in this study, yielded higher errors and lower efficiency especially in the rice-growing seasons implying that </w:t>
      </w:r>
      <w:r w:rsidR="00A10C39">
        <w:t>certain crop conditions may constrain its application</w:t>
      </w:r>
      <w:r>
        <w:t>.</w:t>
      </w:r>
      <w:r w:rsidR="00A10C39">
        <w:t xml:space="preserve"> </w:t>
      </w:r>
      <w:r w:rsidRPr="00164D56">
        <w:t>Seasonal trends revealed that, during the rice growing season, both products exhibited relatively poor performance, especially MODIS16A2 which overestimated ET as indicated by high RMSE, PB</w:t>
      </w:r>
      <w:r w:rsidR="00A10C39">
        <w:t>,</w:t>
      </w:r>
      <w:r w:rsidRPr="00164D56">
        <w:t xml:space="preserve"> and poor efficiency values. On the other hand, during the wheat seasons both products showed better performance but with higher accuracy was achieved by </w:t>
      </w:r>
      <w:proofErr w:type="spellStart"/>
      <w:r w:rsidRPr="00164D56">
        <w:t>WaPOR</w:t>
      </w:r>
      <w:proofErr w:type="spellEnd"/>
      <w:r w:rsidRPr="00164D56">
        <w:t xml:space="preserve"> results, closer to the observed ET and with negligible amounts of bias.</w:t>
      </w:r>
    </w:p>
    <w:p w14:paraId="0FCB14D9" w14:textId="0C07B729" w:rsidR="00164D56" w:rsidRDefault="00164D56" w:rsidP="00306071">
      <w:pPr>
        <w:ind w:firstLine="360"/>
        <w:jc w:val="both"/>
      </w:pPr>
      <w:r w:rsidRPr="00164D56">
        <w:t xml:space="preserve">For Agricultural Applications: Based on these results and the fact that </w:t>
      </w:r>
      <w:proofErr w:type="spellStart"/>
      <w:r w:rsidRPr="00164D56">
        <w:t>WaPOR</w:t>
      </w:r>
      <w:proofErr w:type="spellEnd"/>
      <w:r w:rsidRPr="00164D56">
        <w:t xml:space="preserve"> performed particularly well in wheat-growing seasons, it is suggested that the tool should be used for ET estimation in similar crops. Because it offers a high accuracy coupled with low bias, it can be used to monitor and manage water </w:t>
      </w:r>
      <w:r w:rsidR="00A10C39">
        <w:t>r</w:t>
      </w:r>
      <w:r w:rsidRPr="00164D56">
        <w:t>esources in agricultural status, especially where wheat or crops of similar nature are farmed.</w:t>
      </w:r>
    </w:p>
    <w:p w14:paraId="1399AD84" w14:textId="668C67B1" w:rsidR="00637C88" w:rsidRDefault="00A10C39" w:rsidP="00306071">
      <w:pPr>
        <w:jc w:val="both"/>
      </w:pPr>
      <w:r>
        <w:t xml:space="preserve">Moreover, </w:t>
      </w:r>
      <w:r w:rsidR="00164D56" w:rsidRPr="00164D56">
        <w:t xml:space="preserve">Integration of </w:t>
      </w:r>
      <w:r>
        <w:t>o</w:t>
      </w:r>
      <w:r w:rsidR="00164D56" w:rsidRPr="00164D56">
        <w:t xml:space="preserve">bserved </w:t>
      </w:r>
      <w:r>
        <w:t>d</w:t>
      </w:r>
      <w:r w:rsidR="00164D56" w:rsidRPr="00164D56">
        <w:t>ata for Calibration</w:t>
      </w:r>
      <w:r>
        <w:t xml:space="preserve"> is very important t</w:t>
      </w:r>
      <w:r w:rsidR="00164D56" w:rsidRPr="00164D56">
        <w:t>o enhance the reliability of products</w:t>
      </w:r>
      <w:r>
        <w:t xml:space="preserve"> </w:t>
      </w:r>
      <w:r w:rsidR="00164D56" w:rsidRPr="00164D56">
        <w:t>incorporating the locally observed ET data for calibration will enhance model accuracy. This approach would help refine the models specific to environmental and crop conditions enhancing the possibilities for accurate water resource planning and management.</w:t>
      </w:r>
    </w:p>
    <w:p w14:paraId="38193F68" w14:textId="14251C2D" w:rsidR="00637C88" w:rsidRDefault="00164D56" w:rsidP="00306071">
      <w:pPr>
        <w:ind w:firstLine="720"/>
        <w:jc w:val="both"/>
      </w:pPr>
      <w:r w:rsidRPr="00164D56">
        <w:t xml:space="preserve">Therefore, the assessment of the present version of the </w:t>
      </w:r>
      <w:proofErr w:type="spellStart"/>
      <w:r w:rsidRPr="00164D56">
        <w:t>WaPOR</w:t>
      </w:r>
      <w:proofErr w:type="spellEnd"/>
      <w:r w:rsidRPr="00164D56">
        <w:t xml:space="preserve"> for application in agricultural ET estimates reveals significant reliability as a calculator tool for remote sensing data from different environments, especially for wheat crops. MODIS16A2 can be helpful but could need seasonal corrections or other methods for averting problems in volumetric crops such as rice. Subsequent extension with the observed data will be important toward improving the usefulness of these models in other agricultural environments.</w:t>
      </w:r>
    </w:p>
    <w:p w14:paraId="6EB6962E" w14:textId="77777777" w:rsidR="00637C88" w:rsidRDefault="00637C88">
      <w:r>
        <w:br w:type="page"/>
      </w:r>
    </w:p>
    <w:sdt>
      <w:sdtPr>
        <w:rPr>
          <w:rFonts w:asciiTheme="minorHAnsi" w:eastAsiaTheme="minorHAnsi" w:hAnsiTheme="minorHAnsi" w:cstheme="minorBidi"/>
          <w:color w:val="auto"/>
          <w:sz w:val="22"/>
          <w:szCs w:val="22"/>
        </w:rPr>
        <w:id w:val="1808739030"/>
        <w:docPartObj>
          <w:docPartGallery w:val="Bibliographies"/>
          <w:docPartUnique/>
        </w:docPartObj>
      </w:sdtPr>
      <w:sdtContent>
        <w:p w14:paraId="0C054DA1" w14:textId="083D6210" w:rsidR="00637C88" w:rsidRDefault="00637C88">
          <w:pPr>
            <w:pStyle w:val="Heading1"/>
          </w:pPr>
          <w:r>
            <w:t>References</w:t>
          </w:r>
        </w:p>
        <w:sdt>
          <w:sdtPr>
            <w:id w:val="-573587230"/>
            <w:bibliography/>
          </w:sdtPr>
          <w:sdtContent>
            <w:p w14:paraId="1FFA264B" w14:textId="77777777" w:rsidR="00637C88" w:rsidRDefault="00637C88" w:rsidP="00637C88">
              <w:pPr>
                <w:pStyle w:val="Bibliography"/>
                <w:ind w:left="720" w:hanging="720"/>
                <w:rPr>
                  <w:noProof/>
                  <w:kern w:val="0"/>
                  <w:sz w:val="24"/>
                  <w:szCs w:val="24"/>
                  <w14:ligatures w14:val="none"/>
                </w:rPr>
              </w:pPr>
              <w:r>
                <w:fldChar w:fldCharType="begin"/>
              </w:r>
              <w:r>
                <w:instrText xml:space="preserve"> BIBLIOGRAPHY </w:instrText>
              </w:r>
              <w:r>
                <w:fldChar w:fldCharType="separate"/>
              </w:r>
              <w:r>
                <w:rPr>
                  <w:noProof/>
                </w:rPr>
                <w:t xml:space="preserve">D.E. Angus, el. at. (1984). Evapotranspiration — How good is the Bowen ratio method? </w:t>
              </w:r>
              <w:r>
                <w:rPr>
                  <w:i/>
                  <w:iCs/>
                  <w:noProof/>
                </w:rPr>
                <w:t>ELSEVIER</w:t>
              </w:r>
              <w:r>
                <w:rPr>
                  <w:noProof/>
                </w:rPr>
                <w:t>, 133-150.</w:t>
              </w:r>
            </w:p>
            <w:p w14:paraId="5A9BC670" w14:textId="77777777" w:rsidR="00637C88" w:rsidRDefault="00637C88" w:rsidP="00637C88">
              <w:pPr>
                <w:pStyle w:val="Bibliography"/>
                <w:ind w:left="720" w:hanging="720"/>
                <w:rPr>
                  <w:noProof/>
                </w:rPr>
              </w:pPr>
              <w:r>
                <w:rPr>
                  <w:noProof/>
                </w:rPr>
                <w:t xml:space="preserve">Dunxian She, et. al. (2017). Changes in reference evapotranspiration and its driving factors in the middle reaches of Yellow River Basin, China. </w:t>
              </w:r>
              <w:r>
                <w:rPr>
                  <w:i/>
                  <w:iCs/>
                  <w:noProof/>
                </w:rPr>
                <w:t>ELSEVIER</w:t>
              </w:r>
              <w:r>
                <w:rPr>
                  <w:noProof/>
                </w:rPr>
                <w:t>, 1151-1162.</w:t>
              </w:r>
            </w:p>
            <w:p w14:paraId="2518A38F" w14:textId="77777777" w:rsidR="00637C88" w:rsidRDefault="00637C88" w:rsidP="00637C88">
              <w:pPr>
                <w:pStyle w:val="Bibliography"/>
                <w:ind w:left="720" w:hanging="720"/>
                <w:rPr>
                  <w:noProof/>
                </w:rPr>
              </w:pPr>
              <w:r>
                <w:rPr>
                  <w:noProof/>
                </w:rPr>
                <w:t xml:space="preserve">E. R. Lemon, et. al. (1957). Some Aspects of the Relationship of Soil, Plant, and Meteorological Factors to Evapotranspiration. </w:t>
              </w:r>
              <w:r>
                <w:rPr>
                  <w:i/>
                  <w:iCs/>
                  <w:noProof/>
                </w:rPr>
                <w:t>Soil Science Society of America Jornal</w:t>
              </w:r>
              <w:r>
                <w:rPr>
                  <w:noProof/>
                </w:rPr>
                <w:t>.</w:t>
              </w:r>
            </w:p>
            <w:p w14:paraId="3D477BDE" w14:textId="77777777" w:rsidR="00637C88" w:rsidRDefault="00637C88" w:rsidP="00637C88">
              <w:pPr>
                <w:pStyle w:val="Bibliography"/>
                <w:ind w:left="720" w:hanging="720"/>
                <w:rPr>
                  <w:noProof/>
                </w:rPr>
              </w:pPr>
              <w:r>
                <w:rPr>
                  <w:noProof/>
                </w:rPr>
                <w:t xml:space="preserve">FAO. (2023.). </w:t>
              </w:r>
              <w:r>
                <w:rPr>
                  <w:i/>
                  <w:iCs/>
                  <w:noProof/>
                </w:rPr>
                <w:t>Remote sensing determination of evapotranspiration – Algorithms, strengths, weaknesses, uncertainty and best fit-forpurpose.</w:t>
              </w:r>
              <w:r>
                <w:rPr>
                  <w:noProof/>
                </w:rPr>
                <w:t xml:space="preserve"> </w:t>
              </w:r>
            </w:p>
            <w:p w14:paraId="7A67C218" w14:textId="77777777" w:rsidR="00637C88" w:rsidRDefault="00637C88" w:rsidP="00637C88">
              <w:pPr>
                <w:pStyle w:val="Bibliography"/>
                <w:ind w:left="720" w:hanging="720"/>
                <w:rPr>
                  <w:noProof/>
                </w:rPr>
              </w:pPr>
              <w:r>
                <w:rPr>
                  <w:noProof/>
                </w:rPr>
                <w:t xml:space="preserve">FAO. (2023.). </w:t>
              </w:r>
              <w:r>
                <w:rPr>
                  <w:i/>
                  <w:iCs/>
                  <w:noProof/>
                </w:rPr>
                <w:t>WaPOR - portal</w:t>
              </w:r>
              <w:r>
                <w:rPr>
                  <w:noProof/>
                </w:rPr>
                <w:t>. Retrieved from WaPOR - FAO portal to monitor Water Productivity through Open access of remotely sensed derived data.: https://www.fao.org/land-water/databases-and-software/wapor/en/</w:t>
              </w:r>
            </w:p>
            <w:p w14:paraId="798E19BD" w14:textId="77777777" w:rsidR="00637C88" w:rsidRDefault="00637C88" w:rsidP="00637C88">
              <w:pPr>
                <w:pStyle w:val="Bibliography"/>
                <w:ind w:left="720" w:hanging="720"/>
                <w:rPr>
                  <w:noProof/>
                </w:rPr>
              </w:pPr>
              <w:r>
                <w:rPr>
                  <w:noProof/>
                </w:rPr>
                <w:t xml:space="preserve">Huimin Lei, et. al. (2018). Biological factors dominate the interannual variability of evapotranspiration in an irrigated cropland in the North China Plain. </w:t>
              </w:r>
              <w:r>
                <w:rPr>
                  <w:i/>
                  <w:iCs/>
                  <w:noProof/>
                </w:rPr>
                <w:t>ELSEVIR</w:t>
              </w:r>
              <w:r>
                <w:rPr>
                  <w:noProof/>
                </w:rPr>
                <w:t>, 262-276.</w:t>
              </w:r>
            </w:p>
            <w:p w14:paraId="5B7E4DC9" w14:textId="2CDE025E" w:rsidR="00637C88" w:rsidRDefault="00637C88" w:rsidP="00637C88">
              <w:pPr>
                <w:pStyle w:val="Bibliography"/>
                <w:ind w:left="720" w:hanging="720"/>
                <w:rPr>
                  <w:noProof/>
                </w:rPr>
              </w:pPr>
              <w:r>
                <w:rPr>
                  <w:noProof/>
                </w:rPr>
                <w:t xml:space="preserve">I. Ghiat et al. (2021). A Review of Evapotranspiration Measurement Models, Field Applications. </w:t>
              </w:r>
              <w:r>
                <w:rPr>
                  <w:i/>
                  <w:iCs/>
                  <w:noProof/>
                </w:rPr>
                <w:t>Water</w:t>
              </w:r>
              <w:r>
                <w:rPr>
                  <w:noProof/>
                </w:rPr>
                <w:t>.</w:t>
              </w:r>
            </w:p>
            <w:p w14:paraId="177B080A" w14:textId="77777777" w:rsidR="00637C88" w:rsidRDefault="00637C88" w:rsidP="00637C88">
              <w:pPr>
                <w:pStyle w:val="Bibliography"/>
                <w:ind w:left="720" w:hanging="720"/>
                <w:rPr>
                  <w:noProof/>
                </w:rPr>
              </w:pPr>
              <w:r>
                <w:rPr>
                  <w:noProof/>
                </w:rPr>
                <w:t xml:space="preserve">Mostafa Javadian, et. al. (2019). METRIC and WaPOR Estimates of Evapotranspiration over the Lake Urmia Basin: Comparative Analysis and Composite Assessment. </w:t>
              </w:r>
              <w:r>
                <w:rPr>
                  <w:i/>
                  <w:iCs/>
                  <w:noProof/>
                </w:rPr>
                <w:t>MDPI</w:t>
              </w:r>
              <w:r>
                <w:rPr>
                  <w:noProof/>
                </w:rPr>
                <w:t>.</w:t>
              </w:r>
            </w:p>
            <w:p w14:paraId="65F03050" w14:textId="77777777" w:rsidR="00637C88" w:rsidRDefault="00637C88" w:rsidP="00637C88">
              <w:pPr>
                <w:pStyle w:val="Bibliography"/>
                <w:ind w:left="720" w:hanging="720"/>
                <w:rPr>
                  <w:noProof/>
                </w:rPr>
              </w:pPr>
              <w:r>
                <w:rPr>
                  <w:noProof/>
                </w:rPr>
                <w:t xml:space="preserve">NASA. (2013). </w:t>
              </w:r>
              <w:r>
                <w:rPr>
                  <w:i/>
                  <w:iCs/>
                  <w:noProof/>
                </w:rPr>
                <w:t>MODIS Global Terrestrial Evapotranspiration (ET) Product.</w:t>
              </w:r>
              <w:r>
                <w:rPr>
                  <w:noProof/>
                </w:rPr>
                <w:t xml:space="preserve"> NASA.</w:t>
              </w:r>
            </w:p>
            <w:p w14:paraId="4A7A4E3F" w14:textId="12228D63" w:rsidR="00637C88" w:rsidRDefault="00637C88" w:rsidP="00637C88">
              <w:pPr>
                <w:pStyle w:val="Bibliography"/>
                <w:ind w:left="720" w:hanging="720"/>
                <w:rPr>
                  <w:noProof/>
                </w:rPr>
              </w:pPr>
              <w:r>
                <w:rPr>
                  <w:noProof/>
                </w:rPr>
                <w:t xml:space="preserve">Omar, Mohie et al. (2019). Estimating Actual Evapotranspiration over a Large and Complex Irrigation System of the Nile Delta in Egypt. </w:t>
              </w:r>
              <w:r w:rsidR="00306071">
                <w:rPr>
                  <w:i/>
                  <w:iCs/>
                  <w:noProof/>
                </w:rPr>
                <w:t>international</w:t>
              </w:r>
              <w:r>
                <w:rPr>
                  <w:i/>
                  <w:iCs/>
                  <w:noProof/>
                </w:rPr>
                <w:t xml:space="preserve"> Journal of Recent Technology and Engineering (IJRTE)</w:t>
              </w:r>
              <w:r>
                <w:rPr>
                  <w:noProof/>
                </w:rPr>
                <w:t>, 2432-2439.</w:t>
              </w:r>
            </w:p>
            <w:p w14:paraId="511890EA" w14:textId="77777777" w:rsidR="00637C88" w:rsidRDefault="00637C88" w:rsidP="00637C88">
              <w:pPr>
                <w:pStyle w:val="Bibliography"/>
                <w:ind w:left="720" w:hanging="720"/>
                <w:rPr>
                  <w:noProof/>
                </w:rPr>
              </w:pPr>
              <w:r>
                <w:rPr>
                  <w:noProof/>
                </w:rPr>
                <w:t xml:space="preserve">S. Mohan, et. al. (1996). Relative importance of meteorological variables in evapotranspiration: Factor analysis approach. </w:t>
              </w:r>
              <w:r>
                <w:rPr>
                  <w:i/>
                  <w:iCs/>
                  <w:noProof/>
                </w:rPr>
                <w:t>springer nature</w:t>
              </w:r>
              <w:r>
                <w:rPr>
                  <w:noProof/>
                </w:rPr>
                <w:t>, 1-10.</w:t>
              </w:r>
            </w:p>
            <w:p w14:paraId="367C4C88" w14:textId="77777777" w:rsidR="00637C88" w:rsidRPr="00637C88" w:rsidRDefault="00637C88" w:rsidP="00637C88">
              <w:pPr>
                <w:pStyle w:val="Bibliography"/>
                <w:ind w:left="720" w:hanging="720"/>
                <w:rPr>
                  <w:noProof/>
                  <w:lang w:val="it-IT"/>
                </w:rPr>
              </w:pPr>
              <w:r>
                <w:rPr>
                  <w:noProof/>
                </w:rPr>
                <w:t xml:space="preserve">William Fenner, et. al. (2019). Development, calibration and validation of weighing lysimeters for measurement of evapotranspiration of crops. </w:t>
              </w:r>
              <w:r w:rsidRPr="00637C88">
                <w:rPr>
                  <w:i/>
                  <w:iCs/>
                  <w:noProof/>
                  <w:lang w:val="it-IT"/>
                </w:rPr>
                <w:t>Revista Brasileira de Engenharia Agricola e Ambiental</w:t>
              </w:r>
              <w:r w:rsidRPr="00637C88">
                <w:rPr>
                  <w:noProof/>
                  <w:lang w:val="it-IT"/>
                </w:rPr>
                <w:t>.</w:t>
              </w:r>
            </w:p>
            <w:p w14:paraId="5990C9FB" w14:textId="77777777" w:rsidR="00637C88" w:rsidRDefault="00637C88" w:rsidP="00637C88">
              <w:pPr>
                <w:pStyle w:val="Bibliography"/>
                <w:ind w:left="720" w:hanging="720"/>
                <w:rPr>
                  <w:noProof/>
                </w:rPr>
              </w:pPr>
              <w:r w:rsidRPr="00637C88">
                <w:rPr>
                  <w:noProof/>
                  <w:lang w:val="it-IT"/>
                </w:rPr>
                <w:t xml:space="preserve">Xueyi Yang, et. al. </w:t>
              </w:r>
              <w:r>
                <w:rPr>
                  <w:noProof/>
                </w:rPr>
                <w:t xml:space="preserve">(2023). Response of Evapotranspiration (ET) to Climate Factors and Crop Planting Structures in the Shiyang River Basin, Northwestern China. </w:t>
              </w:r>
              <w:r>
                <w:rPr>
                  <w:i/>
                  <w:iCs/>
                  <w:noProof/>
                </w:rPr>
                <w:t>MDPI</w:t>
              </w:r>
              <w:r>
                <w:rPr>
                  <w:noProof/>
                </w:rPr>
                <w:t>.</w:t>
              </w:r>
            </w:p>
            <w:p w14:paraId="22A19474" w14:textId="77777777" w:rsidR="00637C88" w:rsidRDefault="00637C88" w:rsidP="00637C88">
              <w:pPr>
                <w:pStyle w:val="Bibliography"/>
                <w:ind w:left="720" w:hanging="720"/>
                <w:rPr>
                  <w:noProof/>
                </w:rPr>
              </w:pPr>
              <w:r>
                <w:rPr>
                  <w:noProof/>
                </w:rPr>
                <w:t xml:space="preserve">Yasunori Igarashi, et. al. (2015). Separating physical and biological controls on long-term evapotranspiration fluctuations in a tropical deciduous forest subjected to monsoonal rainfall. </w:t>
              </w:r>
              <w:r>
                <w:rPr>
                  <w:i/>
                  <w:iCs/>
                  <w:noProof/>
                </w:rPr>
                <w:t>Advancing Earth and Space Sciences</w:t>
              </w:r>
              <w:r>
                <w:rPr>
                  <w:noProof/>
                </w:rPr>
                <w:t>, 1262-1278.</w:t>
              </w:r>
            </w:p>
            <w:p w14:paraId="2BC8D9B1" w14:textId="77777777" w:rsidR="00637C88" w:rsidRDefault="00637C88" w:rsidP="00637C88">
              <w:pPr>
                <w:pStyle w:val="Bibliography"/>
                <w:ind w:left="720" w:hanging="720"/>
                <w:rPr>
                  <w:noProof/>
                </w:rPr>
              </w:pPr>
              <w:r>
                <w:rPr>
                  <w:noProof/>
                </w:rPr>
                <w:t xml:space="preserve">Ze-Xin Fan, et. al. (2013). Spatiotemporal variability of reference evapotranspiration and its contributing climatic factors in Yunnan Province, SW China, 1961–2004. </w:t>
              </w:r>
              <w:r>
                <w:rPr>
                  <w:i/>
                  <w:iCs/>
                  <w:noProof/>
                </w:rPr>
                <w:t>Springer Nature</w:t>
              </w:r>
              <w:r>
                <w:rPr>
                  <w:noProof/>
                </w:rPr>
                <w:t>, 309–325.</w:t>
              </w:r>
            </w:p>
            <w:p w14:paraId="01B23960" w14:textId="248A69C0" w:rsidR="007E779E" w:rsidRPr="00F509C5" w:rsidRDefault="00637C88" w:rsidP="00F509C5">
              <w:r>
                <w:rPr>
                  <w:b/>
                  <w:bCs/>
                  <w:noProof/>
                </w:rPr>
                <w:fldChar w:fldCharType="end"/>
              </w:r>
            </w:p>
          </w:sdtContent>
        </w:sdt>
      </w:sdtContent>
    </w:sdt>
    <w:p w14:paraId="165CF1B7" w14:textId="77777777" w:rsidR="007E779E" w:rsidRPr="007E779E" w:rsidRDefault="007E779E" w:rsidP="007E779E">
      <w:pPr>
        <w:spacing w:after="0" w:line="240" w:lineRule="auto"/>
        <w:rPr>
          <w:rFonts w:ascii="Times New Roman" w:eastAsia="Times New Roman" w:hAnsi="Times New Roman" w:cs="Times New Roman"/>
          <w:vanish/>
          <w:kern w:val="0"/>
          <w:sz w:val="24"/>
          <w:szCs w:val="24"/>
          <w14:ligatures w14:val="none"/>
        </w:rPr>
      </w:pPr>
    </w:p>
    <w:p w14:paraId="2F71BC37" w14:textId="77777777" w:rsidR="007E779E" w:rsidRPr="007E779E" w:rsidRDefault="007E779E" w:rsidP="007E779E">
      <w:pPr>
        <w:spacing w:after="0" w:line="240" w:lineRule="auto"/>
        <w:rPr>
          <w:rFonts w:ascii="Times New Roman" w:eastAsia="Times New Roman" w:hAnsi="Times New Roman" w:cs="Times New Roman"/>
          <w:vanish/>
          <w:kern w:val="0"/>
          <w:sz w:val="24"/>
          <w:szCs w:val="24"/>
          <w14:ligatures w14:val="none"/>
        </w:rPr>
      </w:pPr>
    </w:p>
    <w:p w14:paraId="1C903F30" w14:textId="77777777" w:rsidR="007E779E" w:rsidRPr="007E779E" w:rsidRDefault="007E779E" w:rsidP="007E779E">
      <w:pPr>
        <w:spacing w:after="0" w:line="240" w:lineRule="auto"/>
        <w:rPr>
          <w:rFonts w:ascii="Times New Roman" w:eastAsia="Times New Roman" w:hAnsi="Times New Roman" w:cs="Times New Roman"/>
          <w:vanish/>
          <w:kern w:val="0"/>
          <w:sz w:val="24"/>
          <w:szCs w:val="24"/>
          <w14:ligatures w14:val="none"/>
        </w:rPr>
      </w:pPr>
    </w:p>
    <w:p w14:paraId="5631694C" w14:textId="77777777" w:rsidR="007E779E" w:rsidRPr="007E779E" w:rsidRDefault="007E779E" w:rsidP="007E779E">
      <w:pPr>
        <w:spacing w:after="0" w:line="240" w:lineRule="auto"/>
        <w:rPr>
          <w:rFonts w:ascii="Times New Roman" w:eastAsia="Times New Roman" w:hAnsi="Times New Roman" w:cs="Times New Roman"/>
          <w:vanish/>
          <w:kern w:val="0"/>
          <w:sz w:val="24"/>
          <w:szCs w:val="24"/>
          <w14:ligatures w14:val="none"/>
        </w:rPr>
      </w:pPr>
    </w:p>
    <w:p w14:paraId="5EEAA71A" w14:textId="77777777" w:rsidR="007E779E" w:rsidRPr="007E779E" w:rsidRDefault="007E779E" w:rsidP="007E779E">
      <w:pPr>
        <w:spacing w:after="0" w:line="240" w:lineRule="auto"/>
        <w:rPr>
          <w:rFonts w:ascii="Times New Roman" w:eastAsia="Times New Roman" w:hAnsi="Times New Roman" w:cs="Times New Roman"/>
          <w:vanish/>
          <w:kern w:val="0"/>
          <w:sz w:val="24"/>
          <w:szCs w:val="24"/>
          <w14:ligatures w14:val="none"/>
        </w:rPr>
      </w:pPr>
    </w:p>
    <w:p w14:paraId="607A2A8D" w14:textId="77777777" w:rsidR="007E779E" w:rsidRPr="007E779E" w:rsidRDefault="007E779E" w:rsidP="007E779E">
      <w:pPr>
        <w:spacing w:after="0" w:line="240" w:lineRule="auto"/>
        <w:rPr>
          <w:rFonts w:ascii="Times New Roman" w:eastAsia="Times New Roman" w:hAnsi="Times New Roman" w:cs="Times New Roman"/>
          <w:vanish/>
          <w:kern w:val="0"/>
          <w:sz w:val="24"/>
          <w:szCs w:val="24"/>
          <w14:ligatures w14:val="none"/>
        </w:rPr>
      </w:pPr>
    </w:p>
    <w:p w14:paraId="66A9A0B4" w14:textId="471A1620" w:rsidR="00052C54" w:rsidRDefault="00052C54" w:rsidP="00284EFB"/>
    <w:sectPr w:rsidR="00052C54" w:rsidSect="00FA1231">
      <w:pgSz w:w="12240" w:h="15840"/>
      <w:pgMar w:top="1440" w:right="99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649B9" w14:textId="77777777" w:rsidR="002B1417" w:rsidRDefault="002B1417" w:rsidP="00FA1231">
      <w:pPr>
        <w:spacing w:after="0" w:line="240" w:lineRule="auto"/>
      </w:pPr>
      <w:r>
        <w:separator/>
      </w:r>
    </w:p>
  </w:endnote>
  <w:endnote w:type="continuationSeparator" w:id="0">
    <w:p w14:paraId="096D5F4B" w14:textId="77777777" w:rsidR="002B1417" w:rsidRDefault="002B1417" w:rsidP="00FA1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83207" w14:textId="77777777" w:rsidR="002B1417" w:rsidRDefault="002B1417" w:rsidP="00FA1231">
      <w:pPr>
        <w:spacing w:after="0" w:line="240" w:lineRule="auto"/>
      </w:pPr>
      <w:r>
        <w:separator/>
      </w:r>
    </w:p>
  </w:footnote>
  <w:footnote w:type="continuationSeparator" w:id="0">
    <w:p w14:paraId="426DAED2" w14:textId="77777777" w:rsidR="002B1417" w:rsidRDefault="002B1417" w:rsidP="00FA12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777D"/>
    <w:multiLevelType w:val="hybridMultilevel"/>
    <w:tmpl w:val="9C32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31A19"/>
    <w:multiLevelType w:val="hybridMultilevel"/>
    <w:tmpl w:val="4E28A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443F6"/>
    <w:multiLevelType w:val="hybridMultilevel"/>
    <w:tmpl w:val="032AA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34FD6"/>
    <w:multiLevelType w:val="multilevel"/>
    <w:tmpl w:val="3C866C0A"/>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2EE00DAD"/>
    <w:multiLevelType w:val="hybridMultilevel"/>
    <w:tmpl w:val="0FCAFBD4"/>
    <w:lvl w:ilvl="0" w:tplc="0409000F">
      <w:start w:val="4"/>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FE4650"/>
    <w:multiLevelType w:val="hybridMultilevel"/>
    <w:tmpl w:val="789A1A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61B52"/>
    <w:multiLevelType w:val="multilevel"/>
    <w:tmpl w:val="B9209C56"/>
    <w:lvl w:ilvl="0">
      <w:start w:val="2"/>
      <w:numFmt w:val="decimal"/>
      <w:lvlText w:val="%1"/>
      <w:lvlJc w:val="left"/>
      <w:pPr>
        <w:ind w:left="360" w:hanging="360"/>
      </w:pPr>
      <w:rPr>
        <w:rFonts w:ascii="Cambria" w:eastAsia="Times New Roman" w:hAnsi="Cambria" w:cs="Arial" w:hint="default"/>
      </w:rPr>
    </w:lvl>
    <w:lvl w:ilvl="1">
      <w:start w:val="2"/>
      <w:numFmt w:val="decimal"/>
      <w:lvlText w:val="%1.%2"/>
      <w:lvlJc w:val="left"/>
      <w:pPr>
        <w:ind w:left="360" w:hanging="360"/>
      </w:pPr>
      <w:rPr>
        <w:rFonts w:ascii="Cambria" w:eastAsia="Times New Roman" w:hAnsi="Cambria" w:cs="Arial" w:hint="default"/>
      </w:rPr>
    </w:lvl>
    <w:lvl w:ilvl="2">
      <w:start w:val="1"/>
      <w:numFmt w:val="decimal"/>
      <w:lvlText w:val="%1.%2.%3"/>
      <w:lvlJc w:val="left"/>
      <w:pPr>
        <w:ind w:left="720" w:hanging="720"/>
      </w:pPr>
      <w:rPr>
        <w:rFonts w:ascii="Cambria" w:eastAsia="Times New Roman" w:hAnsi="Cambria" w:cs="Arial" w:hint="default"/>
      </w:rPr>
    </w:lvl>
    <w:lvl w:ilvl="3">
      <w:start w:val="1"/>
      <w:numFmt w:val="decimal"/>
      <w:lvlText w:val="%1.%2.%3.%4"/>
      <w:lvlJc w:val="left"/>
      <w:pPr>
        <w:ind w:left="720" w:hanging="720"/>
      </w:pPr>
      <w:rPr>
        <w:rFonts w:ascii="Cambria" w:eastAsia="Times New Roman" w:hAnsi="Cambria" w:cs="Arial" w:hint="default"/>
      </w:rPr>
    </w:lvl>
    <w:lvl w:ilvl="4">
      <w:start w:val="1"/>
      <w:numFmt w:val="decimal"/>
      <w:lvlText w:val="%1.%2.%3.%4.%5"/>
      <w:lvlJc w:val="left"/>
      <w:pPr>
        <w:ind w:left="1080" w:hanging="1080"/>
      </w:pPr>
      <w:rPr>
        <w:rFonts w:ascii="Cambria" w:eastAsia="Times New Roman" w:hAnsi="Cambria" w:cs="Arial" w:hint="default"/>
      </w:rPr>
    </w:lvl>
    <w:lvl w:ilvl="5">
      <w:start w:val="1"/>
      <w:numFmt w:val="decimal"/>
      <w:lvlText w:val="%1.%2.%3.%4.%5.%6"/>
      <w:lvlJc w:val="left"/>
      <w:pPr>
        <w:ind w:left="1080" w:hanging="1080"/>
      </w:pPr>
      <w:rPr>
        <w:rFonts w:ascii="Cambria" w:eastAsia="Times New Roman" w:hAnsi="Cambria" w:cs="Arial" w:hint="default"/>
      </w:rPr>
    </w:lvl>
    <w:lvl w:ilvl="6">
      <w:start w:val="1"/>
      <w:numFmt w:val="decimal"/>
      <w:lvlText w:val="%1.%2.%3.%4.%5.%6.%7"/>
      <w:lvlJc w:val="left"/>
      <w:pPr>
        <w:ind w:left="1440" w:hanging="1440"/>
      </w:pPr>
      <w:rPr>
        <w:rFonts w:ascii="Cambria" w:eastAsia="Times New Roman" w:hAnsi="Cambria" w:cs="Arial" w:hint="default"/>
      </w:rPr>
    </w:lvl>
    <w:lvl w:ilvl="7">
      <w:start w:val="1"/>
      <w:numFmt w:val="decimal"/>
      <w:lvlText w:val="%1.%2.%3.%4.%5.%6.%7.%8"/>
      <w:lvlJc w:val="left"/>
      <w:pPr>
        <w:ind w:left="1440" w:hanging="1440"/>
      </w:pPr>
      <w:rPr>
        <w:rFonts w:ascii="Cambria" w:eastAsia="Times New Roman" w:hAnsi="Cambria" w:cs="Arial" w:hint="default"/>
      </w:rPr>
    </w:lvl>
    <w:lvl w:ilvl="8">
      <w:start w:val="1"/>
      <w:numFmt w:val="decimal"/>
      <w:lvlText w:val="%1.%2.%3.%4.%5.%6.%7.%8.%9"/>
      <w:lvlJc w:val="left"/>
      <w:pPr>
        <w:ind w:left="1800" w:hanging="1800"/>
      </w:pPr>
      <w:rPr>
        <w:rFonts w:ascii="Cambria" w:eastAsia="Times New Roman" w:hAnsi="Cambria" w:cs="Arial" w:hint="default"/>
      </w:rPr>
    </w:lvl>
  </w:abstractNum>
  <w:abstractNum w:abstractNumId="7" w15:restartNumberingAfterBreak="0">
    <w:nsid w:val="5E8D1D74"/>
    <w:multiLevelType w:val="hybridMultilevel"/>
    <w:tmpl w:val="4BB6F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645DCB"/>
    <w:multiLevelType w:val="hybridMultilevel"/>
    <w:tmpl w:val="0FCA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0A435D"/>
    <w:multiLevelType w:val="hybridMultilevel"/>
    <w:tmpl w:val="10166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4F425E"/>
    <w:multiLevelType w:val="multilevel"/>
    <w:tmpl w:val="A5A2E37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8"/>
  </w:num>
  <w:num w:numId="4">
    <w:abstractNumId w:val="0"/>
  </w:num>
  <w:num w:numId="5">
    <w:abstractNumId w:val="7"/>
  </w:num>
  <w:num w:numId="6">
    <w:abstractNumId w:val="5"/>
  </w:num>
  <w:num w:numId="7">
    <w:abstractNumId w:val="1"/>
  </w:num>
  <w:num w:numId="8">
    <w:abstractNumId w:val="9"/>
  </w:num>
  <w:num w:numId="9">
    <w:abstractNumId w:val="6"/>
  </w:num>
  <w:num w:numId="10">
    <w:abstractNumId w:val="4"/>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54"/>
    <w:rsid w:val="00013905"/>
    <w:rsid w:val="00022587"/>
    <w:rsid w:val="00052C54"/>
    <w:rsid w:val="00073E86"/>
    <w:rsid w:val="00076F00"/>
    <w:rsid w:val="00085499"/>
    <w:rsid w:val="000B5A3A"/>
    <w:rsid w:val="000C790D"/>
    <w:rsid w:val="000D1F19"/>
    <w:rsid w:val="00113615"/>
    <w:rsid w:val="001312D7"/>
    <w:rsid w:val="00141B52"/>
    <w:rsid w:val="00150E14"/>
    <w:rsid w:val="00164D56"/>
    <w:rsid w:val="00175719"/>
    <w:rsid w:val="00175DED"/>
    <w:rsid w:val="001B05AB"/>
    <w:rsid w:val="001C5C55"/>
    <w:rsid w:val="001E664F"/>
    <w:rsid w:val="0022329F"/>
    <w:rsid w:val="00264D41"/>
    <w:rsid w:val="00284EFB"/>
    <w:rsid w:val="00285749"/>
    <w:rsid w:val="00296C55"/>
    <w:rsid w:val="002B1417"/>
    <w:rsid w:val="002D3F5C"/>
    <w:rsid w:val="00306071"/>
    <w:rsid w:val="00330809"/>
    <w:rsid w:val="003350BF"/>
    <w:rsid w:val="00337D70"/>
    <w:rsid w:val="00342145"/>
    <w:rsid w:val="00344603"/>
    <w:rsid w:val="00356173"/>
    <w:rsid w:val="003655BB"/>
    <w:rsid w:val="003762DE"/>
    <w:rsid w:val="003A1FB2"/>
    <w:rsid w:val="003B6952"/>
    <w:rsid w:val="003B723D"/>
    <w:rsid w:val="003D3ECE"/>
    <w:rsid w:val="003E7861"/>
    <w:rsid w:val="00405C30"/>
    <w:rsid w:val="00430E63"/>
    <w:rsid w:val="00433D00"/>
    <w:rsid w:val="00433DFF"/>
    <w:rsid w:val="00441F48"/>
    <w:rsid w:val="004420F3"/>
    <w:rsid w:val="00453993"/>
    <w:rsid w:val="00495817"/>
    <w:rsid w:val="004A48F8"/>
    <w:rsid w:val="004A4F5A"/>
    <w:rsid w:val="004E7CBB"/>
    <w:rsid w:val="004F1175"/>
    <w:rsid w:val="0050706C"/>
    <w:rsid w:val="00510787"/>
    <w:rsid w:val="00534CCE"/>
    <w:rsid w:val="005601E5"/>
    <w:rsid w:val="00591430"/>
    <w:rsid w:val="00591A0E"/>
    <w:rsid w:val="0059226F"/>
    <w:rsid w:val="00596DAC"/>
    <w:rsid w:val="00597CD7"/>
    <w:rsid w:val="005B5C0B"/>
    <w:rsid w:val="005C0875"/>
    <w:rsid w:val="005C408E"/>
    <w:rsid w:val="005C5FBD"/>
    <w:rsid w:val="005D1DE0"/>
    <w:rsid w:val="005D4040"/>
    <w:rsid w:val="005E16B4"/>
    <w:rsid w:val="005F1AB2"/>
    <w:rsid w:val="005F2DB6"/>
    <w:rsid w:val="00616082"/>
    <w:rsid w:val="00623E32"/>
    <w:rsid w:val="00626DA2"/>
    <w:rsid w:val="00637C88"/>
    <w:rsid w:val="0064554E"/>
    <w:rsid w:val="00651F8E"/>
    <w:rsid w:val="00684FBE"/>
    <w:rsid w:val="00690BD8"/>
    <w:rsid w:val="00691F8D"/>
    <w:rsid w:val="006967B3"/>
    <w:rsid w:val="0069698D"/>
    <w:rsid w:val="006D02E1"/>
    <w:rsid w:val="006D7CF1"/>
    <w:rsid w:val="006E229F"/>
    <w:rsid w:val="006F190B"/>
    <w:rsid w:val="006F2D78"/>
    <w:rsid w:val="00712646"/>
    <w:rsid w:val="00722D0A"/>
    <w:rsid w:val="00741872"/>
    <w:rsid w:val="007459D0"/>
    <w:rsid w:val="007510FA"/>
    <w:rsid w:val="0076205F"/>
    <w:rsid w:val="00775614"/>
    <w:rsid w:val="007821E6"/>
    <w:rsid w:val="00782FC1"/>
    <w:rsid w:val="00786A61"/>
    <w:rsid w:val="00792462"/>
    <w:rsid w:val="007C4EC5"/>
    <w:rsid w:val="007D7617"/>
    <w:rsid w:val="007E779E"/>
    <w:rsid w:val="007F71B8"/>
    <w:rsid w:val="008133FB"/>
    <w:rsid w:val="008263D0"/>
    <w:rsid w:val="008277B4"/>
    <w:rsid w:val="00842568"/>
    <w:rsid w:val="00872502"/>
    <w:rsid w:val="008751EA"/>
    <w:rsid w:val="00880D02"/>
    <w:rsid w:val="00883827"/>
    <w:rsid w:val="008A0DDC"/>
    <w:rsid w:val="008B1B17"/>
    <w:rsid w:val="008D17FE"/>
    <w:rsid w:val="00907236"/>
    <w:rsid w:val="00913185"/>
    <w:rsid w:val="00941E12"/>
    <w:rsid w:val="00945D8D"/>
    <w:rsid w:val="00960ED1"/>
    <w:rsid w:val="00971DC3"/>
    <w:rsid w:val="00986B6F"/>
    <w:rsid w:val="009933D7"/>
    <w:rsid w:val="009C4422"/>
    <w:rsid w:val="009D6FCE"/>
    <w:rsid w:val="009E0E01"/>
    <w:rsid w:val="009E4CF9"/>
    <w:rsid w:val="009F7B6E"/>
    <w:rsid w:val="00A01E1A"/>
    <w:rsid w:val="00A10C39"/>
    <w:rsid w:val="00A5462C"/>
    <w:rsid w:val="00A81AA3"/>
    <w:rsid w:val="00A975C1"/>
    <w:rsid w:val="00AA75CD"/>
    <w:rsid w:val="00AB56A4"/>
    <w:rsid w:val="00AD063F"/>
    <w:rsid w:val="00AE0F5C"/>
    <w:rsid w:val="00AE11A9"/>
    <w:rsid w:val="00B0063F"/>
    <w:rsid w:val="00B0296C"/>
    <w:rsid w:val="00B11235"/>
    <w:rsid w:val="00B37C0C"/>
    <w:rsid w:val="00B43FE7"/>
    <w:rsid w:val="00B620A0"/>
    <w:rsid w:val="00B77B22"/>
    <w:rsid w:val="00B8226B"/>
    <w:rsid w:val="00BA25E2"/>
    <w:rsid w:val="00BA375D"/>
    <w:rsid w:val="00BB01EC"/>
    <w:rsid w:val="00BB1401"/>
    <w:rsid w:val="00BF1086"/>
    <w:rsid w:val="00C2092C"/>
    <w:rsid w:val="00C21CC8"/>
    <w:rsid w:val="00C47138"/>
    <w:rsid w:val="00C56150"/>
    <w:rsid w:val="00C614B5"/>
    <w:rsid w:val="00C61FA8"/>
    <w:rsid w:val="00C64B75"/>
    <w:rsid w:val="00C74967"/>
    <w:rsid w:val="00C75845"/>
    <w:rsid w:val="00C76AF6"/>
    <w:rsid w:val="00C94C91"/>
    <w:rsid w:val="00CA600F"/>
    <w:rsid w:val="00CB7C64"/>
    <w:rsid w:val="00CE5EFE"/>
    <w:rsid w:val="00CF567D"/>
    <w:rsid w:val="00D16CB8"/>
    <w:rsid w:val="00D321A5"/>
    <w:rsid w:val="00D36B5C"/>
    <w:rsid w:val="00D537F5"/>
    <w:rsid w:val="00D75E34"/>
    <w:rsid w:val="00D97AE5"/>
    <w:rsid w:val="00DA10EB"/>
    <w:rsid w:val="00DA2857"/>
    <w:rsid w:val="00DB45E6"/>
    <w:rsid w:val="00DC4A75"/>
    <w:rsid w:val="00DD3911"/>
    <w:rsid w:val="00DE36E0"/>
    <w:rsid w:val="00DE60CA"/>
    <w:rsid w:val="00E016B5"/>
    <w:rsid w:val="00E02F7A"/>
    <w:rsid w:val="00E24896"/>
    <w:rsid w:val="00E37F3D"/>
    <w:rsid w:val="00E411C5"/>
    <w:rsid w:val="00E427E8"/>
    <w:rsid w:val="00E86406"/>
    <w:rsid w:val="00E8772F"/>
    <w:rsid w:val="00E91BD4"/>
    <w:rsid w:val="00EA2ABE"/>
    <w:rsid w:val="00EA6991"/>
    <w:rsid w:val="00EE16DA"/>
    <w:rsid w:val="00F0162D"/>
    <w:rsid w:val="00F509C5"/>
    <w:rsid w:val="00F70B9D"/>
    <w:rsid w:val="00F743C1"/>
    <w:rsid w:val="00F91A61"/>
    <w:rsid w:val="00FA1231"/>
    <w:rsid w:val="00FB5F14"/>
    <w:rsid w:val="00FB6356"/>
    <w:rsid w:val="00FC3D95"/>
    <w:rsid w:val="00FC5A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87AB65"/>
  <w15:chartTrackingRefBased/>
  <w15:docId w15:val="{407C51DE-6AC1-4CE2-BEB9-D4A63914E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2C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52C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52C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52C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52C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2C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2C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2C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2C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C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52C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52C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52C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052C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2C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2C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2C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2C54"/>
    <w:rPr>
      <w:rFonts w:eastAsiaTheme="majorEastAsia" w:cstheme="majorBidi"/>
      <w:color w:val="272727" w:themeColor="text1" w:themeTint="D8"/>
    </w:rPr>
  </w:style>
  <w:style w:type="paragraph" w:styleId="Title">
    <w:name w:val="Title"/>
    <w:basedOn w:val="Normal"/>
    <w:next w:val="Normal"/>
    <w:link w:val="TitleChar"/>
    <w:uiPriority w:val="10"/>
    <w:qFormat/>
    <w:rsid w:val="00052C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2C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2C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2C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2C54"/>
    <w:pPr>
      <w:spacing w:before="160"/>
      <w:jc w:val="center"/>
    </w:pPr>
    <w:rPr>
      <w:i/>
      <w:iCs/>
      <w:color w:val="404040" w:themeColor="text1" w:themeTint="BF"/>
    </w:rPr>
  </w:style>
  <w:style w:type="character" w:customStyle="1" w:styleId="QuoteChar">
    <w:name w:val="Quote Char"/>
    <w:basedOn w:val="DefaultParagraphFont"/>
    <w:link w:val="Quote"/>
    <w:uiPriority w:val="29"/>
    <w:rsid w:val="00052C54"/>
    <w:rPr>
      <w:i/>
      <w:iCs/>
      <w:color w:val="404040" w:themeColor="text1" w:themeTint="BF"/>
    </w:rPr>
  </w:style>
  <w:style w:type="paragraph" w:styleId="ListParagraph">
    <w:name w:val="List Paragraph"/>
    <w:basedOn w:val="Normal"/>
    <w:uiPriority w:val="34"/>
    <w:qFormat/>
    <w:rsid w:val="00052C54"/>
    <w:pPr>
      <w:ind w:left="720"/>
      <w:contextualSpacing/>
    </w:pPr>
  </w:style>
  <w:style w:type="character" w:styleId="IntenseEmphasis">
    <w:name w:val="Intense Emphasis"/>
    <w:basedOn w:val="DefaultParagraphFont"/>
    <w:uiPriority w:val="21"/>
    <w:qFormat/>
    <w:rsid w:val="00052C54"/>
    <w:rPr>
      <w:i/>
      <w:iCs/>
      <w:color w:val="0F4761" w:themeColor="accent1" w:themeShade="BF"/>
    </w:rPr>
  </w:style>
  <w:style w:type="paragraph" w:styleId="IntenseQuote">
    <w:name w:val="Intense Quote"/>
    <w:basedOn w:val="Normal"/>
    <w:next w:val="Normal"/>
    <w:link w:val="IntenseQuoteChar"/>
    <w:uiPriority w:val="30"/>
    <w:qFormat/>
    <w:rsid w:val="00052C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2C54"/>
    <w:rPr>
      <w:i/>
      <w:iCs/>
      <w:color w:val="0F4761" w:themeColor="accent1" w:themeShade="BF"/>
    </w:rPr>
  </w:style>
  <w:style w:type="character" w:styleId="IntenseReference">
    <w:name w:val="Intense Reference"/>
    <w:basedOn w:val="DefaultParagraphFont"/>
    <w:uiPriority w:val="32"/>
    <w:qFormat/>
    <w:rsid w:val="00052C54"/>
    <w:rPr>
      <w:b/>
      <w:bCs/>
      <w:smallCaps/>
      <w:color w:val="0F4761" w:themeColor="accent1" w:themeShade="BF"/>
      <w:spacing w:val="5"/>
    </w:rPr>
  </w:style>
  <w:style w:type="paragraph" w:styleId="Caption">
    <w:name w:val="caption"/>
    <w:basedOn w:val="Normal"/>
    <w:next w:val="Normal"/>
    <w:link w:val="CaptionChar"/>
    <w:unhideWhenUsed/>
    <w:qFormat/>
    <w:rsid w:val="00441F48"/>
    <w:pPr>
      <w:spacing w:after="200" w:line="240" w:lineRule="auto"/>
    </w:pPr>
    <w:rPr>
      <w:i/>
      <w:iCs/>
      <w:color w:val="0E2841" w:themeColor="text2"/>
      <w:sz w:val="18"/>
      <w:szCs w:val="18"/>
    </w:rPr>
  </w:style>
  <w:style w:type="table" w:styleId="TableGrid">
    <w:name w:val="Table Grid"/>
    <w:basedOn w:val="TableNormal"/>
    <w:uiPriority w:val="39"/>
    <w:rsid w:val="00FC3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FC3D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F1086"/>
    <w:rPr>
      <w:color w:val="467886" w:themeColor="hyperlink"/>
      <w:u w:val="single"/>
    </w:rPr>
  </w:style>
  <w:style w:type="character" w:styleId="UnresolvedMention">
    <w:name w:val="Unresolved Mention"/>
    <w:basedOn w:val="DefaultParagraphFont"/>
    <w:uiPriority w:val="99"/>
    <w:semiHidden/>
    <w:unhideWhenUsed/>
    <w:rsid w:val="00BF1086"/>
    <w:rPr>
      <w:color w:val="605E5C"/>
      <w:shd w:val="clear" w:color="auto" w:fill="E1DFDD"/>
    </w:rPr>
  </w:style>
  <w:style w:type="table" w:styleId="PlainTable3">
    <w:name w:val="Plain Table 3"/>
    <w:basedOn w:val="TableNormal"/>
    <w:uiPriority w:val="43"/>
    <w:rsid w:val="001B05A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DB45E6"/>
    <w:rPr>
      <w:color w:val="666666"/>
    </w:rPr>
  </w:style>
  <w:style w:type="character" w:customStyle="1" w:styleId="CaptionChar">
    <w:name w:val="Caption Char"/>
    <w:basedOn w:val="DefaultParagraphFont"/>
    <w:link w:val="Caption"/>
    <w:locked/>
    <w:rsid w:val="00296C55"/>
    <w:rPr>
      <w:i/>
      <w:iCs/>
      <w:color w:val="0E2841" w:themeColor="text2"/>
      <w:sz w:val="18"/>
      <w:szCs w:val="18"/>
    </w:rPr>
  </w:style>
  <w:style w:type="paragraph" w:customStyle="1" w:styleId="Abstract">
    <w:name w:val="Abstract"/>
    <w:basedOn w:val="Normal"/>
    <w:next w:val="Normal"/>
    <w:qFormat/>
    <w:rsid w:val="005E16B4"/>
    <w:pPr>
      <w:spacing w:before="360" w:after="300" w:line="360" w:lineRule="auto"/>
      <w:ind w:left="720" w:right="567"/>
      <w:contextualSpacing/>
    </w:pPr>
    <w:rPr>
      <w:rFonts w:ascii="Times New Roman" w:eastAsia="Times New Roman" w:hAnsi="Times New Roman" w:cs="Times New Roman"/>
      <w:kern w:val="0"/>
      <w:szCs w:val="24"/>
      <w:lang w:val="en-GB" w:eastAsia="en-GB"/>
    </w:rPr>
  </w:style>
  <w:style w:type="paragraph" w:styleId="Bibliography">
    <w:name w:val="Bibliography"/>
    <w:basedOn w:val="Normal"/>
    <w:next w:val="Normal"/>
    <w:uiPriority w:val="37"/>
    <w:unhideWhenUsed/>
    <w:rsid w:val="00637C88"/>
  </w:style>
  <w:style w:type="paragraph" w:styleId="TableofFigures">
    <w:name w:val="table of figures"/>
    <w:basedOn w:val="Normal"/>
    <w:next w:val="Normal"/>
    <w:uiPriority w:val="99"/>
    <w:unhideWhenUsed/>
    <w:rsid w:val="00E24896"/>
    <w:pPr>
      <w:spacing w:after="0"/>
    </w:pPr>
  </w:style>
  <w:style w:type="paragraph" w:styleId="Header">
    <w:name w:val="header"/>
    <w:basedOn w:val="Normal"/>
    <w:link w:val="HeaderChar"/>
    <w:uiPriority w:val="99"/>
    <w:unhideWhenUsed/>
    <w:rsid w:val="00FA12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231"/>
  </w:style>
  <w:style w:type="paragraph" w:styleId="Footer">
    <w:name w:val="footer"/>
    <w:basedOn w:val="Normal"/>
    <w:link w:val="FooterChar"/>
    <w:uiPriority w:val="99"/>
    <w:unhideWhenUsed/>
    <w:rsid w:val="00FA1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231"/>
  </w:style>
  <w:style w:type="paragraph" w:styleId="Revision">
    <w:name w:val="Revision"/>
    <w:hidden/>
    <w:uiPriority w:val="99"/>
    <w:semiHidden/>
    <w:rsid w:val="00264D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962">
      <w:bodyDiv w:val="1"/>
      <w:marLeft w:val="0"/>
      <w:marRight w:val="0"/>
      <w:marTop w:val="0"/>
      <w:marBottom w:val="0"/>
      <w:divBdr>
        <w:top w:val="none" w:sz="0" w:space="0" w:color="auto"/>
        <w:left w:val="none" w:sz="0" w:space="0" w:color="auto"/>
        <w:bottom w:val="none" w:sz="0" w:space="0" w:color="auto"/>
        <w:right w:val="none" w:sz="0" w:space="0" w:color="auto"/>
      </w:divBdr>
    </w:div>
    <w:div w:id="173541471">
      <w:bodyDiv w:val="1"/>
      <w:marLeft w:val="0"/>
      <w:marRight w:val="0"/>
      <w:marTop w:val="0"/>
      <w:marBottom w:val="0"/>
      <w:divBdr>
        <w:top w:val="none" w:sz="0" w:space="0" w:color="auto"/>
        <w:left w:val="none" w:sz="0" w:space="0" w:color="auto"/>
        <w:bottom w:val="none" w:sz="0" w:space="0" w:color="auto"/>
        <w:right w:val="none" w:sz="0" w:space="0" w:color="auto"/>
      </w:divBdr>
    </w:div>
    <w:div w:id="203560829">
      <w:bodyDiv w:val="1"/>
      <w:marLeft w:val="0"/>
      <w:marRight w:val="0"/>
      <w:marTop w:val="0"/>
      <w:marBottom w:val="0"/>
      <w:divBdr>
        <w:top w:val="none" w:sz="0" w:space="0" w:color="auto"/>
        <w:left w:val="none" w:sz="0" w:space="0" w:color="auto"/>
        <w:bottom w:val="none" w:sz="0" w:space="0" w:color="auto"/>
        <w:right w:val="none" w:sz="0" w:space="0" w:color="auto"/>
      </w:divBdr>
    </w:div>
    <w:div w:id="232349107">
      <w:bodyDiv w:val="1"/>
      <w:marLeft w:val="0"/>
      <w:marRight w:val="0"/>
      <w:marTop w:val="0"/>
      <w:marBottom w:val="0"/>
      <w:divBdr>
        <w:top w:val="none" w:sz="0" w:space="0" w:color="auto"/>
        <w:left w:val="none" w:sz="0" w:space="0" w:color="auto"/>
        <w:bottom w:val="none" w:sz="0" w:space="0" w:color="auto"/>
        <w:right w:val="none" w:sz="0" w:space="0" w:color="auto"/>
      </w:divBdr>
    </w:div>
    <w:div w:id="288828090">
      <w:bodyDiv w:val="1"/>
      <w:marLeft w:val="0"/>
      <w:marRight w:val="0"/>
      <w:marTop w:val="0"/>
      <w:marBottom w:val="0"/>
      <w:divBdr>
        <w:top w:val="none" w:sz="0" w:space="0" w:color="auto"/>
        <w:left w:val="none" w:sz="0" w:space="0" w:color="auto"/>
        <w:bottom w:val="none" w:sz="0" w:space="0" w:color="auto"/>
        <w:right w:val="none" w:sz="0" w:space="0" w:color="auto"/>
      </w:divBdr>
    </w:div>
    <w:div w:id="423962053">
      <w:bodyDiv w:val="1"/>
      <w:marLeft w:val="0"/>
      <w:marRight w:val="0"/>
      <w:marTop w:val="0"/>
      <w:marBottom w:val="0"/>
      <w:divBdr>
        <w:top w:val="none" w:sz="0" w:space="0" w:color="auto"/>
        <w:left w:val="none" w:sz="0" w:space="0" w:color="auto"/>
        <w:bottom w:val="none" w:sz="0" w:space="0" w:color="auto"/>
        <w:right w:val="none" w:sz="0" w:space="0" w:color="auto"/>
      </w:divBdr>
    </w:div>
    <w:div w:id="457987777">
      <w:bodyDiv w:val="1"/>
      <w:marLeft w:val="0"/>
      <w:marRight w:val="0"/>
      <w:marTop w:val="0"/>
      <w:marBottom w:val="0"/>
      <w:divBdr>
        <w:top w:val="none" w:sz="0" w:space="0" w:color="auto"/>
        <w:left w:val="none" w:sz="0" w:space="0" w:color="auto"/>
        <w:bottom w:val="none" w:sz="0" w:space="0" w:color="auto"/>
        <w:right w:val="none" w:sz="0" w:space="0" w:color="auto"/>
      </w:divBdr>
    </w:div>
    <w:div w:id="475027343">
      <w:bodyDiv w:val="1"/>
      <w:marLeft w:val="0"/>
      <w:marRight w:val="0"/>
      <w:marTop w:val="0"/>
      <w:marBottom w:val="0"/>
      <w:divBdr>
        <w:top w:val="none" w:sz="0" w:space="0" w:color="auto"/>
        <w:left w:val="none" w:sz="0" w:space="0" w:color="auto"/>
        <w:bottom w:val="none" w:sz="0" w:space="0" w:color="auto"/>
        <w:right w:val="none" w:sz="0" w:space="0" w:color="auto"/>
      </w:divBdr>
    </w:div>
    <w:div w:id="510608566">
      <w:bodyDiv w:val="1"/>
      <w:marLeft w:val="0"/>
      <w:marRight w:val="0"/>
      <w:marTop w:val="0"/>
      <w:marBottom w:val="0"/>
      <w:divBdr>
        <w:top w:val="none" w:sz="0" w:space="0" w:color="auto"/>
        <w:left w:val="none" w:sz="0" w:space="0" w:color="auto"/>
        <w:bottom w:val="none" w:sz="0" w:space="0" w:color="auto"/>
        <w:right w:val="none" w:sz="0" w:space="0" w:color="auto"/>
      </w:divBdr>
    </w:div>
    <w:div w:id="558369885">
      <w:bodyDiv w:val="1"/>
      <w:marLeft w:val="0"/>
      <w:marRight w:val="0"/>
      <w:marTop w:val="0"/>
      <w:marBottom w:val="0"/>
      <w:divBdr>
        <w:top w:val="none" w:sz="0" w:space="0" w:color="auto"/>
        <w:left w:val="none" w:sz="0" w:space="0" w:color="auto"/>
        <w:bottom w:val="none" w:sz="0" w:space="0" w:color="auto"/>
        <w:right w:val="none" w:sz="0" w:space="0" w:color="auto"/>
      </w:divBdr>
    </w:div>
    <w:div w:id="567307644">
      <w:bodyDiv w:val="1"/>
      <w:marLeft w:val="0"/>
      <w:marRight w:val="0"/>
      <w:marTop w:val="0"/>
      <w:marBottom w:val="0"/>
      <w:divBdr>
        <w:top w:val="none" w:sz="0" w:space="0" w:color="auto"/>
        <w:left w:val="none" w:sz="0" w:space="0" w:color="auto"/>
        <w:bottom w:val="none" w:sz="0" w:space="0" w:color="auto"/>
        <w:right w:val="none" w:sz="0" w:space="0" w:color="auto"/>
      </w:divBdr>
    </w:div>
    <w:div w:id="581763569">
      <w:bodyDiv w:val="1"/>
      <w:marLeft w:val="0"/>
      <w:marRight w:val="0"/>
      <w:marTop w:val="0"/>
      <w:marBottom w:val="0"/>
      <w:divBdr>
        <w:top w:val="none" w:sz="0" w:space="0" w:color="auto"/>
        <w:left w:val="none" w:sz="0" w:space="0" w:color="auto"/>
        <w:bottom w:val="none" w:sz="0" w:space="0" w:color="auto"/>
        <w:right w:val="none" w:sz="0" w:space="0" w:color="auto"/>
      </w:divBdr>
    </w:div>
    <w:div w:id="590165425">
      <w:bodyDiv w:val="1"/>
      <w:marLeft w:val="0"/>
      <w:marRight w:val="0"/>
      <w:marTop w:val="0"/>
      <w:marBottom w:val="0"/>
      <w:divBdr>
        <w:top w:val="none" w:sz="0" w:space="0" w:color="auto"/>
        <w:left w:val="none" w:sz="0" w:space="0" w:color="auto"/>
        <w:bottom w:val="none" w:sz="0" w:space="0" w:color="auto"/>
        <w:right w:val="none" w:sz="0" w:space="0" w:color="auto"/>
      </w:divBdr>
      <w:divsChild>
        <w:div w:id="181361306">
          <w:marLeft w:val="0"/>
          <w:marRight w:val="0"/>
          <w:marTop w:val="0"/>
          <w:marBottom w:val="0"/>
          <w:divBdr>
            <w:top w:val="single" w:sz="2" w:space="0" w:color="auto"/>
            <w:left w:val="single" w:sz="2" w:space="0" w:color="auto"/>
            <w:bottom w:val="single" w:sz="2" w:space="0" w:color="auto"/>
            <w:right w:val="single" w:sz="2" w:space="0" w:color="auto"/>
          </w:divBdr>
        </w:div>
        <w:div w:id="431629135">
          <w:marLeft w:val="0"/>
          <w:marRight w:val="0"/>
          <w:marTop w:val="0"/>
          <w:marBottom w:val="0"/>
          <w:divBdr>
            <w:top w:val="single" w:sz="2" w:space="0" w:color="auto"/>
            <w:left w:val="single" w:sz="2" w:space="0" w:color="auto"/>
            <w:bottom w:val="single" w:sz="2" w:space="0" w:color="auto"/>
            <w:right w:val="single" w:sz="2" w:space="0" w:color="auto"/>
          </w:divBdr>
          <w:divsChild>
            <w:div w:id="18983222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17958328">
      <w:bodyDiv w:val="1"/>
      <w:marLeft w:val="0"/>
      <w:marRight w:val="0"/>
      <w:marTop w:val="0"/>
      <w:marBottom w:val="0"/>
      <w:divBdr>
        <w:top w:val="none" w:sz="0" w:space="0" w:color="auto"/>
        <w:left w:val="none" w:sz="0" w:space="0" w:color="auto"/>
        <w:bottom w:val="none" w:sz="0" w:space="0" w:color="auto"/>
        <w:right w:val="none" w:sz="0" w:space="0" w:color="auto"/>
      </w:divBdr>
    </w:div>
    <w:div w:id="635333288">
      <w:bodyDiv w:val="1"/>
      <w:marLeft w:val="0"/>
      <w:marRight w:val="0"/>
      <w:marTop w:val="0"/>
      <w:marBottom w:val="0"/>
      <w:divBdr>
        <w:top w:val="none" w:sz="0" w:space="0" w:color="auto"/>
        <w:left w:val="none" w:sz="0" w:space="0" w:color="auto"/>
        <w:bottom w:val="none" w:sz="0" w:space="0" w:color="auto"/>
        <w:right w:val="none" w:sz="0" w:space="0" w:color="auto"/>
      </w:divBdr>
    </w:div>
    <w:div w:id="666516727">
      <w:bodyDiv w:val="1"/>
      <w:marLeft w:val="0"/>
      <w:marRight w:val="0"/>
      <w:marTop w:val="0"/>
      <w:marBottom w:val="0"/>
      <w:divBdr>
        <w:top w:val="none" w:sz="0" w:space="0" w:color="auto"/>
        <w:left w:val="none" w:sz="0" w:space="0" w:color="auto"/>
        <w:bottom w:val="none" w:sz="0" w:space="0" w:color="auto"/>
        <w:right w:val="none" w:sz="0" w:space="0" w:color="auto"/>
      </w:divBdr>
    </w:div>
    <w:div w:id="693309427">
      <w:bodyDiv w:val="1"/>
      <w:marLeft w:val="0"/>
      <w:marRight w:val="0"/>
      <w:marTop w:val="0"/>
      <w:marBottom w:val="0"/>
      <w:divBdr>
        <w:top w:val="none" w:sz="0" w:space="0" w:color="auto"/>
        <w:left w:val="none" w:sz="0" w:space="0" w:color="auto"/>
        <w:bottom w:val="none" w:sz="0" w:space="0" w:color="auto"/>
        <w:right w:val="none" w:sz="0" w:space="0" w:color="auto"/>
      </w:divBdr>
    </w:div>
    <w:div w:id="711077322">
      <w:bodyDiv w:val="1"/>
      <w:marLeft w:val="0"/>
      <w:marRight w:val="0"/>
      <w:marTop w:val="0"/>
      <w:marBottom w:val="0"/>
      <w:divBdr>
        <w:top w:val="none" w:sz="0" w:space="0" w:color="auto"/>
        <w:left w:val="none" w:sz="0" w:space="0" w:color="auto"/>
        <w:bottom w:val="none" w:sz="0" w:space="0" w:color="auto"/>
        <w:right w:val="none" w:sz="0" w:space="0" w:color="auto"/>
      </w:divBdr>
    </w:div>
    <w:div w:id="809593449">
      <w:bodyDiv w:val="1"/>
      <w:marLeft w:val="0"/>
      <w:marRight w:val="0"/>
      <w:marTop w:val="0"/>
      <w:marBottom w:val="0"/>
      <w:divBdr>
        <w:top w:val="none" w:sz="0" w:space="0" w:color="auto"/>
        <w:left w:val="none" w:sz="0" w:space="0" w:color="auto"/>
        <w:bottom w:val="none" w:sz="0" w:space="0" w:color="auto"/>
        <w:right w:val="none" w:sz="0" w:space="0" w:color="auto"/>
      </w:divBdr>
    </w:div>
    <w:div w:id="860246581">
      <w:bodyDiv w:val="1"/>
      <w:marLeft w:val="0"/>
      <w:marRight w:val="0"/>
      <w:marTop w:val="0"/>
      <w:marBottom w:val="0"/>
      <w:divBdr>
        <w:top w:val="none" w:sz="0" w:space="0" w:color="auto"/>
        <w:left w:val="none" w:sz="0" w:space="0" w:color="auto"/>
        <w:bottom w:val="none" w:sz="0" w:space="0" w:color="auto"/>
        <w:right w:val="none" w:sz="0" w:space="0" w:color="auto"/>
      </w:divBdr>
      <w:divsChild>
        <w:div w:id="182324428">
          <w:marLeft w:val="0"/>
          <w:marRight w:val="0"/>
          <w:marTop w:val="0"/>
          <w:marBottom w:val="0"/>
          <w:divBdr>
            <w:top w:val="single" w:sz="2" w:space="0" w:color="auto"/>
            <w:left w:val="single" w:sz="2" w:space="0" w:color="auto"/>
            <w:bottom w:val="single" w:sz="2" w:space="0" w:color="auto"/>
            <w:right w:val="single" w:sz="2" w:space="0" w:color="auto"/>
          </w:divBdr>
        </w:div>
        <w:div w:id="1468863511">
          <w:marLeft w:val="0"/>
          <w:marRight w:val="0"/>
          <w:marTop w:val="0"/>
          <w:marBottom w:val="0"/>
          <w:divBdr>
            <w:top w:val="single" w:sz="2" w:space="0" w:color="auto"/>
            <w:left w:val="single" w:sz="2" w:space="0" w:color="auto"/>
            <w:bottom w:val="single" w:sz="2" w:space="0" w:color="auto"/>
            <w:right w:val="single" w:sz="2" w:space="0" w:color="auto"/>
          </w:divBdr>
          <w:divsChild>
            <w:div w:id="20232387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57028583">
      <w:bodyDiv w:val="1"/>
      <w:marLeft w:val="0"/>
      <w:marRight w:val="0"/>
      <w:marTop w:val="0"/>
      <w:marBottom w:val="0"/>
      <w:divBdr>
        <w:top w:val="none" w:sz="0" w:space="0" w:color="auto"/>
        <w:left w:val="none" w:sz="0" w:space="0" w:color="auto"/>
        <w:bottom w:val="none" w:sz="0" w:space="0" w:color="auto"/>
        <w:right w:val="none" w:sz="0" w:space="0" w:color="auto"/>
      </w:divBdr>
    </w:div>
    <w:div w:id="972521116">
      <w:bodyDiv w:val="1"/>
      <w:marLeft w:val="0"/>
      <w:marRight w:val="0"/>
      <w:marTop w:val="0"/>
      <w:marBottom w:val="0"/>
      <w:divBdr>
        <w:top w:val="none" w:sz="0" w:space="0" w:color="auto"/>
        <w:left w:val="none" w:sz="0" w:space="0" w:color="auto"/>
        <w:bottom w:val="none" w:sz="0" w:space="0" w:color="auto"/>
        <w:right w:val="none" w:sz="0" w:space="0" w:color="auto"/>
      </w:divBdr>
    </w:div>
    <w:div w:id="993726610">
      <w:bodyDiv w:val="1"/>
      <w:marLeft w:val="0"/>
      <w:marRight w:val="0"/>
      <w:marTop w:val="0"/>
      <w:marBottom w:val="0"/>
      <w:divBdr>
        <w:top w:val="none" w:sz="0" w:space="0" w:color="auto"/>
        <w:left w:val="none" w:sz="0" w:space="0" w:color="auto"/>
        <w:bottom w:val="none" w:sz="0" w:space="0" w:color="auto"/>
        <w:right w:val="none" w:sz="0" w:space="0" w:color="auto"/>
      </w:divBdr>
    </w:div>
    <w:div w:id="1060791716">
      <w:bodyDiv w:val="1"/>
      <w:marLeft w:val="0"/>
      <w:marRight w:val="0"/>
      <w:marTop w:val="0"/>
      <w:marBottom w:val="0"/>
      <w:divBdr>
        <w:top w:val="none" w:sz="0" w:space="0" w:color="auto"/>
        <w:left w:val="none" w:sz="0" w:space="0" w:color="auto"/>
        <w:bottom w:val="none" w:sz="0" w:space="0" w:color="auto"/>
        <w:right w:val="none" w:sz="0" w:space="0" w:color="auto"/>
      </w:divBdr>
    </w:div>
    <w:div w:id="1122379227">
      <w:bodyDiv w:val="1"/>
      <w:marLeft w:val="0"/>
      <w:marRight w:val="0"/>
      <w:marTop w:val="0"/>
      <w:marBottom w:val="0"/>
      <w:divBdr>
        <w:top w:val="none" w:sz="0" w:space="0" w:color="auto"/>
        <w:left w:val="none" w:sz="0" w:space="0" w:color="auto"/>
        <w:bottom w:val="none" w:sz="0" w:space="0" w:color="auto"/>
        <w:right w:val="none" w:sz="0" w:space="0" w:color="auto"/>
      </w:divBdr>
    </w:div>
    <w:div w:id="1139687103">
      <w:bodyDiv w:val="1"/>
      <w:marLeft w:val="0"/>
      <w:marRight w:val="0"/>
      <w:marTop w:val="0"/>
      <w:marBottom w:val="0"/>
      <w:divBdr>
        <w:top w:val="none" w:sz="0" w:space="0" w:color="auto"/>
        <w:left w:val="none" w:sz="0" w:space="0" w:color="auto"/>
        <w:bottom w:val="none" w:sz="0" w:space="0" w:color="auto"/>
        <w:right w:val="none" w:sz="0" w:space="0" w:color="auto"/>
      </w:divBdr>
    </w:div>
    <w:div w:id="1187017743">
      <w:bodyDiv w:val="1"/>
      <w:marLeft w:val="0"/>
      <w:marRight w:val="0"/>
      <w:marTop w:val="0"/>
      <w:marBottom w:val="0"/>
      <w:divBdr>
        <w:top w:val="none" w:sz="0" w:space="0" w:color="auto"/>
        <w:left w:val="none" w:sz="0" w:space="0" w:color="auto"/>
        <w:bottom w:val="none" w:sz="0" w:space="0" w:color="auto"/>
        <w:right w:val="none" w:sz="0" w:space="0" w:color="auto"/>
      </w:divBdr>
    </w:div>
    <w:div w:id="1187132896">
      <w:bodyDiv w:val="1"/>
      <w:marLeft w:val="0"/>
      <w:marRight w:val="0"/>
      <w:marTop w:val="0"/>
      <w:marBottom w:val="0"/>
      <w:divBdr>
        <w:top w:val="none" w:sz="0" w:space="0" w:color="auto"/>
        <w:left w:val="none" w:sz="0" w:space="0" w:color="auto"/>
        <w:bottom w:val="none" w:sz="0" w:space="0" w:color="auto"/>
        <w:right w:val="none" w:sz="0" w:space="0" w:color="auto"/>
      </w:divBdr>
    </w:div>
    <w:div w:id="1190603329">
      <w:bodyDiv w:val="1"/>
      <w:marLeft w:val="0"/>
      <w:marRight w:val="0"/>
      <w:marTop w:val="0"/>
      <w:marBottom w:val="0"/>
      <w:divBdr>
        <w:top w:val="none" w:sz="0" w:space="0" w:color="auto"/>
        <w:left w:val="none" w:sz="0" w:space="0" w:color="auto"/>
        <w:bottom w:val="none" w:sz="0" w:space="0" w:color="auto"/>
        <w:right w:val="none" w:sz="0" w:space="0" w:color="auto"/>
      </w:divBdr>
    </w:div>
    <w:div w:id="1195382612">
      <w:bodyDiv w:val="1"/>
      <w:marLeft w:val="0"/>
      <w:marRight w:val="0"/>
      <w:marTop w:val="0"/>
      <w:marBottom w:val="0"/>
      <w:divBdr>
        <w:top w:val="none" w:sz="0" w:space="0" w:color="auto"/>
        <w:left w:val="none" w:sz="0" w:space="0" w:color="auto"/>
        <w:bottom w:val="none" w:sz="0" w:space="0" w:color="auto"/>
        <w:right w:val="none" w:sz="0" w:space="0" w:color="auto"/>
      </w:divBdr>
    </w:div>
    <w:div w:id="1237666091">
      <w:bodyDiv w:val="1"/>
      <w:marLeft w:val="0"/>
      <w:marRight w:val="0"/>
      <w:marTop w:val="0"/>
      <w:marBottom w:val="0"/>
      <w:divBdr>
        <w:top w:val="none" w:sz="0" w:space="0" w:color="auto"/>
        <w:left w:val="none" w:sz="0" w:space="0" w:color="auto"/>
        <w:bottom w:val="none" w:sz="0" w:space="0" w:color="auto"/>
        <w:right w:val="none" w:sz="0" w:space="0" w:color="auto"/>
      </w:divBdr>
    </w:div>
    <w:div w:id="1303345898">
      <w:bodyDiv w:val="1"/>
      <w:marLeft w:val="0"/>
      <w:marRight w:val="0"/>
      <w:marTop w:val="0"/>
      <w:marBottom w:val="0"/>
      <w:divBdr>
        <w:top w:val="none" w:sz="0" w:space="0" w:color="auto"/>
        <w:left w:val="none" w:sz="0" w:space="0" w:color="auto"/>
        <w:bottom w:val="none" w:sz="0" w:space="0" w:color="auto"/>
        <w:right w:val="none" w:sz="0" w:space="0" w:color="auto"/>
      </w:divBdr>
    </w:div>
    <w:div w:id="1398674893">
      <w:bodyDiv w:val="1"/>
      <w:marLeft w:val="0"/>
      <w:marRight w:val="0"/>
      <w:marTop w:val="0"/>
      <w:marBottom w:val="0"/>
      <w:divBdr>
        <w:top w:val="none" w:sz="0" w:space="0" w:color="auto"/>
        <w:left w:val="none" w:sz="0" w:space="0" w:color="auto"/>
        <w:bottom w:val="none" w:sz="0" w:space="0" w:color="auto"/>
        <w:right w:val="none" w:sz="0" w:space="0" w:color="auto"/>
      </w:divBdr>
    </w:div>
    <w:div w:id="1493448684">
      <w:bodyDiv w:val="1"/>
      <w:marLeft w:val="0"/>
      <w:marRight w:val="0"/>
      <w:marTop w:val="0"/>
      <w:marBottom w:val="0"/>
      <w:divBdr>
        <w:top w:val="none" w:sz="0" w:space="0" w:color="auto"/>
        <w:left w:val="none" w:sz="0" w:space="0" w:color="auto"/>
        <w:bottom w:val="none" w:sz="0" w:space="0" w:color="auto"/>
        <w:right w:val="none" w:sz="0" w:space="0" w:color="auto"/>
      </w:divBdr>
    </w:div>
    <w:div w:id="1537351115">
      <w:bodyDiv w:val="1"/>
      <w:marLeft w:val="0"/>
      <w:marRight w:val="0"/>
      <w:marTop w:val="0"/>
      <w:marBottom w:val="0"/>
      <w:divBdr>
        <w:top w:val="none" w:sz="0" w:space="0" w:color="auto"/>
        <w:left w:val="none" w:sz="0" w:space="0" w:color="auto"/>
        <w:bottom w:val="none" w:sz="0" w:space="0" w:color="auto"/>
        <w:right w:val="none" w:sz="0" w:space="0" w:color="auto"/>
      </w:divBdr>
      <w:divsChild>
        <w:div w:id="873075546">
          <w:marLeft w:val="0"/>
          <w:marRight w:val="0"/>
          <w:marTop w:val="0"/>
          <w:marBottom w:val="0"/>
          <w:divBdr>
            <w:top w:val="single" w:sz="2" w:space="0" w:color="auto"/>
            <w:left w:val="single" w:sz="2" w:space="0" w:color="auto"/>
            <w:bottom w:val="single" w:sz="2" w:space="0" w:color="auto"/>
            <w:right w:val="single" w:sz="2" w:space="0" w:color="auto"/>
          </w:divBdr>
        </w:div>
        <w:div w:id="877936046">
          <w:marLeft w:val="0"/>
          <w:marRight w:val="0"/>
          <w:marTop w:val="0"/>
          <w:marBottom w:val="0"/>
          <w:divBdr>
            <w:top w:val="single" w:sz="2" w:space="0" w:color="auto"/>
            <w:left w:val="single" w:sz="2" w:space="0" w:color="auto"/>
            <w:bottom w:val="single" w:sz="2" w:space="0" w:color="auto"/>
            <w:right w:val="single" w:sz="2" w:space="0" w:color="auto"/>
          </w:divBdr>
          <w:divsChild>
            <w:div w:id="17101036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47328073">
      <w:bodyDiv w:val="1"/>
      <w:marLeft w:val="0"/>
      <w:marRight w:val="0"/>
      <w:marTop w:val="0"/>
      <w:marBottom w:val="0"/>
      <w:divBdr>
        <w:top w:val="none" w:sz="0" w:space="0" w:color="auto"/>
        <w:left w:val="none" w:sz="0" w:space="0" w:color="auto"/>
        <w:bottom w:val="none" w:sz="0" w:space="0" w:color="auto"/>
        <w:right w:val="none" w:sz="0" w:space="0" w:color="auto"/>
      </w:divBdr>
    </w:div>
    <w:div w:id="1607615450">
      <w:bodyDiv w:val="1"/>
      <w:marLeft w:val="0"/>
      <w:marRight w:val="0"/>
      <w:marTop w:val="0"/>
      <w:marBottom w:val="0"/>
      <w:divBdr>
        <w:top w:val="none" w:sz="0" w:space="0" w:color="auto"/>
        <w:left w:val="none" w:sz="0" w:space="0" w:color="auto"/>
        <w:bottom w:val="none" w:sz="0" w:space="0" w:color="auto"/>
        <w:right w:val="none" w:sz="0" w:space="0" w:color="auto"/>
      </w:divBdr>
    </w:div>
    <w:div w:id="1624462958">
      <w:bodyDiv w:val="1"/>
      <w:marLeft w:val="0"/>
      <w:marRight w:val="0"/>
      <w:marTop w:val="0"/>
      <w:marBottom w:val="0"/>
      <w:divBdr>
        <w:top w:val="none" w:sz="0" w:space="0" w:color="auto"/>
        <w:left w:val="none" w:sz="0" w:space="0" w:color="auto"/>
        <w:bottom w:val="none" w:sz="0" w:space="0" w:color="auto"/>
        <w:right w:val="none" w:sz="0" w:space="0" w:color="auto"/>
      </w:divBdr>
    </w:div>
    <w:div w:id="1695956430">
      <w:bodyDiv w:val="1"/>
      <w:marLeft w:val="0"/>
      <w:marRight w:val="0"/>
      <w:marTop w:val="0"/>
      <w:marBottom w:val="0"/>
      <w:divBdr>
        <w:top w:val="none" w:sz="0" w:space="0" w:color="auto"/>
        <w:left w:val="none" w:sz="0" w:space="0" w:color="auto"/>
        <w:bottom w:val="none" w:sz="0" w:space="0" w:color="auto"/>
        <w:right w:val="none" w:sz="0" w:space="0" w:color="auto"/>
      </w:divBdr>
    </w:div>
    <w:div w:id="1730306944">
      <w:bodyDiv w:val="1"/>
      <w:marLeft w:val="0"/>
      <w:marRight w:val="0"/>
      <w:marTop w:val="0"/>
      <w:marBottom w:val="0"/>
      <w:divBdr>
        <w:top w:val="none" w:sz="0" w:space="0" w:color="auto"/>
        <w:left w:val="none" w:sz="0" w:space="0" w:color="auto"/>
        <w:bottom w:val="none" w:sz="0" w:space="0" w:color="auto"/>
        <w:right w:val="none" w:sz="0" w:space="0" w:color="auto"/>
      </w:divBdr>
    </w:div>
    <w:div w:id="1882745142">
      <w:bodyDiv w:val="1"/>
      <w:marLeft w:val="0"/>
      <w:marRight w:val="0"/>
      <w:marTop w:val="0"/>
      <w:marBottom w:val="0"/>
      <w:divBdr>
        <w:top w:val="none" w:sz="0" w:space="0" w:color="auto"/>
        <w:left w:val="none" w:sz="0" w:space="0" w:color="auto"/>
        <w:bottom w:val="none" w:sz="0" w:space="0" w:color="auto"/>
        <w:right w:val="none" w:sz="0" w:space="0" w:color="auto"/>
      </w:divBdr>
    </w:div>
    <w:div w:id="1921981597">
      <w:bodyDiv w:val="1"/>
      <w:marLeft w:val="0"/>
      <w:marRight w:val="0"/>
      <w:marTop w:val="0"/>
      <w:marBottom w:val="0"/>
      <w:divBdr>
        <w:top w:val="none" w:sz="0" w:space="0" w:color="auto"/>
        <w:left w:val="none" w:sz="0" w:space="0" w:color="auto"/>
        <w:bottom w:val="none" w:sz="0" w:space="0" w:color="auto"/>
        <w:right w:val="none" w:sz="0" w:space="0" w:color="auto"/>
      </w:divBdr>
    </w:div>
    <w:div w:id="1964996873">
      <w:bodyDiv w:val="1"/>
      <w:marLeft w:val="0"/>
      <w:marRight w:val="0"/>
      <w:marTop w:val="0"/>
      <w:marBottom w:val="0"/>
      <w:divBdr>
        <w:top w:val="none" w:sz="0" w:space="0" w:color="auto"/>
        <w:left w:val="none" w:sz="0" w:space="0" w:color="auto"/>
        <w:bottom w:val="none" w:sz="0" w:space="0" w:color="auto"/>
        <w:right w:val="none" w:sz="0" w:space="0" w:color="auto"/>
      </w:divBdr>
    </w:div>
    <w:div w:id="1999917916">
      <w:bodyDiv w:val="1"/>
      <w:marLeft w:val="0"/>
      <w:marRight w:val="0"/>
      <w:marTop w:val="0"/>
      <w:marBottom w:val="0"/>
      <w:divBdr>
        <w:top w:val="none" w:sz="0" w:space="0" w:color="auto"/>
        <w:left w:val="none" w:sz="0" w:space="0" w:color="auto"/>
        <w:bottom w:val="none" w:sz="0" w:space="0" w:color="auto"/>
        <w:right w:val="none" w:sz="0" w:space="0" w:color="auto"/>
      </w:divBdr>
    </w:div>
    <w:div w:id="2045859411">
      <w:bodyDiv w:val="1"/>
      <w:marLeft w:val="0"/>
      <w:marRight w:val="0"/>
      <w:marTop w:val="0"/>
      <w:marBottom w:val="0"/>
      <w:divBdr>
        <w:top w:val="none" w:sz="0" w:space="0" w:color="auto"/>
        <w:left w:val="none" w:sz="0" w:space="0" w:color="auto"/>
        <w:bottom w:val="none" w:sz="0" w:space="0" w:color="auto"/>
        <w:right w:val="none" w:sz="0" w:space="0" w:color="auto"/>
      </w:divBdr>
    </w:div>
    <w:div w:id="2052803856">
      <w:bodyDiv w:val="1"/>
      <w:marLeft w:val="0"/>
      <w:marRight w:val="0"/>
      <w:marTop w:val="0"/>
      <w:marBottom w:val="0"/>
      <w:divBdr>
        <w:top w:val="none" w:sz="0" w:space="0" w:color="auto"/>
        <w:left w:val="none" w:sz="0" w:space="0" w:color="auto"/>
        <w:bottom w:val="none" w:sz="0" w:space="0" w:color="auto"/>
        <w:right w:val="none" w:sz="0" w:space="0" w:color="auto"/>
      </w:divBdr>
    </w:div>
    <w:div w:id="211328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microsoft.com/office/2014/relationships/chartEx" Target="charts/chartEx1.xml"/><Relationship Id="rId39" Type="http://schemas.openxmlformats.org/officeDocument/2006/relationships/image" Target="media/image11.png"/><Relationship Id="rId21" Type="http://schemas.openxmlformats.org/officeDocument/2006/relationships/diagramQuickStyle" Target="diagrams/quickStyle2.xml"/><Relationship Id="rId34" Type="http://schemas.openxmlformats.org/officeDocument/2006/relationships/chart" Target="charts/chart5.xml"/><Relationship Id="rId42" Type="http://schemas.openxmlformats.org/officeDocument/2006/relationships/image" Target="media/image12.png"/><Relationship Id="rId47" Type="http://schemas.microsoft.com/office/2014/relationships/chartEx" Target="charts/chartEx8.xml"/><Relationship Id="rId50" Type="http://schemas.microsoft.com/office/2014/relationships/chartEx" Target="charts/chartEx9.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microsoft.com/office/2014/relationships/chartEx" Target="charts/chartEx2.xml"/><Relationship Id="rId11" Type="http://schemas.openxmlformats.org/officeDocument/2006/relationships/image" Target="media/image4.png"/><Relationship Id="rId24" Type="http://schemas.openxmlformats.org/officeDocument/2006/relationships/chart" Target="charts/chart1.xml"/><Relationship Id="rId32" Type="http://schemas.microsoft.com/office/2014/relationships/chartEx" Target="charts/chartEx3.xml"/><Relationship Id="rId37" Type="http://schemas.openxmlformats.org/officeDocument/2006/relationships/chart" Target="charts/chart6.xml"/><Relationship Id="rId40" Type="http://schemas.openxmlformats.org/officeDocument/2006/relationships/chart" Target="charts/chart7.xml"/><Relationship Id="rId45" Type="http://schemas.openxmlformats.org/officeDocument/2006/relationships/image" Target="media/image13.png"/><Relationship Id="rId53" Type="http://schemas.openxmlformats.org/officeDocument/2006/relationships/chart" Target="charts/chart1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diagramData" Target="diagrams/data2.xml"/><Relationship Id="rId31" Type="http://schemas.openxmlformats.org/officeDocument/2006/relationships/chart" Target="charts/chart4.xml"/><Relationship Id="rId44" Type="http://schemas.microsoft.com/office/2014/relationships/chartEx" Target="charts/chartEx7.xml"/><Relationship Id="rId52"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7.png"/><Relationship Id="rId30" Type="http://schemas.openxmlformats.org/officeDocument/2006/relationships/image" Target="media/image8.png"/><Relationship Id="rId35" Type="http://schemas.microsoft.com/office/2014/relationships/chartEx" Target="charts/chartEx4.xml"/><Relationship Id="rId43" Type="http://schemas.openxmlformats.org/officeDocument/2006/relationships/chart" Target="charts/chart8.xml"/><Relationship Id="rId48" Type="http://schemas.openxmlformats.org/officeDocument/2006/relationships/image" Target="media/image1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chart" Target="charts/chart2.xml"/><Relationship Id="rId33" Type="http://schemas.openxmlformats.org/officeDocument/2006/relationships/image" Target="media/image9.png"/><Relationship Id="rId38" Type="http://schemas.microsoft.com/office/2014/relationships/chartEx" Target="charts/chartEx5.xml"/><Relationship Id="rId46" Type="http://schemas.openxmlformats.org/officeDocument/2006/relationships/chart" Target="charts/chart9.xml"/><Relationship Id="rId20" Type="http://schemas.openxmlformats.org/officeDocument/2006/relationships/diagramLayout" Target="diagrams/layout2.xml"/><Relationship Id="rId41" Type="http://schemas.microsoft.com/office/2014/relationships/chartEx" Target="charts/chartEx6.xml"/><Relationship Id="rId54"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chart" Target="charts/chart3.xml"/><Relationship Id="rId36" Type="http://schemas.openxmlformats.org/officeDocument/2006/relationships/image" Target="media/image10.png"/><Relationship Id="rId49"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oleObject" Target="file:///C:\PhD\WaPOR%20v3%20-%20Decadal%20-%2001012028-20102024%20(version%201).xlsb.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PhD\WaPOR%20v3%20-%20Decadal%20-%2001012028-20102024%20(version%201).xlsb.xlsx" TargetMode="External"/><Relationship Id="rId2" Type="http://schemas.microsoft.com/office/2011/relationships/chartColorStyle" Target="colors18.xml"/><Relationship Id="rId1" Type="http://schemas.microsoft.com/office/2011/relationships/chartStyle" Target="style18.xml"/></Relationships>
</file>

<file path=word/charts/_rels/chart11.xml.rels><?xml version="1.0" encoding="UTF-8" standalone="yes"?>
<Relationships xmlns="http://schemas.openxmlformats.org/package/2006/relationships"><Relationship Id="rId3" Type="http://schemas.openxmlformats.org/officeDocument/2006/relationships/oleObject" Target="file:///C:\PhD\tst.xlsx" TargetMode="External"/><Relationship Id="rId2" Type="http://schemas.microsoft.com/office/2011/relationships/chartColorStyle" Target="colors20.xml"/><Relationship Id="rId1" Type="http://schemas.microsoft.com/office/2011/relationships/chartStyle" Target="style20.xml"/></Relationships>
</file>

<file path=word/charts/_rels/chart12.xml.rels><?xml version="1.0" encoding="UTF-8" standalone="yes"?>
<Relationships xmlns="http://schemas.openxmlformats.org/package/2006/relationships"><Relationship Id="rId3" Type="http://schemas.openxmlformats.org/officeDocument/2006/relationships/oleObject" Target="file:///C:\PhD\tst.xlsx" TargetMode="External"/><Relationship Id="rId2" Type="http://schemas.microsoft.com/office/2011/relationships/chartColorStyle" Target="colors21.xml"/><Relationship Id="rId1" Type="http://schemas.microsoft.com/office/2011/relationships/chartStyle" Target="style21.xml"/></Relationships>
</file>

<file path=word/charts/_rels/chart13.xml.rels><?xml version="1.0" encoding="UTF-8" standalone="yes"?>
<Relationships xmlns="http://schemas.openxmlformats.org/package/2006/relationships"><Relationship Id="rId3" Type="http://schemas.openxmlformats.org/officeDocument/2006/relationships/oleObject" Target="file:///C:\PhD\tst.xlsx" TargetMode="External"/><Relationship Id="rId2" Type="http://schemas.microsoft.com/office/2011/relationships/chartColorStyle" Target="colors22.xml"/><Relationship Id="rId1" Type="http://schemas.microsoft.com/office/2011/relationships/chartStyle" Target="style22.xml"/></Relationships>
</file>

<file path=word/charts/_rels/chart2.xml.rels><?xml version="1.0" encoding="UTF-8" standalone="yes"?>
<Relationships xmlns="http://schemas.openxmlformats.org/package/2006/relationships"><Relationship Id="rId3" Type="http://schemas.openxmlformats.org/officeDocument/2006/relationships/oleObject" Target="file:///C:\PhD\WaPOR%20v3%20-%20Decadal%20-%2001012028-20102024%20(version%201).xls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PhD\WaPOR%20v3%20-%20Decadal%20-%2001012028-20102024%20(version%201).xlsb.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PhD\WaPOR%20v3%20-%20Decadal%20-%2001012028-20102024%20(version%201).xlsb.xlsx" TargetMode="External"/><Relationship Id="rId2" Type="http://schemas.microsoft.com/office/2011/relationships/chartColorStyle" Target="colors6.xml"/><Relationship Id="rId1" Type="http://schemas.microsoft.com/office/2011/relationships/chartStyle" Target="style6.xml"/></Relationships>
</file>

<file path=word/charts/_rels/chart5.xml.rels><?xml version="1.0" encoding="UTF-8" standalone="yes"?>
<Relationships xmlns="http://schemas.openxmlformats.org/package/2006/relationships"><Relationship Id="rId3" Type="http://schemas.openxmlformats.org/officeDocument/2006/relationships/oleObject" Target="file:///C:\PhD\WaPOR%20v3%20-%20Decadal%20-%2001012028-20102024%20(version%201).xlsb.xlsx" TargetMode="External"/><Relationship Id="rId2" Type="http://schemas.microsoft.com/office/2011/relationships/chartColorStyle" Target="colors8.xml"/><Relationship Id="rId1" Type="http://schemas.microsoft.com/office/2011/relationships/chartStyle" Target="style8.xml"/></Relationships>
</file>

<file path=word/charts/_rels/chart6.xml.rels><?xml version="1.0" encoding="UTF-8" standalone="yes"?>
<Relationships xmlns="http://schemas.openxmlformats.org/package/2006/relationships"><Relationship Id="rId3" Type="http://schemas.openxmlformats.org/officeDocument/2006/relationships/oleObject" Target="file:///C:\PhD\WaPOR%20v3%20-%20Decadal%20-%2001012028-20102024%20(version%201).xlsb.xlsx" TargetMode="External"/><Relationship Id="rId2" Type="http://schemas.microsoft.com/office/2011/relationships/chartColorStyle" Target="colors10.xml"/><Relationship Id="rId1" Type="http://schemas.microsoft.com/office/2011/relationships/chartStyle" Target="style10.xml"/></Relationships>
</file>

<file path=word/charts/_rels/chart7.xml.rels><?xml version="1.0" encoding="UTF-8" standalone="yes"?>
<Relationships xmlns="http://schemas.openxmlformats.org/package/2006/relationships"><Relationship Id="rId3" Type="http://schemas.openxmlformats.org/officeDocument/2006/relationships/oleObject" Target="file:///C:\PhD\WaPOR%20v3%20-%20Decadal%20-%2001012028-20102024%20(version%201).xlsb.xlsx" TargetMode="External"/><Relationship Id="rId2" Type="http://schemas.microsoft.com/office/2011/relationships/chartColorStyle" Target="colors12.xml"/><Relationship Id="rId1" Type="http://schemas.microsoft.com/office/2011/relationships/chartStyle" Target="style12.xml"/></Relationships>
</file>

<file path=word/charts/_rels/chart8.xml.rels><?xml version="1.0" encoding="UTF-8" standalone="yes"?>
<Relationships xmlns="http://schemas.openxmlformats.org/package/2006/relationships"><Relationship Id="rId3" Type="http://schemas.openxmlformats.org/officeDocument/2006/relationships/oleObject" Target="file:///C:\PhD\WaPOR%20v3%20-%20Decadal%20-%2001012028-20102024%20(version%201).xlsb.xlsx" TargetMode="External"/><Relationship Id="rId2" Type="http://schemas.microsoft.com/office/2011/relationships/chartColorStyle" Target="colors14.xml"/><Relationship Id="rId1" Type="http://schemas.microsoft.com/office/2011/relationships/chartStyle" Target="style14.xml"/></Relationships>
</file>

<file path=word/charts/_rels/chart9.xml.rels><?xml version="1.0" encoding="UTF-8" standalone="yes"?>
<Relationships xmlns="http://schemas.openxmlformats.org/package/2006/relationships"><Relationship Id="rId3" Type="http://schemas.openxmlformats.org/officeDocument/2006/relationships/oleObject" Target="file:///C:\PhD\WaPOR%20v3%20-%20Decadal%20-%2001012028-20102024%20(version%201).xlsb.xlsx" TargetMode="External"/><Relationship Id="rId2" Type="http://schemas.microsoft.com/office/2011/relationships/chartColorStyle" Target="colors16.xml"/><Relationship Id="rId1" Type="http://schemas.microsoft.com/office/2011/relationships/chartStyle" Target="style16.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PhD\WaPOR%20v3%20-%20Decadal%20-%2001012028-20102024%20(version%201).xlsb.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PhD\WaPOR%20v3%20-%20Decadal%20-%2001012028-20102024%20(version%201).xlsb.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PhD\WaPOR%20v3%20-%20Decadal%20-%2001012028-20102024%20(version%201).xlsb.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PhD\WaPOR%20v3%20-%20Decadal%20-%2001012028-20102024%20(version%201).xlsb.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PhD\WaPOR%20v3%20-%20Decadal%20-%2001012028-20102024%20(version%201).xlsb.xlsx"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C:\PhD\WaPOR%20v3%20-%20Decadal%20-%2001012028-20102024%20(version%201).xlsb.xlsx" TargetMode="External"/></Relationships>
</file>

<file path=word/charts/_rels/chartEx7.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C:\PhD\WaPOR%20v3%20-%20Decadal%20-%2001012028-20102024%20(version%201).xlsb.xlsx" TargetMode="External"/></Relationships>
</file>

<file path=word/charts/_rels/chartEx8.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PhD\WaPOR%20v3%20-%20Decadal%20-%2001012028-20102024%20(version%201).xlsb.xlsx" TargetMode="External"/></Relationships>
</file>

<file path=word/charts/_rels/chartEx9.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file:///C:\PhD\WaPOR%20v3%20-%20Decadal%20-%2001012028-20102024%20(version%201).xls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In-Situ Data
(Actual Evapotranspiration)</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'In-Situ (2)'!$B$1</c:f>
              <c:strCache>
                <c:ptCount val="1"/>
                <c:pt idx="0">
                  <c:v>Wheat</c:v>
                </c:pt>
              </c:strCache>
            </c:strRef>
          </c:tx>
          <c:spPr>
            <a:ln w="12700" cap="rnd">
              <a:solidFill>
                <a:schemeClr val="accent6"/>
              </a:solidFill>
              <a:round/>
            </a:ln>
            <a:effectLst/>
          </c:spPr>
          <c:marker>
            <c:symbol val="none"/>
          </c:marker>
          <c:cat>
            <c:numRef>
              <c:f>'In-Situ (2)'!$A$336:$A$1385</c:f>
              <c:numCache>
                <c:formatCode>[$-409]d\-mmm\-yy;@</c:formatCode>
                <c:ptCount val="1050"/>
                <c:pt idx="0">
                  <c:v>43800</c:v>
                </c:pt>
                <c:pt idx="1">
                  <c:v>43801</c:v>
                </c:pt>
                <c:pt idx="2">
                  <c:v>43802</c:v>
                </c:pt>
                <c:pt idx="3">
                  <c:v>43803</c:v>
                </c:pt>
                <c:pt idx="4">
                  <c:v>43804</c:v>
                </c:pt>
                <c:pt idx="5">
                  <c:v>43805</c:v>
                </c:pt>
                <c:pt idx="6">
                  <c:v>43806</c:v>
                </c:pt>
                <c:pt idx="7">
                  <c:v>43807</c:v>
                </c:pt>
                <c:pt idx="8">
                  <c:v>43808</c:v>
                </c:pt>
                <c:pt idx="9">
                  <c:v>43809</c:v>
                </c:pt>
                <c:pt idx="10">
                  <c:v>43810</c:v>
                </c:pt>
                <c:pt idx="11">
                  <c:v>43811</c:v>
                </c:pt>
                <c:pt idx="12">
                  <c:v>43812</c:v>
                </c:pt>
                <c:pt idx="13">
                  <c:v>43813</c:v>
                </c:pt>
                <c:pt idx="14">
                  <c:v>43814</c:v>
                </c:pt>
                <c:pt idx="15">
                  <c:v>43815</c:v>
                </c:pt>
                <c:pt idx="16">
                  <c:v>43816</c:v>
                </c:pt>
                <c:pt idx="17">
                  <c:v>43817</c:v>
                </c:pt>
                <c:pt idx="18">
                  <c:v>43818</c:v>
                </c:pt>
                <c:pt idx="19">
                  <c:v>43819</c:v>
                </c:pt>
                <c:pt idx="20">
                  <c:v>43820</c:v>
                </c:pt>
                <c:pt idx="21">
                  <c:v>43821</c:v>
                </c:pt>
                <c:pt idx="22">
                  <c:v>43822</c:v>
                </c:pt>
                <c:pt idx="23">
                  <c:v>43823</c:v>
                </c:pt>
                <c:pt idx="24">
                  <c:v>43824</c:v>
                </c:pt>
                <c:pt idx="25">
                  <c:v>43825</c:v>
                </c:pt>
                <c:pt idx="26">
                  <c:v>43826</c:v>
                </c:pt>
                <c:pt idx="27">
                  <c:v>43827</c:v>
                </c:pt>
                <c:pt idx="28">
                  <c:v>43828</c:v>
                </c:pt>
                <c:pt idx="29">
                  <c:v>43829</c:v>
                </c:pt>
                <c:pt idx="30">
                  <c:v>43830</c:v>
                </c:pt>
                <c:pt idx="31">
                  <c:v>43831</c:v>
                </c:pt>
                <c:pt idx="32">
                  <c:v>43832</c:v>
                </c:pt>
                <c:pt idx="33">
                  <c:v>43833</c:v>
                </c:pt>
                <c:pt idx="34">
                  <c:v>43834</c:v>
                </c:pt>
                <c:pt idx="35">
                  <c:v>43835</c:v>
                </c:pt>
                <c:pt idx="36">
                  <c:v>43836</c:v>
                </c:pt>
                <c:pt idx="37">
                  <c:v>43837</c:v>
                </c:pt>
                <c:pt idx="38">
                  <c:v>43838</c:v>
                </c:pt>
                <c:pt idx="39">
                  <c:v>43839</c:v>
                </c:pt>
                <c:pt idx="40">
                  <c:v>43840</c:v>
                </c:pt>
                <c:pt idx="41">
                  <c:v>43841</c:v>
                </c:pt>
                <c:pt idx="42">
                  <c:v>43842</c:v>
                </c:pt>
                <c:pt idx="43">
                  <c:v>43843</c:v>
                </c:pt>
                <c:pt idx="44">
                  <c:v>43844</c:v>
                </c:pt>
                <c:pt idx="45">
                  <c:v>43845</c:v>
                </c:pt>
                <c:pt idx="46">
                  <c:v>43846</c:v>
                </c:pt>
                <c:pt idx="47">
                  <c:v>43847</c:v>
                </c:pt>
                <c:pt idx="48">
                  <c:v>43848</c:v>
                </c:pt>
                <c:pt idx="49">
                  <c:v>43849</c:v>
                </c:pt>
                <c:pt idx="50">
                  <c:v>43850</c:v>
                </c:pt>
                <c:pt idx="51">
                  <c:v>43851</c:v>
                </c:pt>
                <c:pt idx="52">
                  <c:v>43852</c:v>
                </c:pt>
                <c:pt idx="53">
                  <c:v>43853</c:v>
                </c:pt>
                <c:pt idx="54">
                  <c:v>43854</c:v>
                </c:pt>
                <c:pt idx="55">
                  <c:v>43855</c:v>
                </c:pt>
                <c:pt idx="56">
                  <c:v>43856</c:v>
                </c:pt>
                <c:pt idx="57">
                  <c:v>43857</c:v>
                </c:pt>
                <c:pt idx="58">
                  <c:v>43858</c:v>
                </c:pt>
                <c:pt idx="59">
                  <c:v>43859</c:v>
                </c:pt>
                <c:pt idx="60">
                  <c:v>43860</c:v>
                </c:pt>
                <c:pt idx="61">
                  <c:v>43861</c:v>
                </c:pt>
                <c:pt idx="62">
                  <c:v>43862</c:v>
                </c:pt>
                <c:pt idx="63">
                  <c:v>43863</c:v>
                </c:pt>
                <c:pt idx="64">
                  <c:v>43864</c:v>
                </c:pt>
                <c:pt idx="65">
                  <c:v>43865</c:v>
                </c:pt>
                <c:pt idx="66">
                  <c:v>43866</c:v>
                </c:pt>
                <c:pt idx="67">
                  <c:v>43867</c:v>
                </c:pt>
                <c:pt idx="68">
                  <c:v>43868</c:v>
                </c:pt>
                <c:pt idx="69">
                  <c:v>43869</c:v>
                </c:pt>
                <c:pt idx="70">
                  <c:v>43870</c:v>
                </c:pt>
                <c:pt idx="71">
                  <c:v>43871</c:v>
                </c:pt>
                <c:pt idx="72">
                  <c:v>43872</c:v>
                </c:pt>
                <c:pt idx="73">
                  <c:v>43873</c:v>
                </c:pt>
                <c:pt idx="74">
                  <c:v>43874</c:v>
                </c:pt>
                <c:pt idx="75">
                  <c:v>43875</c:v>
                </c:pt>
                <c:pt idx="76">
                  <c:v>43876</c:v>
                </c:pt>
                <c:pt idx="77">
                  <c:v>43877</c:v>
                </c:pt>
                <c:pt idx="78">
                  <c:v>43878</c:v>
                </c:pt>
                <c:pt idx="79">
                  <c:v>43879</c:v>
                </c:pt>
                <c:pt idx="80">
                  <c:v>43880</c:v>
                </c:pt>
                <c:pt idx="81">
                  <c:v>43881</c:v>
                </c:pt>
                <c:pt idx="82">
                  <c:v>43882</c:v>
                </c:pt>
                <c:pt idx="83">
                  <c:v>43883</c:v>
                </c:pt>
                <c:pt idx="84">
                  <c:v>43884</c:v>
                </c:pt>
                <c:pt idx="85">
                  <c:v>43885</c:v>
                </c:pt>
                <c:pt idx="86">
                  <c:v>43886</c:v>
                </c:pt>
                <c:pt idx="87">
                  <c:v>43887</c:v>
                </c:pt>
                <c:pt idx="88">
                  <c:v>43888</c:v>
                </c:pt>
                <c:pt idx="89">
                  <c:v>43889</c:v>
                </c:pt>
                <c:pt idx="90">
                  <c:v>43890</c:v>
                </c:pt>
                <c:pt idx="91">
                  <c:v>43891</c:v>
                </c:pt>
                <c:pt idx="92">
                  <c:v>43892</c:v>
                </c:pt>
                <c:pt idx="93">
                  <c:v>43893</c:v>
                </c:pt>
                <c:pt idx="94">
                  <c:v>43894</c:v>
                </c:pt>
                <c:pt idx="95">
                  <c:v>43895</c:v>
                </c:pt>
                <c:pt idx="96">
                  <c:v>43896</c:v>
                </c:pt>
                <c:pt idx="97">
                  <c:v>43897</c:v>
                </c:pt>
                <c:pt idx="98">
                  <c:v>43898</c:v>
                </c:pt>
                <c:pt idx="99">
                  <c:v>43899</c:v>
                </c:pt>
                <c:pt idx="100">
                  <c:v>43900</c:v>
                </c:pt>
                <c:pt idx="101">
                  <c:v>43901</c:v>
                </c:pt>
                <c:pt idx="102">
                  <c:v>43902</c:v>
                </c:pt>
                <c:pt idx="103">
                  <c:v>43903</c:v>
                </c:pt>
                <c:pt idx="104">
                  <c:v>43904</c:v>
                </c:pt>
                <c:pt idx="105">
                  <c:v>43905</c:v>
                </c:pt>
                <c:pt idx="106">
                  <c:v>43906</c:v>
                </c:pt>
                <c:pt idx="107">
                  <c:v>43907</c:v>
                </c:pt>
                <c:pt idx="108">
                  <c:v>43908</c:v>
                </c:pt>
                <c:pt idx="109">
                  <c:v>43909</c:v>
                </c:pt>
                <c:pt idx="110">
                  <c:v>43910</c:v>
                </c:pt>
                <c:pt idx="111">
                  <c:v>43911</c:v>
                </c:pt>
                <c:pt idx="112">
                  <c:v>43912</c:v>
                </c:pt>
                <c:pt idx="113">
                  <c:v>43913</c:v>
                </c:pt>
                <c:pt idx="114">
                  <c:v>43914</c:v>
                </c:pt>
                <c:pt idx="115">
                  <c:v>43915</c:v>
                </c:pt>
                <c:pt idx="116">
                  <c:v>43916</c:v>
                </c:pt>
                <c:pt idx="117">
                  <c:v>43917</c:v>
                </c:pt>
                <c:pt idx="118">
                  <c:v>43918</c:v>
                </c:pt>
                <c:pt idx="119">
                  <c:v>43919</c:v>
                </c:pt>
                <c:pt idx="120">
                  <c:v>43920</c:v>
                </c:pt>
                <c:pt idx="121">
                  <c:v>43921</c:v>
                </c:pt>
                <c:pt idx="122">
                  <c:v>43922</c:v>
                </c:pt>
                <c:pt idx="123">
                  <c:v>43923</c:v>
                </c:pt>
                <c:pt idx="124">
                  <c:v>43924</c:v>
                </c:pt>
                <c:pt idx="125">
                  <c:v>43925</c:v>
                </c:pt>
                <c:pt idx="126">
                  <c:v>43926</c:v>
                </c:pt>
                <c:pt idx="127">
                  <c:v>43927</c:v>
                </c:pt>
                <c:pt idx="128">
                  <c:v>43928</c:v>
                </c:pt>
                <c:pt idx="129">
                  <c:v>43929</c:v>
                </c:pt>
                <c:pt idx="130">
                  <c:v>43930</c:v>
                </c:pt>
                <c:pt idx="131">
                  <c:v>43931</c:v>
                </c:pt>
                <c:pt idx="132">
                  <c:v>43932</c:v>
                </c:pt>
                <c:pt idx="133">
                  <c:v>43933</c:v>
                </c:pt>
                <c:pt idx="134">
                  <c:v>43934</c:v>
                </c:pt>
                <c:pt idx="135">
                  <c:v>43935</c:v>
                </c:pt>
                <c:pt idx="136">
                  <c:v>43936</c:v>
                </c:pt>
                <c:pt idx="137">
                  <c:v>43937</c:v>
                </c:pt>
                <c:pt idx="138">
                  <c:v>43938</c:v>
                </c:pt>
                <c:pt idx="139">
                  <c:v>43939</c:v>
                </c:pt>
                <c:pt idx="140">
                  <c:v>43940</c:v>
                </c:pt>
                <c:pt idx="141">
                  <c:v>43941</c:v>
                </c:pt>
                <c:pt idx="142">
                  <c:v>43942</c:v>
                </c:pt>
                <c:pt idx="143">
                  <c:v>43943</c:v>
                </c:pt>
                <c:pt idx="144">
                  <c:v>43944</c:v>
                </c:pt>
                <c:pt idx="145">
                  <c:v>43945</c:v>
                </c:pt>
                <c:pt idx="146">
                  <c:v>43946</c:v>
                </c:pt>
                <c:pt idx="147">
                  <c:v>43947</c:v>
                </c:pt>
                <c:pt idx="148">
                  <c:v>43948</c:v>
                </c:pt>
                <c:pt idx="149">
                  <c:v>43949</c:v>
                </c:pt>
                <c:pt idx="150">
                  <c:v>43950</c:v>
                </c:pt>
                <c:pt idx="151">
                  <c:v>43951</c:v>
                </c:pt>
                <c:pt idx="152">
                  <c:v>43952</c:v>
                </c:pt>
                <c:pt idx="153">
                  <c:v>43953</c:v>
                </c:pt>
                <c:pt idx="154">
                  <c:v>43954</c:v>
                </c:pt>
                <c:pt idx="155">
                  <c:v>43955</c:v>
                </c:pt>
                <c:pt idx="156">
                  <c:v>43956</c:v>
                </c:pt>
                <c:pt idx="157">
                  <c:v>43957</c:v>
                </c:pt>
                <c:pt idx="158">
                  <c:v>43958</c:v>
                </c:pt>
                <c:pt idx="159">
                  <c:v>43959</c:v>
                </c:pt>
                <c:pt idx="160">
                  <c:v>43960</c:v>
                </c:pt>
                <c:pt idx="161">
                  <c:v>43961</c:v>
                </c:pt>
                <c:pt idx="162">
                  <c:v>43962</c:v>
                </c:pt>
                <c:pt idx="163">
                  <c:v>43963</c:v>
                </c:pt>
                <c:pt idx="164">
                  <c:v>43964</c:v>
                </c:pt>
                <c:pt idx="165">
                  <c:v>43965</c:v>
                </c:pt>
                <c:pt idx="166">
                  <c:v>43966</c:v>
                </c:pt>
                <c:pt idx="167">
                  <c:v>43967</c:v>
                </c:pt>
                <c:pt idx="168">
                  <c:v>43968</c:v>
                </c:pt>
                <c:pt idx="169">
                  <c:v>43969</c:v>
                </c:pt>
                <c:pt idx="170">
                  <c:v>43970</c:v>
                </c:pt>
                <c:pt idx="171">
                  <c:v>43971</c:v>
                </c:pt>
                <c:pt idx="172">
                  <c:v>43972</c:v>
                </c:pt>
                <c:pt idx="173">
                  <c:v>43973</c:v>
                </c:pt>
                <c:pt idx="174">
                  <c:v>43974</c:v>
                </c:pt>
                <c:pt idx="175">
                  <c:v>43975</c:v>
                </c:pt>
                <c:pt idx="176">
                  <c:v>43976</c:v>
                </c:pt>
                <c:pt idx="177">
                  <c:v>43977</c:v>
                </c:pt>
                <c:pt idx="178">
                  <c:v>43978</c:v>
                </c:pt>
                <c:pt idx="179">
                  <c:v>43979</c:v>
                </c:pt>
                <c:pt idx="180">
                  <c:v>43980</c:v>
                </c:pt>
                <c:pt idx="181">
                  <c:v>43981</c:v>
                </c:pt>
                <c:pt idx="182">
                  <c:v>43982</c:v>
                </c:pt>
                <c:pt idx="183">
                  <c:v>43983</c:v>
                </c:pt>
                <c:pt idx="184">
                  <c:v>43984</c:v>
                </c:pt>
                <c:pt idx="185">
                  <c:v>43985</c:v>
                </c:pt>
                <c:pt idx="186">
                  <c:v>43986</c:v>
                </c:pt>
                <c:pt idx="187">
                  <c:v>43987</c:v>
                </c:pt>
                <c:pt idx="188">
                  <c:v>43988</c:v>
                </c:pt>
                <c:pt idx="189">
                  <c:v>43989</c:v>
                </c:pt>
                <c:pt idx="190">
                  <c:v>43990</c:v>
                </c:pt>
                <c:pt idx="191">
                  <c:v>43991</c:v>
                </c:pt>
                <c:pt idx="192">
                  <c:v>43992</c:v>
                </c:pt>
                <c:pt idx="193">
                  <c:v>43993</c:v>
                </c:pt>
                <c:pt idx="194">
                  <c:v>43994</c:v>
                </c:pt>
                <c:pt idx="195">
                  <c:v>43995</c:v>
                </c:pt>
                <c:pt idx="196">
                  <c:v>43996</c:v>
                </c:pt>
                <c:pt idx="197">
                  <c:v>43997</c:v>
                </c:pt>
                <c:pt idx="198">
                  <c:v>43998</c:v>
                </c:pt>
                <c:pt idx="199">
                  <c:v>43999</c:v>
                </c:pt>
                <c:pt idx="200">
                  <c:v>44000</c:v>
                </c:pt>
                <c:pt idx="201">
                  <c:v>44001</c:v>
                </c:pt>
                <c:pt idx="202">
                  <c:v>44002</c:v>
                </c:pt>
                <c:pt idx="203">
                  <c:v>44003</c:v>
                </c:pt>
                <c:pt idx="204">
                  <c:v>44004</c:v>
                </c:pt>
                <c:pt idx="205">
                  <c:v>44005</c:v>
                </c:pt>
                <c:pt idx="206">
                  <c:v>44006</c:v>
                </c:pt>
                <c:pt idx="207">
                  <c:v>44007</c:v>
                </c:pt>
                <c:pt idx="208">
                  <c:v>44008</c:v>
                </c:pt>
                <c:pt idx="209">
                  <c:v>44009</c:v>
                </c:pt>
                <c:pt idx="210">
                  <c:v>44010</c:v>
                </c:pt>
                <c:pt idx="211">
                  <c:v>44011</c:v>
                </c:pt>
                <c:pt idx="212">
                  <c:v>44012</c:v>
                </c:pt>
                <c:pt idx="213">
                  <c:v>44013</c:v>
                </c:pt>
                <c:pt idx="214">
                  <c:v>44014</c:v>
                </c:pt>
                <c:pt idx="215">
                  <c:v>44015</c:v>
                </c:pt>
                <c:pt idx="216">
                  <c:v>44016</c:v>
                </c:pt>
                <c:pt idx="217">
                  <c:v>44017</c:v>
                </c:pt>
                <c:pt idx="218">
                  <c:v>44018</c:v>
                </c:pt>
                <c:pt idx="219">
                  <c:v>44019</c:v>
                </c:pt>
                <c:pt idx="220">
                  <c:v>44020</c:v>
                </c:pt>
                <c:pt idx="221">
                  <c:v>44021</c:v>
                </c:pt>
                <c:pt idx="222">
                  <c:v>44022</c:v>
                </c:pt>
                <c:pt idx="223">
                  <c:v>44023</c:v>
                </c:pt>
                <c:pt idx="224">
                  <c:v>44024</c:v>
                </c:pt>
                <c:pt idx="225">
                  <c:v>44025</c:v>
                </c:pt>
                <c:pt idx="226">
                  <c:v>44026</c:v>
                </c:pt>
                <c:pt idx="227">
                  <c:v>44027</c:v>
                </c:pt>
                <c:pt idx="228">
                  <c:v>44028</c:v>
                </c:pt>
                <c:pt idx="229">
                  <c:v>44029</c:v>
                </c:pt>
                <c:pt idx="230">
                  <c:v>44030</c:v>
                </c:pt>
                <c:pt idx="231">
                  <c:v>44031</c:v>
                </c:pt>
                <c:pt idx="232">
                  <c:v>44032</c:v>
                </c:pt>
                <c:pt idx="233">
                  <c:v>44033</c:v>
                </c:pt>
                <c:pt idx="234">
                  <c:v>44034</c:v>
                </c:pt>
                <c:pt idx="235">
                  <c:v>44035</c:v>
                </c:pt>
                <c:pt idx="236">
                  <c:v>44036</c:v>
                </c:pt>
                <c:pt idx="237">
                  <c:v>44037</c:v>
                </c:pt>
                <c:pt idx="238">
                  <c:v>44038</c:v>
                </c:pt>
                <c:pt idx="239">
                  <c:v>44039</c:v>
                </c:pt>
                <c:pt idx="240">
                  <c:v>44040</c:v>
                </c:pt>
                <c:pt idx="241">
                  <c:v>44041</c:v>
                </c:pt>
                <c:pt idx="242">
                  <c:v>44042</c:v>
                </c:pt>
                <c:pt idx="243">
                  <c:v>44043</c:v>
                </c:pt>
                <c:pt idx="244">
                  <c:v>44044</c:v>
                </c:pt>
                <c:pt idx="245">
                  <c:v>44045</c:v>
                </c:pt>
                <c:pt idx="246">
                  <c:v>44046</c:v>
                </c:pt>
                <c:pt idx="247">
                  <c:v>44047</c:v>
                </c:pt>
                <c:pt idx="248">
                  <c:v>44048</c:v>
                </c:pt>
                <c:pt idx="249">
                  <c:v>44049</c:v>
                </c:pt>
                <c:pt idx="250">
                  <c:v>44050</c:v>
                </c:pt>
                <c:pt idx="251">
                  <c:v>44051</c:v>
                </c:pt>
                <c:pt idx="252">
                  <c:v>44052</c:v>
                </c:pt>
                <c:pt idx="253">
                  <c:v>44053</c:v>
                </c:pt>
                <c:pt idx="254">
                  <c:v>44054</c:v>
                </c:pt>
                <c:pt idx="255">
                  <c:v>44055</c:v>
                </c:pt>
                <c:pt idx="256">
                  <c:v>44056</c:v>
                </c:pt>
                <c:pt idx="257">
                  <c:v>44057</c:v>
                </c:pt>
                <c:pt idx="258">
                  <c:v>44058</c:v>
                </c:pt>
                <c:pt idx="259">
                  <c:v>44059</c:v>
                </c:pt>
                <c:pt idx="260">
                  <c:v>44060</c:v>
                </c:pt>
                <c:pt idx="261">
                  <c:v>44061</c:v>
                </c:pt>
                <c:pt idx="262">
                  <c:v>44062</c:v>
                </c:pt>
                <c:pt idx="263">
                  <c:v>44063</c:v>
                </c:pt>
                <c:pt idx="264">
                  <c:v>44064</c:v>
                </c:pt>
                <c:pt idx="265">
                  <c:v>44065</c:v>
                </c:pt>
                <c:pt idx="266">
                  <c:v>44066</c:v>
                </c:pt>
                <c:pt idx="267">
                  <c:v>44067</c:v>
                </c:pt>
                <c:pt idx="268">
                  <c:v>44068</c:v>
                </c:pt>
                <c:pt idx="269">
                  <c:v>44069</c:v>
                </c:pt>
                <c:pt idx="270">
                  <c:v>44070</c:v>
                </c:pt>
                <c:pt idx="271">
                  <c:v>44071</c:v>
                </c:pt>
                <c:pt idx="272">
                  <c:v>44072</c:v>
                </c:pt>
                <c:pt idx="273">
                  <c:v>44073</c:v>
                </c:pt>
                <c:pt idx="274">
                  <c:v>44074</c:v>
                </c:pt>
                <c:pt idx="275">
                  <c:v>44075</c:v>
                </c:pt>
                <c:pt idx="276">
                  <c:v>44076</c:v>
                </c:pt>
                <c:pt idx="277">
                  <c:v>44077</c:v>
                </c:pt>
                <c:pt idx="278">
                  <c:v>44078</c:v>
                </c:pt>
                <c:pt idx="279">
                  <c:v>44079</c:v>
                </c:pt>
                <c:pt idx="280">
                  <c:v>44080</c:v>
                </c:pt>
                <c:pt idx="281">
                  <c:v>44081</c:v>
                </c:pt>
                <c:pt idx="282">
                  <c:v>44082</c:v>
                </c:pt>
                <c:pt idx="283">
                  <c:v>44083</c:v>
                </c:pt>
                <c:pt idx="284">
                  <c:v>44084</c:v>
                </c:pt>
                <c:pt idx="285">
                  <c:v>44085</c:v>
                </c:pt>
                <c:pt idx="286">
                  <c:v>44086</c:v>
                </c:pt>
                <c:pt idx="287">
                  <c:v>44087</c:v>
                </c:pt>
                <c:pt idx="288">
                  <c:v>44088</c:v>
                </c:pt>
                <c:pt idx="289">
                  <c:v>44089</c:v>
                </c:pt>
                <c:pt idx="290">
                  <c:v>44090</c:v>
                </c:pt>
                <c:pt idx="291">
                  <c:v>44091</c:v>
                </c:pt>
                <c:pt idx="292">
                  <c:v>44092</c:v>
                </c:pt>
                <c:pt idx="293">
                  <c:v>44093</c:v>
                </c:pt>
                <c:pt idx="294">
                  <c:v>44094</c:v>
                </c:pt>
                <c:pt idx="295">
                  <c:v>44095</c:v>
                </c:pt>
                <c:pt idx="296">
                  <c:v>44096</c:v>
                </c:pt>
                <c:pt idx="297">
                  <c:v>44097</c:v>
                </c:pt>
                <c:pt idx="298">
                  <c:v>44098</c:v>
                </c:pt>
                <c:pt idx="299">
                  <c:v>44099</c:v>
                </c:pt>
                <c:pt idx="300">
                  <c:v>44100</c:v>
                </c:pt>
                <c:pt idx="301">
                  <c:v>44101</c:v>
                </c:pt>
                <c:pt idx="302">
                  <c:v>44102</c:v>
                </c:pt>
                <c:pt idx="303">
                  <c:v>44103</c:v>
                </c:pt>
                <c:pt idx="304">
                  <c:v>44104</c:v>
                </c:pt>
                <c:pt idx="305">
                  <c:v>44105</c:v>
                </c:pt>
                <c:pt idx="306">
                  <c:v>44106</c:v>
                </c:pt>
                <c:pt idx="307">
                  <c:v>44107</c:v>
                </c:pt>
                <c:pt idx="308">
                  <c:v>44108</c:v>
                </c:pt>
                <c:pt idx="309">
                  <c:v>44109</c:v>
                </c:pt>
                <c:pt idx="310">
                  <c:v>44110</c:v>
                </c:pt>
                <c:pt idx="311">
                  <c:v>44111</c:v>
                </c:pt>
                <c:pt idx="312">
                  <c:v>44112</c:v>
                </c:pt>
                <c:pt idx="313">
                  <c:v>44113</c:v>
                </c:pt>
                <c:pt idx="314">
                  <c:v>44114</c:v>
                </c:pt>
                <c:pt idx="315">
                  <c:v>44115</c:v>
                </c:pt>
                <c:pt idx="316">
                  <c:v>44116</c:v>
                </c:pt>
                <c:pt idx="317">
                  <c:v>44117</c:v>
                </c:pt>
                <c:pt idx="318">
                  <c:v>44118</c:v>
                </c:pt>
                <c:pt idx="319">
                  <c:v>44119</c:v>
                </c:pt>
                <c:pt idx="320">
                  <c:v>44120</c:v>
                </c:pt>
                <c:pt idx="321">
                  <c:v>44121</c:v>
                </c:pt>
                <c:pt idx="322">
                  <c:v>44122</c:v>
                </c:pt>
                <c:pt idx="323">
                  <c:v>44123</c:v>
                </c:pt>
                <c:pt idx="324">
                  <c:v>44124</c:v>
                </c:pt>
                <c:pt idx="325">
                  <c:v>44125</c:v>
                </c:pt>
                <c:pt idx="326">
                  <c:v>44126</c:v>
                </c:pt>
                <c:pt idx="327">
                  <c:v>44127</c:v>
                </c:pt>
                <c:pt idx="328">
                  <c:v>44128</c:v>
                </c:pt>
                <c:pt idx="329">
                  <c:v>44129</c:v>
                </c:pt>
                <c:pt idx="330">
                  <c:v>44130</c:v>
                </c:pt>
                <c:pt idx="331">
                  <c:v>44131</c:v>
                </c:pt>
                <c:pt idx="332">
                  <c:v>44132</c:v>
                </c:pt>
                <c:pt idx="333">
                  <c:v>44133</c:v>
                </c:pt>
                <c:pt idx="334">
                  <c:v>44134</c:v>
                </c:pt>
                <c:pt idx="335">
                  <c:v>44135</c:v>
                </c:pt>
                <c:pt idx="336">
                  <c:v>44136</c:v>
                </c:pt>
                <c:pt idx="337">
                  <c:v>44137</c:v>
                </c:pt>
                <c:pt idx="338">
                  <c:v>44138</c:v>
                </c:pt>
                <c:pt idx="339">
                  <c:v>44139</c:v>
                </c:pt>
                <c:pt idx="340">
                  <c:v>44140</c:v>
                </c:pt>
                <c:pt idx="341">
                  <c:v>44141</c:v>
                </c:pt>
                <c:pt idx="342">
                  <c:v>44142</c:v>
                </c:pt>
                <c:pt idx="343">
                  <c:v>44143</c:v>
                </c:pt>
                <c:pt idx="344">
                  <c:v>44144</c:v>
                </c:pt>
                <c:pt idx="345">
                  <c:v>44145</c:v>
                </c:pt>
                <c:pt idx="346">
                  <c:v>44146</c:v>
                </c:pt>
                <c:pt idx="347">
                  <c:v>44147</c:v>
                </c:pt>
                <c:pt idx="348">
                  <c:v>44148</c:v>
                </c:pt>
                <c:pt idx="349">
                  <c:v>44149</c:v>
                </c:pt>
                <c:pt idx="350">
                  <c:v>44150</c:v>
                </c:pt>
                <c:pt idx="351">
                  <c:v>44151</c:v>
                </c:pt>
                <c:pt idx="352">
                  <c:v>44152</c:v>
                </c:pt>
                <c:pt idx="353">
                  <c:v>44153</c:v>
                </c:pt>
                <c:pt idx="354">
                  <c:v>44154</c:v>
                </c:pt>
                <c:pt idx="355">
                  <c:v>44155</c:v>
                </c:pt>
                <c:pt idx="356">
                  <c:v>44156</c:v>
                </c:pt>
                <c:pt idx="357">
                  <c:v>44157</c:v>
                </c:pt>
                <c:pt idx="358">
                  <c:v>44158</c:v>
                </c:pt>
                <c:pt idx="359">
                  <c:v>44159</c:v>
                </c:pt>
                <c:pt idx="360">
                  <c:v>44160</c:v>
                </c:pt>
                <c:pt idx="361">
                  <c:v>44161</c:v>
                </c:pt>
                <c:pt idx="362">
                  <c:v>44162</c:v>
                </c:pt>
                <c:pt idx="363">
                  <c:v>44163</c:v>
                </c:pt>
                <c:pt idx="364">
                  <c:v>44164</c:v>
                </c:pt>
                <c:pt idx="365">
                  <c:v>44165</c:v>
                </c:pt>
                <c:pt idx="366">
                  <c:v>44166</c:v>
                </c:pt>
                <c:pt idx="367">
                  <c:v>44167</c:v>
                </c:pt>
                <c:pt idx="368">
                  <c:v>44168</c:v>
                </c:pt>
                <c:pt idx="369">
                  <c:v>44169</c:v>
                </c:pt>
                <c:pt idx="370">
                  <c:v>44170</c:v>
                </c:pt>
                <c:pt idx="371">
                  <c:v>44171</c:v>
                </c:pt>
                <c:pt idx="372">
                  <c:v>44172</c:v>
                </c:pt>
                <c:pt idx="373">
                  <c:v>44173</c:v>
                </c:pt>
                <c:pt idx="374">
                  <c:v>44174</c:v>
                </c:pt>
                <c:pt idx="375">
                  <c:v>44175</c:v>
                </c:pt>
                <c:pt idx="376">
                  <c:v>44176</c:v>
                </c:pt>
                <c:pt idx="377">
                  <c:v>44177</c:v>
                </c:pt>
                <c:pt idx="378">
                  <c:v>44178</c:v>
                </c:pt>
                <c:pt idx="379">
                  <c:v>44179</c:v>
                </c:pt>
                <c:pt idx="380">
                  <c:v>44180</c:v>
                </c:pt>
                <c:pt idx="381">
                  <c:v>44181</c:v>
                </c:pt>
                <c:pt idx="382">
                  <c:v>44182</c:v>
                </c:pt>
                <c:pt idx="383">
                  <c:v>44183</c:v>
                </c:pt>
                <c:pt idx="384">
                  <c:v>44184</c:v>
                </c:pt>
                <c:pt idx="385">
                  <c:v>44185</c:v>
                </c:pt>
                <c:pt idx="386">
                  <c:v>44186</c:v>
                </c:pt>
                <c:pt idx="387">
                  <c:v>44187</c:v>
                </c:pt>
                <c:pt idx="388">
                  <c:v>44188</c:v>
                </c:pt>
                <c:pt idx="389">
                  <c:v>44189</c:v>
                </c:pt>
                <c:pt idx="390">
                  <c:v>44190</c:v>
                </c:pt>
                <c:pt idx="391">
                  <c:v>44191</c:v>
                </c:pt>
                <c:pt idx="392">
                  <c:v>44192</c:v>
                </c:pt>
                <c:pt idx="393">
                  <c:v>44193</c:v>
                </c:pt>
                <c:pt idx="394">
                  <c:v>44194</c:v>
                </c:pt>
                <c:pt idx="395">
                  <c:v>44195</c:v>
                </c:pt>
                <c:pt idx="396">
                  <c:v>44196</c:v>
                </c:pt>
                <c:pt idx="397">
                  <c:v>44197</c:v>
                </c:pt>
                <c:pt idx="398">
                  <c:v>44198</c:v>
                </c:pt>
                <c:pt idx="399">
                  <c:v>44199</c:v>
                </c:pt>
                <c:pt idx="400">
                  <c:v>44200</c:v>
                </c:pt>
                <c:pt idx="401">
                  <c:v>44201</c:v>
                </c:pt>
                <c:pt idx="402">
                  <c:v>44202</c:v>
                </c:pt>
                <c:pt idx="403">
                  <c:v>44203</c:v>
                </c:pt>
                <c:pt idx="404">
                  <c:v>44204</c:v>
                </c:pt>
                <c:pt idx="405">
                  <c:v>44205</c:v>
                </c:pt>
                <c:pt idx="406">
                  <c:v>44206</c:v>
                </c:pt>
                <c:pt idx="407">
                  <c:v>44207</c:v>
                </c:pt>
                <c:pt idx="408">
                  <c:v>44208</c:v>
                </c:pt>
                <c:pt idx="409">
                  <c:v>44209</c:v>
                </c:pt>
                <c:pt idx="410">
                  <c:v>44210</c:v>
                </c:pt>
                <c:pt idx="411">
                  <c:v>44211</c:v>
                </c:pt>
                <c:pt idx="412">
                  <c:v>44212</c:v>
                </c:pt>
                <c:pt idx="413">
                  <c:v>44213</c:v>
                </c:pt>
                <c:pt idx="414">
                  <c:v>44214</c:v>
                </c:pt>
                <c:pt idx="415">
                  <c:v>44215</c:v>
                </c:pt>
                <c:pt idx="416">
                  <c:v>44216</c:v>
                </c:pt>
                <c:pt idx="417">
                  <c:v>44217</c:v>
                </c:pt>
                <c:pt idx="418">
                  <c:v>44218</c:v>
                </c:pt>
                <c:pt idx="419">
                  <c:v>44219</c:v>
                </c:pt>
                <c:pt idx="420">
                  <c:v>44220</c:v>
                </c:pt>
                <c:pt idx="421">
                  <c:v>44221</c:v>
                </c:pt>
                <c:pt idx="422">
                  <c:v>44222</c:v>
                </c:pt>
                <c:pt idx="423">
                  <c:v>44223</c:v>
                </c:pt>
                <c:pt idx="424">
                  <c:v>44224</c:v>
                </c:pt>
                <c:pt idx="425">
                  <c:v>44225</c:v>
                </c:pt>
                <c:pt idx="426">
                  <c:v>44226</c:v>
                </c:pt>
                <c:pt idx="427">
                  <c:v>44227</c:v>
                </c:pt>
                <c:pt idx="428">
                  <c:v>44228</c:v>
                </c:pt>
                <c:pt idx="429">
                  <c:v>44229</c:v>
                </c:pt>
                <c:pt idx="430">
                  <c:v>44230</c:v>
                </c:pt>
                <c:pt idx="431">
                  <c:v>44231</c:v>
                </c:pt>
                <c:pt idx="432">
                  <c:v>44232</c:v>
                </c:pt>
                <c:pt idx="433">
                  <c:v>44233</c:v>
                </c:pt>
                <c:pt idx="434">
                  <c:v>44234</c:v>
                </c:pt>
                <c:pt idx="435">
                  <c:v>44235</c:v>
                </c:pt>
                <c:pt idx="436">
                  <c:v>44236</c:v>
                </c:pt>
                <c:pt idx="437">
                  <c:v>44237</c:v>
                </c:pt>
                <c:pt idx="438">
                  <c:v>44238</c:v>
                </c:pt>
                <c:pt idx="439">
                  <c:v>44239</c:v>
                </c:pt>
                <c:pt idx="440">
                  <c:v>44240</c:v>
                </c:pt>
                <c:pt idx="441">
                  <c:v>44241</c:v>
                </c:pt>
                <c:pt idx="442">
                  <c:v>44242</c:v>
                </c:pt>
                <c:pt idx="443">
                  <c:v>44243</c:v>
                </c:pt>
                <c:pt idx="444">
                  <c:v>44244</c:v>
                </c:pt>
                <c:pt idx="445">
                  <c:v>44245</c:v>
                </c:pt>
                <c:pt idx="446">
                  <c:v>44246</c:v>
                </c:pt>
                <c:pt idx="447">
                  <c:v>44247</c:v>
                </c:pt>
                <c:pt idx="448">
                  <c:v>44248</c:v>
                </c:pt>
                <c:pt idx="449">
                  <c:v>44249</c:v>
                </c:pt>
                <c:pt idx="450">
                  <c:v>44250</c:v>
                </c:pt>
                <c:pt idx="451">
                  <c:v>44251</c:v>
                </c:pt>
                <c:pt idx="452">
                  <c:v>44252</c:v>
                </c:pt>
                <c:pt idx="453">
                  <c:v>44253</c:v>
                </c:pt>
                <c:pt idx="454">
                  <c:v>44254</c:v>
                </c:pt>
                <c:pt idx="455">
                  <c:v>44255</c:v>
                </c:pt>
                <c:pt idx="456">
                  <c:v>44256</c:v>
                </c:pt>
                <c:pt idx="457">
                  <c:v>44257</c:v>
                </c:pt>
                <c:pt idx="458">
                  <c:v>44258</c:v>
                </c:pt>
                <c:pt idx="459">
                  <c:v>44259</c:v>
                </c:pt>
                <c:pt idx="460">
                  <c:v>44260</c:v>
                </c:pt>
                <c:pt idx="461">
                  <c:v>44261</c:v>
                </c:pt>
                <c:pt idx="462">
                  <c:v>44262</c:v>
                </c:pt>
                <c:pt idx="463">
                  <c:v>44263</c:v>
                </c:pt>
                <c:pt idx="464">
                  <c:v>44264</c:v>
                </c:pt>
                <c:pt idx="465">
                  <c:v>44265</c:v>
                </c:pt>
                <c:pt idx="466">
                  <c:v>44266</c:v>
                </c:pt>
                <c:pt idx="467">
                  <c:v>44267</c:v>
                </c:pt>
                <c:pt idx="468">
                  <c:v>44268</c:v>
                </c:pt>
                <c:pt idx="469">
                  <c:v>44269</c:v>
                </c:pt>
                <c:pt idx="470">
                  <c:v>44270</c:v>
                </c:pt>
                <c:pt idx="471">
                  <c:v>44271</c:v>
                </c:pt>
                <c:pt idx="472">
                  <c:v>44272</c:v>
                </c:pt>
                <c:pt idx="473">
                  <c:v>44273</c:v>
                </c:pt>
                <c:pt idx="474">
                  <c:v>44274</c:v>
                </c:pt>
                <c:pt idx="475">
                  <c:v>44275</c:v>
                </c:pt>
                <c:pt idx="476">
                  <c:v>44276</c:v>
                </c:pt>
                <c:pt idx="477">
                  <c:v>44277</c:v>
                </c:pt>
                <c:pt idx="478">
                  <c:v>44278</c:v>
                </c:pt>
                <c:pt idx="479">
                  <c:v>44279</c:v>
                </c:pt>
                <c:pt idx="480">
                  <c:v>44280</c:v>
                </c:pt>
                <c:pt idx="481">
                  <c:v>44281</c:v>
                </c:pt>
                <c:pt idx="482">
                  <c:v>44282</c:v>
                </c:pt>
                <c:pt idx="483">
                  <c:v>44283</c:v>
                </c:pt>
                <c:pt idx="484">
                  <c:v>44284</c:v>
                </c:pt>
                <c:pt idx="485">
                  <c:v>44285</c:v>
                </c:pt>
                <c:pt idx="486">
                  <c:v>44286</c:v>
                </c:pt>
                <c:pt idx="487">
                  <c:v>44287</c:v>
                </c:pt>
                <c:pt idx="488">
                  <c:v>44288</c:v>
                </c:pt>
                <c:pt idx="489">
                  <c:v>44289</c:v>
                </c:pt>
                <c:pt idx="490">
                  <c:v>44290</c:v>
                </c:pt>
                <c:pt idx="491">
                  <c:v>44291</c:v>
                </c:pt>
                <c:pt idx="492">
                  <c:v>44292</c:v>
                </c:pt>
                <c:pt idx="493">
                  <c:v>44293</c:v>
                </c:pt>
                <c:pt idx="494">
                  <c:v>44294</c:v>
                </c:pt>
                <c:pt idx="495">
                  <c:v>44295</c:v>
                </c:pt>
                <c:pt idx="496">
                  <c:v>44296</c:v>
                </c:pt>
                <c:pt idx="497">
                  <c:v>44297</c:v>
                </c:pt>
                <c:pt idx="498">
                  <c:v>44298</c:v>
                </c:pt>
                <c:pt idx="499">
                  <c:v>44299</c:v>
                </c:pt>
                <c:pt idx="500">
                  <c:v>44300</c:v>
                </c:pt>
                <c:pt idx="501">
                  <c:v>44301</c:v>
                </c:pt>
                <c:pt idx="502">
                  <c:v>44302</c:v>
                </c:pt>
                <c:pt idx="503">
                  <c:v>44303</c:v>
                </c:pt>
                <c:pt idx="504">
                  <c:v>44304</c:v>
                </c:pt>
                <c:pt idx="505">
                  <c:v>44305</c:v>
                </c:pt>
                <c:pt idx="506">
                  <c:v>44306</c:v>
                </c:pt>
                <c:pt idx="507">
                  <c:v>44307</c:v>
                </c:pt>
                <c:pt idx="508">
                  <c:v>44308</c:v>
                </c:pt>
                <c:pt idx="509">
                  <c:v>44309</c:v>
                </c:pt>
                <c:pt idx="510">
                  <c:v>44310</c:v>
                </c:pt>
                <c:pt idx="511">
                  <c:v>44311</c:v>
                </c:pt>
                <c:pt idx="512">
                  <c:v>44312</c:v>
                </c:pt>
                <c:pt idx="513">
                  <c:v>44313</c:v>
                </c:pt>
                <c:pt idx="514">
                  <c:v>44314</c:v>
                </c:pt>
                <c:pt idx="515">
                  <c:v>44315</c:v>
                </c:pt>
                <c:pt idx="516">
                  <c:v>44316</c:v>
                </c:pt>
                <c:pt idx="517">
                  <c:v>44317</c:v>
                </c:pt>
                <c:pt idx="518">
                  <c:v>44318</c:v>
                </c:pt>
                <c:pt idx="519">
                  <c:v>44319</c:v>
                </c:pt>
                <c:pt idx="520">
                  <c:v>44320</c:v>
                </c:pt>
                <c:pt idx="521">
                  <c:v>44321</c:v>
                </c:pt>
                <c:pt idx="522">
                  <c:v>44322</c:v>
                </c:pt>
                <c:pt idx="523">
                  <c:v>44323</c:v>
                </c:pt>
                <c:pt idx="524">
                  <c:v>44324</c:v>
                </c:pt>
                <c:pt idx="525">
                  <c:v>44325</c:v>
                </c:pt>
                <c:pt idx="526">
                  <c:v>44326</c:v>
                </c:pt>
                <c:pt idx="527">
                  <c:v>44327</c:v>
                </c:pt>
                <c:pt idx="528">
                  <c:v>44328</c:v>
                </c:pt>
                <c:pt idx="529">
                  <c:v>44329</c:v>
                </c:pt>
                <c:pt idx="530">
                  <c:v>44330</c:v>
                </c:pt>
                <c:pt idx="531">
                  <c:v>44331</c:v>
                </c:pt>
                <c:pt idx="532">
                  <c:v>44332</c:v>
                </c:pt>
                <c:pt idx="533">
                  <c:v>44333</c:v>
                </c:pt>
                <c:pt idx="534">
                  <c:v>44334</c:v>
                </c:pt>
                <c:pt idx="535">
                  <c:v>44335</c:v>
                </c:pt>
                <c:pt idx="536">
                  <c:v>44336</c:v>
                </c:pt>
                <c:pt idx="537">
                  <c:v>44337</c:v>
                </c:pt>
                <c:pt idx="538">
                  <c:v>44338</c:v>
                </c:pt>
                <c:pt idx="539">
                  <c:v>44339</c:v>
                </c:pt>
                <c:pt idx="540">
                  <c:v>44340</c:v>
                </c:pt>
                <c:pt idx="541">
                  <c:v>44341</c:v>
                </c:pt>
                <c:pt idx="542">
                  <c:v>44342</c:v>
                </c:pt>
                <c:pt idx="543">
                  <c:v>44343</c:v>
                </c:pt>
                <c:pt idx="544">
                  <c:v>44344</c:v>
                </c:pt>
                <c:pt idx="545">
                  <c:v>44345</c:v>
                </c:pt>
                <c:pt idx="546">
                  <c:v>44346</c:v>
                </c:pt>
                <c:pt idx="547">
                  <c:v>44347</c:v>
                </c:pt>
                <c:pt idx="548">
                  <c:v>44348</c:v>
                </c:pt>
                <c:pt idx="549">
                  <c:v>44349</c:v>
                </c:pt>
                <c:pt idx="550">
                  <c:v>44350</c:v>
                </c:pt>
                <c:pt idx="551">
                  <c:v>44351</c:v>
                </c:pt>
                <c:pt idx="552">
                  <c:v>44352</c:v>
                </c:pt>
                <c:pt idx="553">
                  <c:v>44353</c:v>
                </c:pt>
                <c:pt idx="554">
                  <c:v>44354</c:v>
                </c:pt>
                <c:pt idx="555">
                  <c:v>44355</c:v>
                </c:pt>
                <c:pt idx="556">
                  <c:v>44356</c:v>
                </c:pt>
                <c:pt idx="557">
                  <c:v>44357</c:v>
                </c:pt>
                <c:pt idx="558">
                  <c:v>44358</c:v>
                </c:pt>
                <c:pt idx="559">
                  <c:v>44359</c:v>
                </c:pt>
                <c:pt idx="560">
                  <c:v>44360</c:v>
                </c:pt>
                <c:pt idx="561">
                  <c:v>44361</c:v>
                </c:pt>
                <c:pt idx="562">
                  <c:v>44362</c:v>
                </c:pt>
                <c:pt idx="563">
                  <c:v>44363</c:v>
                </c:pt>
                <c:pt idx="564">
                  <c:v>44364</c:v>
                </c:pt>
                <c:pt idx="565">
                  <c:v>44365</c:v>
                </c:pt>
                <c:pt idx="566">
                  <c:v>44366</c:v>
                </c:pt>
                <c:pt idx="567">
                  <c:v>44367</c:v>
                </c:pt>
                <c:pt idx="568">
                  <c:v>44368</c:v>
                </c:pt>
                <c:pt idx="569">
                  <c:v>44369</c:v>
                </c:pt>
                <c:pt idx="570">
                  <c:v>44370</c:v>
                </c:pt>
                <c:pt idx="571">
                  <c:v>44371</c:v>
                </c:pt>
                <c:pt idx="572">
                  <c:v>44372</c:v>
                </c:pt>
                <c:pt idx="573">
                  <c:v>44373</c:v>
                </c:pt>
                <c:pt idx="574">
                  <c:v>44374</c:v>
                </c:pt>
                <c:pt idx="575">
                  <c:v>44375</c:v>
                </c:pt>
                <c:pt idx="576">
                  <c:v>44376</c:v>
                </c:pt>
                <c:pt idx="577">
                  <c:v>44377</c:v>
                </c:pt>
                <c:pt idx="578">
                  <c:v>44378</c:v>
                </c:pt>
                <c:pt idx="579">
                  <c:v>44379</c:v>
                </c:pt>
                <c:pt idx="580">
                  <c:v>44380</c:v>
                </c:pt>
                <c:pt idx="581">
                  <c:v>44381</c:v>
                </c:pt>
                <c:pt idx="582">
                  <c:v>44382</c:v>
                </c:pt>
                <c:pt idx="583">
                  <c:v>44383</c:v>
                </c:pt>
                <c:pt idx="584">
                  <c:v>44384</c:v>
                </c:pt>
                <c:pt idx="585">
                  <c:v>44385</c:v>
                </c:pt>
                <c:pt idx="586">
                  <c:v>44386</c:v>
                </c:pt>
                <c:pt idx="587">
                  <c:v>44387</c:v>
                </c:pt>
                <c:pt idx="588">
                  <c:v>44388</c:v>
                </c:pt>
                <c:pt idx="589">
                  <c:v>44389</c:v>
                </c:pt>
                <c:pt idx="590">
                  <c:v>44390</c:v>
                </c:pt>
                <c:pt idx="591">
                  <c:v>44391</c:v>
                </c:pt>
                <c:pt idx="592">
                  <c:v>44392</c:v>
                </c:pt>
                <c:pt idx="593">
                  <c:v>44393</c:v>
                </c:pt>
                <c:pt idx="594">
                  <c:v>44394</c:v>
                </c:pt>
                <c:pt idx="595">
                  <c:v>44395</c:v>
                </c:pt>
                <c:pt idx="596">
                  <c:v>44396</c:v>
                </c:pt>
                <c:pt idx="597">
                  <c:v>44397</c:v>
                </c:pt>
                <c:pt idx="598">
                  <c:v>44398</c:v>
                </c:pt>
                <c:pt idx="599">
                  <c:v>44399</c:v>
                </c:pt>
                <c:pt idx="600">
                  <c:v>44400</c:v>
                </c:pt>
                <c:pt idx="601">
                  <c:v>44401</c:v>
                </c:pt>
                <c:pt idx="602">
                  <c:v>44402</c:v>
                </c:pt>
                <c:pt idx="603">
                  <c:v>44403</c:v>
                </c:pt>
                <c:pt idx="604">
                  <c:v>44404</c:v>
                </c:pt>
                <c:pt idx="605">
                  <c:v>44405</c:v>
                </c:pt>
                <c:pt idx="606">
                  <c:v>44406</c:v>
                </c:pt>
                <c:pt idx="607">
                  <c:v>44407</c:v>
                </c:pt>
                <c:pt idx="608">
                  <c:v>44408</c:v>
                </c:pt>
                <c:pt idx="609">
                  <c:v>44409</c:v>
                </c:pt>
                <c:pt idx="610">
                  <c:v>44410</c:v>
                </c:pt>
                <c:pt idx="611">
                  <c:v>44411</c:v>
                </c:pt>
                <c:pt idx="612">
                  <c:v>44412</c:v>
                </c:pt>
                <c:pt idx="613">
                  <c:v>44413</c:v>
                </c:pt>
                <c:pt idx="614">
                  <c:v>44414</c:v>
                </c:pt>
                <c:pt idx="615">
                  <c:v>44415</c:v>
                </c:pt>
                <c:pt idx="616">
                  <c:v>44416</c:v>
                </c:pt>
                <c:pt idx="617">
                  <c:v>44417</c:v>
                </c:pt>
                <c:pt idx="618">
                  <c:v>44418</c:v>
                </c:pt>
                <c:pt idx="619">
                  <c:v>44419</c:v>
                </c:pt>
                <c:pt idx="620">
                  <c:v>44420</c:v>
                </c:pt>
                <c:pt idx="621">
                  <c:v>44421</c:v>
                </c:pt>
                <c:pt idx="622">
                  <c:v>44422</c:v>
                </c:pt>
                <c:pt idx="623">
                  <c:v>44423</c:v>
                </c:pt>
                <c:pt idx="624">
                  <c:v>44424</c:v>
                </c:pt>
                <c:pt idx="625">
                  <c:v>44425</c:v>
                </c:pt>
                <c:pt idx="626">
                  <c:v>44426</c:v>
                </c:pt>
                <c:pt idx="627">
                  <c:v>44427</c:v>
                </c:pt>
                <c:pt idx="628">
                  <c:v>44428</c:v>
                </c:pt>
                <c:pt idx="629">
                  <c:v>44429</c:v>
                </c:pt>
                <c:pt idx="630">
                  <c:v>44430</c:v>
                </c:pt>
                <c:pt idx="631">
                  <c:v>44431</c:v>
                </c:pt>
                <c:pt idx="632">
                  <c:v>44432</c:v>
                </c:pt>
                <c:pt idx="633">
                  <c:v>44433</c:v>
                </c:pt>
                <c:pt idx="634">
                  <c:v>44434</c:v>
                </c:pt>
                <c:pt idx="635">
                  <c:v>44435</c:v>
                </c:pt>
                <c:pt idx="636">
                  <c:v>44436</c:v>
                </c:pt>
                <c:pt idx="637">
                  <c:v>44437</c:v>
                </c:pt>
                <c:pt idx="638">
                  <c:v>44438</c:v>
                </c:pt>
                <c:pt idx="639">
                  <c:v>44439</c:v>
                </c:pt>
                <c:pt idx="640">
                  <c:v>44440</c:v>
                </c:pt>
                <c:pt idx="641">
                  <c:v>44441</c:v>
                </c:pt>
                <c:pt idx="642">
                  <c:v>44442</c:v>
                </c:pt>
                <c:pt idx="643">
                  <c:v>44443</c:v>
                </c:pt>
                <c:pt idx="644">
                  <c:v>44444</c:v>
                </c:pt>
                <c:pt idx="645">
                  <c:v>44445</c:v>
                </c:pt>
                <c:pt idx="646">
                  <c:v>44446</c:v>
                </c:pt>
                <c:pt idx="647">
                  <c:v>44447</c:v>
                </c:pt>
                <c:pt idx="648">
                  <c:v>44448</c:v>
                </c:pt>
                <c:pt idx="649">
                  <c:v>44449</c:v>
                </c:pt>
                <c:pt idx="650">
                  <c:v>44450</c:v>
                </c:pt>
                <c:pt idx="651">
                  <c:v>44451</c:v>
                </c:pt>
                <c:pt idx="652">
                  <c:v>44452</c:v>
                </c:pt>
                <c:pt idx="653">
                  <c:v>44453</c:v>
                </c:pt>
                <c:pt idx="654">
                  <c:v>44454</c:v>
                </c:pt>
                <c:pt idx="655">
                  <c:v>44455</c:v>
                </c:pt>
                <c:pt idx="656">
                  <c:v>44456</c:v>
                </c:pt>
                <c:pt idx="657">
                  <c:v>44457</c:v>
                </c:pt>
                <c:pt idx="658">
                  <c:v>44458</c:v>
                </c:pt>
                <c:pt idx="659">
                  <c:v>44459</c:v>
                </c:pt>
                <c:pt idx="660">
                  <c:v>44460</c:v>
                </c:pt>
                <c:pt idx="661">
                  <c:v>44461</c:v>
                </c:pt>
                <c:pt idx="662">
                  <c:v>44462</c:v>
                </c:pt>
                <c:pt idx="663">
                  <c:v>44463</c:v>
                </c:pt>
                <c:pt idx="664">
                  <c:v>44464</c:v>
                </c:pt>
                <c:pt idx="665">
                  <c:v>44465</c:v>
                </c:pt>
                <c:pt idx="666">
                  <c:v>44466</c:v>
                </c:pt>
                <c:pt idx="667">
                  <c:v>44467</c:v>
                </c:pt>
                <c:pt idx="668">
                  <c:v>44468</c:v>
                </c:pt>
                <c:pt idx="669">
                  <c:v>44469</c:v>
                </c:pt>
                <c:pt idx="670">
                  <c:v>44470</c:v>
                </c:pt>
                <c:pt idx="671">
                  <c:v>44471</c:v>
                </c:pt>
                <c:pt idx="672">
                  <c:v>44472</c:v>
                </c:pt>
                <c:pt idx="673">
                  <c:v>44473</c:v>
                </c:pt>
                <c:pt idx="674">
                  <c:v>44474</c:v>
                </c:pt>
                <c:pt idx="675">
                  <c:v>44475</c:v>
                </c:pt>
                <c:pt idx="676">
                  <c:v>44476</c:v>
                </c:pt>
                <c:pt idx="677">
                  <c:v>44477</c:v>
                </c:pt>
                <c:pt idx="678">
                  <c:v>44478</c:v>
                </c:pt>
                <c:pt idx="679">
                  <c:v>44479</c:v>
                </c:pt>
                <c:pt idx="680">
                  <c:v>44480</c:v>
                </c:pt>
                <c:pt idx="681">
                  <c:v>44481</c:v>
                </c:pt>
                <c:pt idx="682">
                  <c:v>44482</c:v>
                </c:pt>
                <c:pt idx="683">
                  <c:v>44483</c:v>
                </c:pt>
                <c:pt idx="684">
                  <c:v>44484</c:v>
                </c:pt>
                <c:pt idx="685">
                  <c:v>44485</c:v>
                </c:pt>
                <c:pt idx="686">
                  <c:v>44486</c:v>
                </c:pt>
                <c:pt idx="687">
                  <c:v>44487</c:v>
                </c:pt>
                <c:pt idx="688">
                  <c:v>44488</c:v>
                </c:pt>
                <c:pt idx="689">
                  <c:v>44489</c:v>
                </c:pt>
                <c:pt idx="690">
                  <c:v>44490</c:v>
                </c:pt>
                <c:pt idx="691">
                  <c:v>44491</c:v>
                </c:pt>
                <c:pt idx="692">
                  <c:v>44492</c:v>
                </c:pt>
                <c:pt idx="693">
                  <c:v>44493</c:v>
                </c:pt>
                <c:pt idx="694">
                  <c:v>44494</c:v>
                </c:pt>
                <c:pt idx="695">
                  <c:v>44495</c:v>
                </c:pt>
                <c:pt idx="696">
                  <c:v>44496</c:v>
                </c:pt>
                <c:pt idx="697">
                  <c:v>44497</c:v>
                </c:pt>
                <c:pt idx="698">
                  <c:v>44498</c:v>
                </c:pt>
                <c:pt idx="699">
                  <c:v>44499</c:v>
                </c:pt>
                <c:pt idx="700">
                  <c:v>44500</c:v>
                </c:pt>
                <c:pt idx="701">
                  <c:v>44501</c:v>
                </c:pt>
                <c:pt idx="702">
                  <c:v>44502</c:v>
                </c:pt>
                <c:pt idx="703">
                  <c:v>44503</c:v>
                </c:pt>
                <c:pt idx="704">
                  <c:v>44504</c:v>
                </c:pt>
                <c:pt idx="705">
                  <c:v>44505</c:v>
                </c:pt>
                <c:pt idx="706">
                  <c:v>44506</c:v>
                </c:pt>
                <c:pt idx="707">
                  <c:v>44507</c:v>
                </c:pt>
                <c:pt idx="708">
                  <c:v>44508</c:v>
                </c:pt>
                <c:pt idx="709">
                  <c:v>44509</c:v>
                </c:pt>
                <c:pt idx="710">
                  <c:v>44510</c:v>
                </c:pt>
                <c:pt idx="711">
                  <c:v>44511</c:v>
                </c:pt>
                <c:pt idx="712">
                  <c:v>44512</c:v>
                </c:pt>
                <c:pt idx="713">
                  <c:v>44513</c:v>
                </c:pt>
                <c:pt idx="714">
                  <c:v>44514</c:v>
                </c:pt>
                <c:pt idx="715">
                  <c:v>44515</c:v>
                </c:pt>
                <c:pt idx="716">
                  <c:v>44516</c:v>
                </c:pt>
                <c:pt idx="717">
                  <c:v>44517</c:v>
                </c:pt>
                <c:pt idx="718">
                  <c:v>44518</c:v>
                </c:pt>
                <c:pt idx="719">
                  <c:v>44519</c:v>
                </c:pt>
                <c:pt idx="720">
                  <c:v>44520</c:v>
                </c:pt>
                <c:pt idx="721">
                  <c:v>44521</c:v>
                </c:pt>
                <c:pt idx="722">
                  <c:v>44522</c:v>
                </c:pt>
                <c:pt idx="723">
                  <c:v>44523</c:v>
                </c:pt>
                <c:pt idx="724">
                  <c:v>44524</c:v>
                </c:pt>
                <c:pt idx="725">
                  <c:v>44525</c:v>
                </c:pt>
                <c:pt idx="726">
                  <c:v>44526</c:v>
                </c:pt>
                <c:pt idx="727">
                  <c:v>44527</c:v>
                </c:pt>
                <c:pt idx="728">
                  <c:v>44528</c:v>
                </c:pt>
                <c:pt idx="729">
                  <c:v>44529</c:v>
                </c:pt>
                <c:pt idx="730">
                  <c:v>44530</c:v>
                </c:pt>
                <c:pt idx="731">
                  <c:v>44531</c:v>
                </c:pt>
                <c:pt idx="732">
                  <c:v>44532</c:v>
                </c:pt>
                <c:pt idx="733">
                  <c:v>44533</c:v>
                </c:pt>
                <c:pt idx="734">
                  <c:v>44534</c:v>
                </c:pt>
                <c:pt idx="735">
                  <c:v>44535</c:v>
                </c:pt>
                <c:pt idx="736">
                  <c:v>44536</c:v>
                </c:pt>
                <c:pt idx="737">
                  <c:v>44537</c:v>
                </c:pt>
                <c:pt idx="738">
                  <c:v>44538</c:v>
                </c:pt>
                <c:pt idx="739">
                  <c:v>44539</c:v>
                </c:pt>
                <c:pt idx="740">
                  <c:v>44540</c:v>
                </c:pt>
                <c:pt idx="741">
                  <c:v>44541</c:v>
                </c:pt>
                <c:pt idx="742">
                  <c:v>44542</c:v>
                </c:pt>
                <c:pt idx="743">
                  <c:v>44543</c:v>
                </c:pt>
                <c:pt idx="744">
                  <c:v>44544</c:v>
                </c:pt>
                <c:pt idx="745">
                  <c:v>44545</c:v>
                </c:pt>
                <c:pt idx="746">
                  <c:v>44546</c:v>
                </c:pt>
                <c:pt idx="747">
                  <c:v>44547</c:v>
                </c:pt>
                <c:pt idx="748">
                  <c:v>44548</c:v>
                </c:pt>
                <c:pt idx="749">
                  <c:v>44549</c:v>
                </c:pt>
                <c:pt idx="750">
                  <c:v>44550</c:v>
                </c:pt>
                <c:pt idx="751">
                  <c:v>44551</c:v>
                </c:pt>
                <c:pt idx="752">
                  <c:v>44552</c:v>
                </c:pt>
                <c:pt idx="753">
                  <c:v>44553</c:v>
                </c:pt>
                <c:pt idx="754">
                  <c:v>44554</c:v>
                </c:pt>
                <c:pt idx="755">
                  <c:v>44555</c:v>
                </c:pt>
                <c:pt idx="756">
                  <c:v>44556</c:v>
                </c:pt>
                <c:pt idx="757">
                  <c:v>44557</c:v>
                </c:pt>
                <c:pt idx="758">
                  <c:v>44558</c:v>
                </c:pt>
                <c:pt idx="759">
                  <c:v>44559</c:v>
                </c:pt>
                <c:pt idx="760">
                  <c:v>44560</c:v>
                </c:pt>
                <c:pt idx="761">
                  <c:v>44561</c:v>
                </c:pt>
                <c:pt idx="762">
                  <c:v>44562</c:v>
                </c:pt>
                <c:pt idx="763">
                  <c:v>44563</c:v>
                </c:pt>
                <c:pt idx="764">
                  <c:v>44564</c:v>
                </c:pt>
                <c:pt idx="765">
                  <c:v>44565</c:v>
                </c:pt>
                <c:pt idx="766">
                  <c:v>44566</c:v>
                </c:pt>
                <c:pt idx="767">
                  <c:v>44567</c:v>
                </c:pt>
                <c:pt idx="768">
                  <c:v>44568</c:v>
                </c:pt>
                <c:pt idx="769">
                  <c:v>44569</c:v>
                </c:pt>
                <c:pt idx="770">
                  <c:v>44570</c:v>
                </c:pt>
                <c:pt idx="771">
                  <c:v>44571</c:v>
                </c:pt>
                <c:pt idx="772">
                  <c:v>44572</c:v>
                </c:pt>
                <c:pt idx="773">
                  <c:v>44573</c:v>
                </c:pt>
                <c:pt idx="774">
                  <c:v>44574</c:v>
                </c:pt>
                <c:pt idx="775">
                  <c:v>44575</c:v>
                </c:pt>
                <c:pt idx="776">
                  <c:v>44576</c:v>
                </c:pt>
                <c:pt idx="777">
                  <c:v>44577</c:v>
                </c:pt>
                <c:pt idx="778">
                  <c:v>44578</c:v>
                </c:pt>
                <c:pt idx="779">
                  <c:v>44579</c:v>
                </c:pt>
                <c:pt idx="780">
                  <c:v>44580</c:v>
                </c:pt>
                <c:pt idx="781">
                  <c:v>44581</c:v>
                </c:pt>
                <c:pt idx="782">
                  <c:v>44582</c:v>
                </c:pt>
                <c:pt idx="783">
                  <c:v>44583</c:v>
                </c:pt>
                <c:pt idx="784">
                  <c:v>44584</c:v>
                </c:pt>
                <c:pt idx="785">
                  <c:v>44585</c:v>
                </c:pt>
                <c:pt idx="786">
                  <c:v>44586</c:v>
                </c:pt>
                <c:pt idx="787">
                  <c:v>44587</c:v>
                </c:pt>
                <c:pt idx="788">
                  <c:v>44588</c:v>
                </c:pt>
                <c:pt idx="789">
                  <c:v>44589</c:v>
                </c:pt>
                <c:pt idx="790">
                  <c:v>44590</c:v>
                </c:pt>
                <c:pt idx="791">
                  <c:v>44591</c:v>
                </c:pt>
                <c:pt idx="792">
                  <c:v>44592</c:v>
                </c:pt>
                <c:pt idx="793">
                  <c:v>44593</c:v>
                </c:pt>
                <c:pt idx="794">
                  <c:v>44594</c:v>
                </c:pt>
                <c:pt idx="795">
                  <c:v>44595</c:v>
                </c:pt>
                <c:pt idx="796">
                  <c:v>44596</c:v>
                </c:pt>
                <c:pt idx="797">
                  <c:v>44597</c:v>
                </c:pt>
                <c:pt idx="798">
                  <c:v>44598</c:v>
                </c:pt>
                <c:pt idx="799">
                  <c:v>44599</c:v>
                </c:pt>
                <c:pt idx="800">
                  <c:v>44600</c:v>
                </c:pt>
                <c:pt idx="801">
                  <c:v>44601</c:v>
                </c:pt>
                <c:pt idx="802">
                  <c:v>44602</c:v>
                </c:pt>
                <c:pt idx="803">
                  <c:v>44603</c:v>
                </c:pt>
                <c:pt idx="804">
                  <c:v>44604</c:v>
                </c:pt>
                <c:pt idx="805">
                  <c:v>44605</c:v>
                </c:pt>
                <c:pt idx="806">
                  <c:v>44606</c:v>
                </c:pt>
                <c:pt idx="807">
                  <c:v>44607</c:v>
                </c:pt>
                <c:pt idx="808">
                  <c:v>44608</c:v>
                </c:pt>
                <c:pt idx="809">
                  <c:v>44609</c:v>
                </c:pt>
                <c:pt idx="810">
                  <c:v>44610</c:v>
                </c:pt>
                <c:pt idx="811">
                  <c:v>44611</c:v>
                </c:pt>
                <c:pt idx="812">
                  <c:v>44612</c:v>
                </c:pt>
                <c:pt idx="813">
                  <c:v>44613</c:v>
                </c:pt>
                <c:pt idx="814">
                  <c:v>44614</c:v>
                </c:pt>
                <c:pt idx="815">
                  <c:v>44615</c:v>
                </c:pt>
                <c:pt idx="816">
                  <c:v>44616</c:v>
                </c:pt>
                <c:pt idx="817">
                  <c:v>44617</c:v>
                </c:pt>
                <c:pt idx="818">
                  <c:v>44618</c:v>
                </c:pt>
                <c:pt idx="819">
                  <c:v>44619</c:v>
                </c:pt>
                <c:pt idx="820">
                  <c:v>44620</c:v>
                </c:pt>
                <c:pt idx="821">
                  <c:v>44621</c:v>
                </c:pt>
                <c:pt idx="822">
                  <c:v>44622</c:v>
                </c:pt>
                <c:pt idx="823">
                  <c:v>44623</c:v>
                </c:pt>
                <c:pt idx="824">
                  <c:v>44624</c:v>
                </c:pt>
                <c:pt idx="825">
                  <c:v>44625</c:v>
                </c:pt>
                <c:pt idx="826">
                  <c:v>44626</c:v>
                </c:pt>
                <c:pt idx="827">
                  <c:v>44627</c:v>
                </c:pt>
                <c:pt idx="828">
                  <c:v>44628</c:v>
                </c:pt>
                <c:pt idx="829">
                  <c:v>44629</c:v>
                </c:pt>
                <c:pt idx="830">
                  <c:v>44630</c:v>
                </c:pt>
                <c:pt idx="831">
                  <c:v>44631</c:v>
                </c:pt>
                <c:pt idx="832">
                  <c:v>44632</c:v>
                </c:pt>
                <c:pt idx="833">
                  <c:v>44633</c:v>
                </c:pt>
                <c:pt idx="834">
                  <c:v>44634</c:v>
                </c:pt>
                <c:pt idx="835">
                  <c:v>44635</c:v>
                </c:pt>
                <c:pt idx="836">
                  <c:v>44636</c:v>
                </c:pt>
                <c:pt idx="837">
                  <c:v>44637</c:v>
                </c:pt>
                <c:pt idx="838">
                  <c:v>44638</c:v>
                </c:pt>
                <c:pt idx="839">
                  <c:v>44639</c:v>
                </c:pt>
                <c:pt idx="840">
                  <c:v>44640</c:v>
                </c:pt>
                <c:pt idx="841">
                  <c:v>44641</c:v>
                </c:pt>
                <c:pt idx="842">
                  <c:v>44642</c:v>
                </c:pt>
                <c:pt idx="843">
                  <c:v>44643</c:v>
                </c:pt>
                <c:pt idx="844">
                  <c:v>44644</c:v>
                </c:pt>
                <c:pt idx="845">
                  <c:v>44645</c:v>
                </c:pt>
                <c:pt idx="846">
                  <c:v>44646</c:v>
                </c:pt>
                <c:pt idx="847">
                  <c:v>44647</c:v>
                </c:pt>
                <c:pt idx="848">
                  <c:v>44648</c:v>
                </c:pt>
                <c:pt idx="849">
                  <c:v>44649</c:v>
                </c:pt>
                <c:pt idx="850">
                  <c:v>44650</c:v>
                </c:pt>
                <c:pt idx="851">
                  <c:v>44651</c:v>
                </c:pt>
                <c:pt idx="852">
                  <c:v>44652</c:v>
                </c:pt>
                <c:pt idx="853">
                  <c:v>44653</c:v>
                </c:pt>
                <c:pt idx="854">
                  <c:v>44654</c:v>
                </c:pt>
                <c:pt idx="855">
                  <c:v>44655</c:v>
                </c:pt>
                <c:pt idx="856">
                  <c:v>44656</c:v>
                </c:pt>
                <c:pt idx="857">
                  <c:v>44657</c:v>
                </c:pt>
                <c:pt idx="858">
                  <c:v>44658</c:v>
                </c:pt>
                <c:pt idx="859">
                  <c:v>44659</c:v>
                </c:pt>
                <c:pt idx="860">
                  <c:v>44660</c:v>
                </c:pt>
                <c:pt idx="861">
                  <c:v>44661</c:v>
                </c:pt>
                <c:pt idx="862">
                  <c:v>44662</c:v>
                </c:pt>
                <c:pt idx="863">
                  <c:v>44663</c:v>
                </c:pt>
                <c:pt idx="864">
                  <c:v>44664</c:v>
                </c:pt>
                <c:pt idx="865">
                  <c:v>44665</c:v>
                </c:pt>
                <c:pt idx="866">
                  <c:v>44666</c:v>
                </c:pt>
                <c:pt idx="867">
                  <c:v>44667</c:v>
                </c:pt>
                <c:pt idx="868">
                  <c:v>44668</c:v>
                </c:pt>
                <c:pt idx="869">
                  <c:v>44669</c:v>
                </c:pt>
                <c:pt idx="870">
                  <c:v>44670</c:v>
                </c:pt>
                <c:pt idx="871">
                  <c:v>44671</c:v>
                </c:pt>
                <c:pt idx="872">
                  <c:v>44672</c:v>
                </c:pt>
                <c:pt idx="873">
                  <c:v>44673</c:v>
                </c:pt>
                <c:pt idx="874">
                  <c:v>44674</c:v>
                </c:pt>
                <c:pt idx="875">
                  <c:v>44675</c:v>
                </c:pt>
                <c:pt idx="876">
                  <c:v>44676</c:v>
                </c:pt>
                <c:pt idx="877">
                  <c:v>44677</c:v>
                </c:pt>
                <c:pt idx="878">
                  <c:v>44678</c:v>
                </c:pt>
                <c:pt idx="879">
                  <c:v>44679</c:v>
                </c:pt>
                <c:pt idx="880">
                  <c:v>44680</c:v>
                </c:pt>
                <c:pt idx="881">
                  <c:v>44681</c:v>
                </c:pt>
                <c:pt idx="882">
                  <c:v>44682</c:v>
                </c:pt>
                <c:pt idx="883">
                  <c:v>44683</c:v>
                </c:pt>
                <c:pt idx="884">
                  <c:v>44684</c:v>
                </c:pt>
                <c:pt idx="885">
                  <c:v>44685</c:v>
                </c:pt>
                <c:pt idx="886">
                  <c:v>44686</c:v>
                </c:pt>
                <c:pt idx="887">
                  <c:v>44687</c:v>
                </c:pt>
                <c:pt idx="888">
                  <c:v>44688</c:v>
                </c:pt>
                <c:pt idx="889">
                  <c:v>44689</c:v>
                </c:pt>
                <c:pt idx="890">
                  <c:v>44690</c:v>
                </c:pt>
                <c:pt idx="891">
                  <c:v>44691</c:v>
                </c:pt>
                <c:pt idx="892">
                  <c:v>44692</c:v>
                </c:pt>
                <c:pt idx="893">
                  <c:v>44693</c:v>
                </c:pt>
                <c:pt idx="894">
                  <c:v>44694</c:v>
                </c:pt>
                <c:pt idx="895">
                  <c:v>44695</c:v>
                </c:pt>
                <c:pt idx="896">
                  <c:v>44696</c:v>
                </c:pt>
                <c:pt idx="897">
                  <c:v>44697</c:v>
                </c:pt>
                <c:pt idx="898">
                  <c:v>44698</c:v>
                </c:pt>
                <c:pt idx="899">
                  <c:v>44699</c:v>
                </c:pt>
                <c:pt idx="900">
                  <c:v>44700</c:v>
                </c:pt>
                <c:pt idx="901">
                  <c:v>44701</c:v>
                </c:pt>
                <c:pt idx="902">
                  <c:v>44702</c:v>
                </c:pt>
                <c:pt idx="903">
                  <c:v>44703</c:v>
                </c:pt>
                <c:pt idx="904">
                  <c:v>44704</c:v>
                </c:pt>
                <c:pt idx="905">
                  <c:v>44705</c:v>
                </c:pt>
                <c:pt idx="906">
                  <c:v>44706</c:v>
                </c:pt>
                <c:pt idx="907">
                  <c:v>44707</c:v>
                </c:pt>
                <c:pt idx="908">
                  <c:v>44708</c:v>
                </c:pt>
                <c:pt idx="909">
                  <c:v>44709</c:v>
                </c:pt>
                <c:pt idx="910">
                  <c:v>44710</c:v>
                </c:pt>
                <c:pt idx="911">
                  <c:v>44711</c:v>
                </c:pt>
                <c:pt idx="912">
                  <c:v>44712</c:v>
                </c:pt>
                <c:pt idx="913">
                  <c:v>44713</c:v>
                </c:pt>
                <c:pt idx="914">
                  <c:v>44714</c:v>
                </c:pt>
                <c:pt idx="915">
                  <c:v>44715</c:v>
                </c:pt>
                <c:pt idx="916">
                  <c:v>44716</c:v>
                </c:pt>
                <c:pt idx="917">
                  <c:v>44717</c:v>
                </c:pt>
                <c:pt idx="918">
                  <c:v>44718</c:v>
                </c:pt>
                <c:pt idx="919">
                  <c:v>44719</c:v>
                </c:pt>
                <c:pt idx="920">
                  <c:v>44720</c:v>
                </c:pt>
                <c:pt idx="921">
                  <c:v>44721</c:v>
                </c:pt>
                <c:pt idx="922">
                  <c:v>44722</c:v>
                </c:pt>
                <c:pt idx="923">
                  <c:v>44723</c:v>
                </c:pt>
                <c:pt idx="924">
                  <c:v>44724</c:v>
                </c:pt>
                <c:pt idx="925">
                  <c:v>44725</c:v>
                </c:pt>
                <c:pt idx="926">
                  <c:v>44726</c:v>
                </c:pt>
                <c:pt idx="927">
                  <c:v>44727</c:v>
                </c:pt>
                <c:pt idx="928">
                  <c:v>44728</c:v>
                </c:pt>
                <c:pt idx="929">
                  <c:v>44729</c:v>
                </c:pt>
                <c:pt idx="930">
                  <c:v>44730</c:v>
                </c:pt>
                <c:pt idx="931">
                  <c:v>44731</c:v>
                </c:pt>
                <c:pt idx="932">
                  <c:v>44732</c:v>
                </c:pt>
                <c:pt idx="933">
                  <c:v>44733</c:v>
                </c:pt>
                <c:pt idx="934">
                  <c:v>44734</c:v>
                </c:pt>
                <c:pt idx="935">
                  <c:v>44735</c:v>
                </c:pt>
                <c:pt idx="936">
                  <c:v>44736</c:v>
                </c:pt>
                <c:pt idx="937">
                  <c:v>44737</c:v>
                </c:pt>
                <c:pt idx="938">
                  <c:v>44738</c:v>
                </c:pt>
                <c:pt idx="939">
                  <c:v>44739</c:v>
                </c:pt>
                <c:pt idx="940">
                  <c:v>44740</c:v>
                </c:pt>
                <c:pt idx="941">
                  <c:v>44741</c:v>
                </c:pt>
                <c:pt idx="942">
                  <c:v>44742</c:v>
                </c:pt>
                <c:pt idx="943">
                  <c:v>44743</c:v>
                </c:pt>
                <c:pt idx="944">
                  <c:v>44744</c:v>
                </c:pt>
                <c:pt idx="945">
                  <c:v>44745</c:v>
                </c:pt>
                <c:pt idx="946">
                  <c:v>44746</c:v>
                </c:pt>
                <c:pt idx="947">
                  <c:v>44747</c:v>
                </c:pt>
                <c:pt idx="948">
                  <c:v>44748</c:v>
                </c:pt>
                <c:pt idx="949">
                  <c:v>44749</c:v>
                </c:pt>
                <c:pt idx="950">
                  <c:v>44750</c:v>
                </c:pt>
                <c:pt idx="951">
                  <c:v>44751</c:v>
                </c:pt>
                <c:pt idx="952">
                  <c:v>44752</c:v>
                </c:pt>
                <c:pt idx="953">
                  <c:v>44753</c:v>
                </c:pt>
                <c:pt idx="954">
                  <c:v>44754</c:v>
                </c:pt>
                <c:pt idx="955">
                  <c:v>44755</c:v>
                </c:pt>
                <c:pt idx="956">
                  <c:v>44756</c:v>
                </c:pt>
                <c:pt idx="957">
                  <c:v>44757</c:v>
                </c:pt>
                <c:pt idx="958">
                  <c:v>44758</c:v>
                </c:pt>
                <c:pt idx="959">
                  <c:v>44759</c:v>
                </c:pt>
                <c:pt idx="960">
                  <c:v>44760</c:v>
                </c:pt>
                <c:pt idx="961">
                  <c:v>44761</c:v>
                </c:pt>
                <c:pt idx="962">
                  <c:v>44762</c:v>
                </c:pt>
                <c:pt idx="963">
                  <c:v>44763</c:v>
                </c:pt>
                <c:pt idx="964">
                  <c:v>44764</c:v>
                </c:pt>
                <c:pt idx="965">
                  <c:v>44765</c:v>
                </c:pt>
                <c:pt idx="966">
                  <c:v>44766</c:v>
                </c:pt>
                <c:pt idx="967">
                  <c:v>44767</c:v>
                </c:pt>
                <c:pt idx="968">
                  <c:v>44768</c:v>
                </c:pt>
                <c:pt idx="969">
                  <c:v>44769</c:v>
                </c:pt>
                <c:pt idx="970">
                  <c:v>44770</c:v>
                </c:pt>
                <c:pt idx="971">
                  <c:v>44771</c:v>
                </c:pt>
                <c:pt idx="972">
                  <c:v>44772</c:v>
                </c:pt>
                <c:pt idx="973">
                  <c:v>44773</c:v>
                </c:pt>
                <c:pt idx="974">
                  <c:v>44774</c:v>
                </c:pt>
                <c:pt idx="975">
                  <c:v>44775</c:v>
                </c:pt>
                <c:pt idx="976">
                  <c:v>44776</c:v>
                </c:pt>
                <c:pt idx="977">
                  <c:v>44777</c:v>
                </c:pt>
                <c:pt idx="978">
                  <c:v>44778</c:v>
                </c:pt>
                <c:pt idx="979">
                  <c:v>44779</c:v>
                </c:pt>
                <c:pt idx="980">
                  <c:v>44780</c:v>
                </c:pt>
                <c:pt idx="981">
                  <c:v>44781</c:v>
                </c:pt>
                <c:pt idx="982">
                  <c:v>44782</c:v>
                </c:pt>
                <c:pt idx="983">
                  <c:v>44783</c:v>
                </c:pt>
                <c:pt idx="984">
                  <c:v>44784</c:v>
                </c:pt>
                <c:pt idx="985">
                  <c:v>44785</c:v>
                </c:pt>
                <c:pt idx="986">
                  <c:v>44786</c:v>
                </c:pt>
                <c:pt idx="987">
                  <c:v>44787</c:v>
                </c:pt>
                <c:pt idx="988">
                  <c:v>44788</c:v>
                </c:pt>
                <c:pt idx="989">
                  <c:v>44789</c:v>
                </c:pt>
                <c:pt idx="990">
                  <c:v>44790</c:v>
                </c:pt>
                <c:pt idx="991">
                  <c:v>44791</c:v>
                </c:pt>
                <c:pt idx="992">
                  <c:v>44792</c:v>
                </c:pt>
                <c:pt idx="993">
                  <c:v>44793</c:v>
                </c:pt>
                <c:pt idx="994">
                  <c:v>44794</c:v>
                </c:pt>
                <c:pt idx="995">
                  <c:v>44795</c:v>
                </c:pt>
                <c:pt idx="996">
                  <c:v>44796</c:v>
                </c:pt>
                <c:pt idx="997">
                  <c:v>44797</c:v>
                </c:pt>
                <c:pt idx="998">
                  <c:v>44798</c:v>
                </c:pt>
                <c:pt idx="999">
                  <c:v>44799</c:v>
                </c:pt>
                <c:pt idx="1000">
                  <c:v>44800</c:v>
                </c:pt>
                <c:pt idx="1001">
                  <c:v>44801</c:v>
                </c:pt>
                <c:pt idx="1002">
                  <c:v>44802</c:v>
                </c:pt>
                <c:pt idx="1003">
                  <c:v>44803</c:v>
                </c:pt>
                <c:pt idx="1004">
                  <c:v>44804</c:v>
                </c:pt>
                <c:pt idx="1005">
                  <c:v>44805</c:v>
                </c:pt>
                <c:pt idx="1006">
                  <c:v>44806</c:v>
                </c:pt>
                <c:pt idx="1007">
                  <c:v>44807</c:v>
                </c:pt>
                <c:pt idx="1008">
                  <c:v>44808</c:v>
                </c:pt>
                <c:pt idx="1009">
                  <c:v>44809</c:v>
                </c:pt>
                <c:pt idx="1010">
                  <c:v>44810</c:v>
                </c:pt>
                <c:pt idx="1011">
                  <c:v>44811</c:v>
                </c:pt>
                <c:pt idx="1012">
                  <c:v>44812</c:v>
                </c:pt>
                <c:pt idx="1013">
                  <c:v>44813</c:v>
                </c:pt>
                <c:pt idx="1014">
                  <c:v>44814</c:v>
                </c:pt>
                <c:pt idx="1015">
                  <c:v>44815</c:v>
                </c:pt>
                <c:pt idx="1016">
                  <c:v>44816</c:v>
                </c:pt>
                <c:pt idx="1017">
                  <c:v>44817</c:v>
                </c:pt>
                <c:pt idx="1018">
                  <c:v>44818</c:v>
                </c:pt>
                <c:pt idx="1019">
                  <c:v>44819</c:v>
                </c:pt>
                <c:pt idx="1020">
                  <c:v>44820</c:v>
                </c:pt>
                <c:pt idx="1021">
                  <c:v>44821</c:v>
                </c:pt>
                <c:pt idx="1022">
                  <c:v>44822</c:v>
                </c:pt>
                <c:pt idx="1023">
                  <c:v>44823</c:v>
                </c:pt>
                <c:pt idx="1024">
                  <c:v>44824</c:v>
                </c:pt>
                <c:pt idx="1025">
                  <c:v>44825</c:v>
                </c:pt>
                <c:pt idx="1026">
                  <c:v>44826</c:v>
                </c:pt>
                <c:pt idx="1027">
                  <c:v>44827</c:v>
                </c:pt>
                <c:pt idx="1028">
                  <c:v>44828</c:v>
                </c:pt>
                <c:pt idx="1029">
                  <c:v>44829</c:v>
                </c:pt>
                <c:pt idx="1030">
                  <c:v>44830</c:v>
                </c:pt>
                <c:pt idx="1031">
                  <c:v>44831</c:v>
                </c:pt>
                <c:pt idx="1032">
                  <c:v>44832</c:v>
                </c:pt>
                <c:pt idx="1033">
                  <c:v>44833</c:v>
                </c:pt>
                <c:pt idx="1034">
                  <c:v>44834</c:v>
                </c:pt>
                <c:pt idx="1035">
                  <c:v>44835</c:v>
                </c:pt>
                <c:pt idx="1036">
                  <c:v>44836</c:v>
                </c:pt>
                <c:pt idx="1037">
                  <c:v>44837</c:v>
                </c:pt>
                <c:pt idx="1038">
                  <c:v>44838</c:v>
                </c:pt>
                <c:pt idx="1039">
                  <c:v>44839</c:v>
                </c:pt>
                <c:pt idx="1040">
                  <c:v>44840</c:v>
                </c:pt>
                <c:pt idx="1041">
                  <c:v>44841</c:v>
                </c:pt>
                <c:pt idx="1042">
                  <c:v>44842</c:v>
                </c:pt>
                <c:pt idx="1043">
                  <c:v>44843</c:v>
                </c:pt>
                <c:pt idx="1044">
                  <c:v>44844</c:v>
                </c:pt>
                <c:pt idx="1045">
                  <c:v>44845</c:v>
                </c:pt>
                <c:pt idx="1046">
                  <c:v>44846</c:v>
                </c:pt>
                <c:pt idx="1047">
                  <c:v>44847</c:v>
                </c:pt>
                <c:pt idx="1048">
                  <c:v>44848</c:v>
                </c:pt>
                <c:pt idx="1049">
                  <c:v>44849</c:v>
                </c:pt>
              </c:numCache>
            </c:numRef>
          </c:cat>
          <c:val>
            <c:numRef>
              <c:f>'In-Situ (2)'!$B$336:$B$1385</c:f>
              <c:numCache>
                <c:formatCode>0.0</c:formatCode>
                <c:ptCount val="1050"/>
                <c:pt idx="0">
                  <c:v>0.80055528979591861</c:v>
                </c:pt>
                <c:pt idx="1">
                  <c:v>0.7735702040816318</c:v>
                </c:pt>
                <c:pt idx="2">
                  <c:v>0.75560063510204101</c:v>
                </c:pt>
                <c:pt idx="3">
                  <c:v>0.56239817142857085</c:v>
                </c:pt>
                <c:pt idx="4">
                  <c:v>0.82962295346938753</c:v>
                </c:pt>
                <c:pt idx="5">
                  <c:v>0.36469550204081591</c:v>
                </c:pt>
                <c:pt idx="6">
                  <c:v>0.69936169959183692</c:v>
                </c:pt>
                <c:pt idx="7">
                  <c:v>0.79068989387755062</c:v>
                </c:pt>
                <c:pt idx="8">
                  <c:v>0.99891517224489745</c:v>
                </c:pt>
                <c:pt idx="9">
                  <c:v>1.1578245061224488</c:v>
                </c:pt>
                <c:pt idx="10">
                  <c:v>0.34897466938775523</c:v>
                </c:pt>
                <c:pt idx="11">
                  <c:v>1.2952842318367348</c:v>
                </c:pt>
                <c:pt idx="12">
                  <c:v>1.6255677306122445</c:v>
                </c:pt>
                <c:pt idx="13">
                  <c:v>1.502138806530612</c:v>
                </c:pt>
                <c:pt idx="14">
                  <c:v>0.38503938122449</c:v>
                </c:pt>
                <c:pt idx="15">
                  <c:v>0.73619094857142886</c:v>
                </c:pt>
                <c:pt idx="16">
                  <c:v>1.0868213387755095</c:v>
                </c:pt>
                <c:pt idx="17">
                  <c:v>0.91761575510204074</c:v>
                </c:pt>
                <c:pt idx="18">
                  <c:v>1.04378172244898</c:v>
                </c:pt>
                <c:pt idx="19">
                  <c:v>1.2585624244897964</c:v>
                </c:pt>
                <c:pt idx="20">
                  <c:v>1.0968695999999998</c:v>
                </c:pt>
                <c:pt idx="21">
                  <c:v>1.1504554971428573</c:v>
                </c:pt>
                <c:pt idx="22">
                  <c:v>1.2503662824489796</c:v>
                </c:pt>
                <c:pt idx="23">
                  <c:v>2.509255983673468</c:v>
                </c:pt>
                <c:pt idx="24">
                  <c:v>1.7248639591836736</c:v>
                </c:pt>
                <c:pt idx="25">
                  <c:v>2.3049343836734697</c:v>
                </c:pt>
                <c:pt idx="26">
                  <c:v>1.1855632408163261</c:v>
                </c:pt>
                <c:pt idx="27">
                  <c:v>1.1650774775510198</c:v>
                </c:pt>
                <c:pt idx="28">
                  <c:v>1.6119340897959196</c:v>
                </c:pt>
                <c:pt idx="29">
                  <c:v>1.3287343297959187</c:v>
                </c:pt>
                <c:pt idx="30">
                  <c:v>0.82977059755102045</c:v>
                </c:pt>
                <c:pt idx="31">
                  <c:v>1.5263222400000003</c:v>
                </c:pt>
                <c:pt idx="32">
                  <c:v>1.4831123510204069</c:v>
                </c:pt>
                <c:pt idx="33">
                  <c:v>2.7698772342857141</c:v>
                </c:pt>
                <c:pt idx="34">
                  <c:v>1.7798227346938764</c:v>
                </c:pt>
                <c:pt idx="35">
                  <c:v>2.5831097338775519</c:v>
                </c:pt>
                <c:pt idx="36">
                  <c:v>2.2961798595918359</c:v>
                </c:pt>
                <c:pt idx="37">
                  <c:v>2.6397843428571428</c:v>
                </c:pt>
                <c:pt idx="38">
                  <c:v>1.8523332440816318</c:v>
                </c:pt>
                <c:pt idx="39">
                  <c:v>2.2579888408163264</c:v>
                </c:pt>
                <c:pt idx="40">
                  <c:v>1.7900930351020405</c:v>
                </c:pt>
                <c:pt idx="41">
                  <c:v>2.6058388408163271</c:v>
                </c:pt>
                <c:pt idx="42">
                  <c:v>2.0622367983673469</c:v>
                </c:pt>
                <c:pt idx="43">
                  <c:v>1.7952375967346939</c:v>
                </c:pt>
                <c:pt idx="44">
                  <c:v>1.9454521518367338</c:v>
                </c:pt>
                <c:pt idx="45">
                  <c:v>0.41899857795918299</c:v>
                </c:pt>
                <c:pt idx="46">
                  <c:v>2.6661329485714296</c:v>
                </c:pt>
                <c:pt idx="47">
                  <c:v>1.4962282530612239</c:v>
                </c:pt>
                <c:pt idx="48">
                  <c:v>2.4357428816326521</c:v>
                </c:pt>
                <c:pt idx="49">
                  <c:v>1.8066987330612241</c:v>
                </c:pt>
                <c:pt idx="50">
                  <c:v>2.6522490269387751</c:v>
                </c:pt>
                <c:pt idx="51">
                  <c:v>2.4048014840816312</c:v>
                </c:pt>
                <c:pt idx="52">
                  <c:v>2.2140445959183661</c:v>
                </c:pt>
                <c:pt idx="53">
                  <c:v>2.3251868081632652</c:v>
                </c:pt>
                <c:pt idx="54">
                  <c:v>3.0146125959183667</c:v>
                </c:pt>
                <c:pt idx="55">
                  <c:v>1.9807350906122443</c:v>
                </c:pt>
                <c:pt idx="56">
                  <c:v>1.624985044897959</c:v>
                </c:pt>
                <c:pt idx="57">
                  <c:v>2.0304643297959184</c:v>
                </c:pt>
                <c:pt idx="58">
                  <c:v>2.4646054481632644</c:v>
                </c:pt>
                <c:pt idx="59">
                  <c:v>2.2526196097959179</c:v>
                </c:pt>
                <c:pt idx="60">
                  <c:v>2.7901828800000028</c:v>
                </c:pt>
                <c:pt idx="61">
                  <c:v>2.9230657126530599</c:v>
                </c:pt>
                <c:pt idx="62">
                  <c:v>2.257524940408163</c:v>
                </c:pt>
                <c:pt idx="63">
                  <c:v>1.8353913648979592</c:v>
                </c:pt>
                <c:pt idx="64">
                  <c:v>1.9693728734693872</c:v>
                </c:pt>
                <c:pt idx="65">
                  <c:v>1.7236487314285716</c:v>
                </c:pt>
                <c:pt idx="66">
                  <c:v>3.3597851804081631</c:v>
                </c:pt>
                <c:pt idx="67">
                  <c:v>3.6889638318367348</c:v>
                </c:pt>
                <c:pt idx="68">
                  <c:v>3.3627392228571416</c:v>
                </c:pt>
                <c:pt idx="69">
                  <c:v>2.2785562498481631</c:v>
                </c:pt>
                <c:pt idx="70">
                  <c:v>2.0014085093877547</c:v>
                </c:pt>
                <c:pt idx="71">
                  <c:v>2.2970608423523262</c:v>
                </c:pt>
                <c:pt idx="72">
                  <c:v>1.9340212468819591</c:v>
                </c:pt>
                <c:pt idx="73">
                  <c:v>3.0791422394096322</c:v>
                </c:pt>
                <c:pt idx="74">
                  <c:v>3.367084496679182</c:v>
                </c:pt>
                <c:pt idx="75">
                  <c:v>1.4340524428329791</c:v>
                </c:pt>
                <c:pt idx="76">
                  <c:v>2.5161723933648976</c:v>
                </c:pt>
                <c:pt idx="77">
                  <c:v>2.8444001046230207</c:v>
                </c:pt>
                <c:pt idx="78">
                  <c:v>3.1314374707121626</c:v>
                </c:pt>
                <c:pt idx="79">
                  <c:v>2.8616319109146131</c:v>
                </c:pt>
                <c:pt idx="80">
                  <c:v>1.8560693199203264</c:v>
                </c:pt>
                <c:pt idx="81">
                  <c:v>2.6489712956708584</c:v>
                </c:pt>
                <c:pt idx="82">
                  <c:v>3.0886194371657134</c:v>
                </c:pt>
                <c:pt idx="83">
                  <c:v>2.2834600035840005</c:v>
                </c:pt>
                <c:pt idx="84">
                  <c:v>2.4611976871758356</c:v>
                </c:pt>
                <c:pt idx="85">
                  <c:v>2.7943290667102025</c:v>
                </c:pt>
                <c:pt idx="86">
                  <c:v>2.8692300513306117</c:v>
                </c:pt>
                <c:pt idx="87">
                  <c:v>2.8066780167575502</c:v>
                </c:pt>
                <c:pt idx="88">
                  <c:v>3.5578734365622862</c:v>
                </c:pt>
                <c:pt idx="89">
                  <c:v>4.3477062963722419</c:v>
                </c:pt>
                <c:pt idx="90">
                  <c:v>3.0821628649430206</c:v>
                </c:pt>
                <c:pt idx="91">
                  <c:v>3.1355582749361606</c:v>
                </c:pt>
                <c:pt idx="92">
                  <c:v>3.3877419631934687</c:v>
                </c:pt>
                <c:pt idx="93">
                  <c:v>3.0811376810057154</c:v>
                </c:pt>
                <c:pt idx="94">
                  <c:v>3.6190936186383662</c:v>
                </c:pt>
                <c:pt idx="95">
                  <c:v>4.1523292718889797</c:v>
                </c:pt>
                <c:pt idx="96">
                  <c:v>3.0642994709603268</c:v>
                </c:pt>
                <c:pt idx="97">
                  <c:v>3.5221621444310212</c:v>
                </c:pt>
                <c:pt idx="98">
                  <c:v>3.2842675313632665</c:v>
                </c:pt>
                <c:pt idx="99">
                  <c:v>4.6459402124355922</c:v>
                </c:pt>
                <c:pt idx="100">
                  <c:v>3.2886352627200006</c:v>
                </c:pt>
                <c:pt idx="101">
                  <c:v>2.8242150688653056</c:v>
                </c:pt>
                <c:pt idx="102">
                  <c:v>1.9741273111719184</c:v>
                </c:pt>
                <c:pt idx="103">
                  <c:v>1.8541724853394284</c:v>
                </c:pt>
                <c:pt idx="104">
                  <c:v>3.9473089564290604</c:v>
                </c:pt>
                <c:pt idx="105">
                  <c:v>4.437387935412243</c:v>
                </c:pt>
                <c:pt idx="106">
                  <c:v>3.9089909115036732</c:v>
                </c:pt>
                <c:pt idx="107">
                  <c:v>2.9882105206883267</c:v>
                </c:pt>
                <c:pt idx="108">
                  <c:v>3.5635170253165698</c:v>
                </c:pt>
                <c:pt idx="109">
                  <c:v>3.6404365732310193</c:v>
                </c:pt>
                <c:pt idx="110">
                  <c:v>3.6348299302922422</c:v>
                </c:pt>
                <c:pt idx="111">
                  <c:v>3.0520767811944469</c:v>
                </c:pt>
                <c:pt idx="112">
                  <c:v>3.7075224674351008</c:v>
                </c:pt>
                <c:pt idx="113">
                  <c:v>4.3486123977168969</c:v>
                </c:pt>
                <c:pt idx="114">
                  <c:v>3.1397655147075918</c:v>
                </c:pt>
                <c:pt idx="115">
                  <c:v>3.0557812135444906</c:v>
                </c:pt>
                <c:pt idx="116">
                  <c:v>3.2952130727392643</c:v>
                </c:pt>
                <c:pt idx="117">
                  <c:v>3.3138736575399186</c:v>
                </c:pt>
                <c:pt idx="118">
                  <c:v>3.2337738251206534</c:v>
                </c:pt>
                <c:pt idx="119">
                  <c:v>3.8992647213844904</c:v>
                </c:pt>
                <c:pt idx="120">
                  <c:v>4.2713949254400001</c:v>
                </c:pt>
                <c:pt idx="121">
                  <c:v>4.6615286380408154</c:v>
                </c:pt>
                <c:pt idx="122">
                  <c:v>2.2526472937665303</c:v>
                </c:pt>
                <c:pt idx="123">
                  <c:v>2.7974508876382052</c:v>
                </c:pt>
                <c:pt idx="124">
                  <c:v>3.251582501877551</c:v>
                </c:pt>
                <c:pt idx="125">
                  <c:v>3.4636522265338749</c:v>
                </c:pt>
                <c:pt idx="126">
                  <c:v>2.7819159397302862</c:v>
                </c:pt>
                <c:pt idx="127">
                  <c:v>2.2026931973485699</c:v>
                </c:pt>
                <c:pt idx="128">
                  <c:v>2.2051500808672633</c:v>
                </c:pt>
                <c:pt idx="129">
                  <c:v>2.0885629503320815</c:v>
                </c:pt>
                <c:pt idx="130">
                  <c:v>1.9521074244989396</c:v>
                </c:pt>
                <c:pt idx="131">
                  <c:v>2.4125064871444897</c:v>
                </c:pt>
                <c:pt idx="132">
                  <c:v>2.8429277266050605</c:v>
                </c:pt>
                <c:pt idx="133">
                  <c:v>2.6691578570762422</c:v>
                </c:pt>
                <c:pt idx="134">
                  <c:v>2.4148046108630168</c:v>
                </c:pt>
                <c:pt idx="135">
                  <c:v>2.3225153829119991</c:v>
                </c:pt>
                <c:pt idx="136">
                  <c:v>1.7900882126889803</c:v>
                </c:pt>
                <c:pt idx="137">
                  <c:v>2.0025113317067755</c:v>
                </c:pt>
                <c:pt idx="138">
                  <c:v>1.6454153982563293</c:v>
                </c:pt>
                <c:pt idx="139">
                  <c:v>1.7514872169795901</c:v>
                </c:pt>
                <c:pt idx="140">
                  <c:v>1.6321986725877566</c:v>
                </c:pt>
                <c:pt idx="141">
                  <c:v>1.2533479270530596</c:v>
                </c:pt>
                <c:pt idx="142">
                  <c:v>1.9088589963232661</c:v>
                </c:pt>
                <c:pt idx="143">
                  <c:v>3.078640493426938</c:v>
                </c:pt>
                <c:pt idx="144">
                  <c:v>0.97020178736326568</c:v>
                </c:pt>
                <c:pt idx="145">
                  <c:v>1.6016176038269387</c:v>
                </c:pt>
                <c:pt idx="146">
                  <c:v>1.4269705878857122</c:v>
                </c:pt>
                <c:pt idx="147">
                  <c:v>1.3312708780408149</c:v>
                </c:pt>
                <c:pt idx="148">
                  <c:v>2.5406285219265299</c:v>
                </c:pt>
                <c:pt idx="149">
                  <c:v>1.3327060752587727</c:v>
                </c:pt>
                <c:pt idx="150">
                  <c:v>0.80245835970612456</c:v>
                </c:pt>
                <c:pt idx="151">
                  <c:v>1.6704769823999979</c:v>
                </c:pt>
                <c:pt idx="360" formatCode="General">
                  <c:v>1.1984173519097225</c:v>
                </c:pt>
                <c:pt idx="361" formatCode="General">
                  <c:v>1.6332164515625005</c:v>
                </c:pt>
                <c:pt idx="362" formatCode="General">
                  <c:v>1.7587601786458338</c:v>
                </c:pt>
                <c:pt idx="363" formatCode="General">
                  <c:v>1.9067879869791671</c:v>
                </c:pt>
                <c:pt idx="364" formatCode="General">
                  <c:v>1.9148751942708337</c:v>
                </c:pt>
                <c:pt idx="365" formatCode="General">
                  <c:v>1.9672300104166671</c:v>
                </c:pt>
                <c:pt idx="366" formatCode="General">
                  <c:v>1.9961549062500004</c:v>
                </c:pt>
                <c:pt idx="367" formatCode="General">
                  <c:v>1.5979447057291665</c:v>
                </c:pt>
                <c:pt idx="368" formatCode="General">
                  <c:v>1.6915397317708341</c:v>
                </c:pt>
                <c:pt idx="369" formatCode="General">
                  <c:v>1.4698944817708337</c:v>
                </c:pt>
                <c:pt idx="370" formatCode="General">
                  <c:v>1.5826829479166669</c:v>
                </c:pt>
                <c:pt idx="371" formatCode="General">
                  <c:v>1.7766626718750009</c:v>
                </c:pt>
                <c:pt idx="372" formatCode="General">
                  <c:v>1.8960435130208337</c:v>
                </c:pt>
                <c:pt idx="373" formatCode="General">
                  <c:v>1.5372407578125002</c:v>
                </c:pt>
                <c:pt idx="374" formatCode="General">
                  <c:v>1.1723321794270838</c:v>
                </c:pt>
                <c:pt idx="375" formatCode="General">
                  <c:v>1.5212582115451394</c:v>
                </c:pt>
                <c:pt idx="376" formatCode="General">
                  <c:v>1.5527544614583331</c:v>
                </c:pt>
                <c:pt idx="377" formatCode="General">
                  <c:v>1.1971124513020837</c:v>
                </c:pt>
                <c:pt idx="378" formatCode="General">
                  <c:v>0.82129200407986114</c:v>
                </c:pt>
                <c:pt idx="379" formatCode="General">
                  <c:v>1.9827479327256949</c:v>
                </c:pt>
                <c:pt idx="380" formatCode="General">
                  <c:v>1.3463567819444446</c:v>
                </c:pt>
                <c:pt idx="381" formatCode="General">
                  <c:v>0.99238875651041669</c:v>
                </c:pt>
                <c:pt idx="382" formatCode="General">
                  <c:v>1.4690069253472224</c:v>
                </c:pt>
                <c:pt idx="383" formatCode="General">
                  <c:v>1.393227375868056</c:v>
                </c:pt>
                <c:pt idx="384" formatCode="General">
                  <c:v>1.0261757185763891</c:v>
                </c:pt>
                <c:pt idx="385" formatCode="General">
                  <c:v>1.0189133687499998</c:v>
                </c:pt>
                <c:pt idx="386" formatCode="General">
                  <c:v>1.0844991625</c:v>
                </c:pt>
                <c:pt idx="387" formatCode="General">
                  <c:v>1.0542022148437507</c:v>
                </c:pt>
                <c:pt idx="388" formatCode="General">
                  <c:v>0.8970740931423612</c:v>
                </c:pt>
                <c:pt idx="389" formatCode="General">
                  <c:v>0.67949833376736135</c:v>
                </c:pt>
                <c:pt idx="390" formatCode="General">
                  <c:v>1.2217627272569447</c:v>
                </c:pt>
                <c:pt idx="391" formatCode="General">
                  <c:v>1.1007261935763892</c:v>
                </c:pt>
                <c:pt idx="392" formatCode="General">
                  <c:v>1.4299782193576391</c:v>
                </c:pt>
                <c:pt idx="393" formatCode="General">
                  <c:v>1.0865456054687503</c:v>
                </c:pt>
                <c:pt idx="394" formatCode="General">
                  <c:v>1.1267898734375001</c:v>
                </c:pt>
                <c:pt idx="395" formatCode="General">
                  <c:v>1.1532886925347225</c:v>
                </c:pt>
                <c:pt idx="396" formatCode="General">
                  <c:v>1.0456813996527781</c:v>
                </c:pt>
                <c:pt idx="397" formatCode="General">
                  <c:v>1.1965032907118063</c:v>
                </c:pt>
                <c:pt idx="398" formatCode="General">
                  <c:v>1.1036300913194448</c:v>
                </c:pt>
                <c:pt idx="399" formatCode="General">
                  <c:v>1.021993376215278</c:v>
                </c:pt>
                <c:pt idx="400" formatCode="General">
                  <c:v>1.0430962355902778</c:v>
                </c:pt>
                <c:pt idx="401" formatCode="General">
                  <c:v>1.2184137076388892</c:v>
                </c:pt>
                <c:pt idx="402" formatCode="General">
                  <c:v>0.49769355399305587</c:v>
                </c:pt>
                <c:pt idx="403" formatCode="General">
                  <c:v>1.0494975947916667</c:v>
                </c:pt>
                <c:pt idx="404" formatCode="General">
                  <c:v>0.98362742560763916</c:v>
                </c:pt>
                <c:pt idx="405" formatCode="General">
                  <c:v>1.513271251909722</c:v>
                </c:pt>
                <c:pt idx="406" formatCode="General">
                  <c:v>1.4165293866319448</c:v>
                </c:pt>
                <c:pt idx="407" formatCode="General">
                  <c:v>1.7039465766493054</c:v>
                </c:pt>
                <c:pt idx="408" formatCode="General">
                  <c:v>1.5280973933159718</c:v>
                </c:pt>
                <c:pt idx="409" formatCode="General">
                  <c:v>1.0954067048611109</c:v>
                </c:pt>
                <c:pt idx="410" formatCode="General">
                  <c:v>1.2623928222222225</c:v>
                </c:pt>
                <c:pt idx="411" formatCode="General">
                  <c:v>1.9500486091145843</c:v>
                </c:pt>
                <c:pt idx="412" formatCode="General">
                  <c:v>1.6121699302083334</c:v>
                </c:pt>
                <c:pt idx="413" formatCode="General">
                  <c:v>1.3677275254340282</c:v>
                </c:pt>
                <c:pt idx="414" formatCode="General">
                  <c:v>1.8172972690104174</c:v>
                </c:pt>
                <c:pt idx="415" formatCode="General">
                  <c:v>0.68933702899305527</c:v>
                </c:pt>
                <c:pt idx="416" formatCode="General">
                  <c:v>1.8395926045138893</c:v>
                </c:pt>
                <c:pt idx="417" formatCode="General">
                  <c:v>1.5660444725954867</c:v>
                </c:pt>
                <c:pt idx="418" formatCode="General">
                  <c:v>1.6960210521701393</c:v>
                </c:pt>
                <c:pt idx="419" formatCode="General">
                  <c:v>1.6858138098958335</c:v>
                </c:pt>
                <c:pt idx="420" formatCode="General">
                  <c:v>1.642716224618056</c:v>
                </c:pt>
                <c:pt idx="421" formatCode="General">
                  <c:v>1.9822029916493058</c:v>
                </c:pt>
                <c:pt idx="422" formatCode="General">
                  <c:v>1.8657481845486119</c:v>
                </c:pt>
                <c:pt idx="423" formatCode="General">
                  <c:v>1.7964007088541676</c:v>
                </c:pt>
                <c:pt idx="424" formatCode="General">
                  <c:v>1.1789257643229172</c:v>
                </c:pt>
                <c:pt idx="425" formatCode="General">
                  <c:v>1.7549791004340287</c:v>
                </c:pt>
                <c:pt idx="426" formatCode="General">
                  <c:v>2.1250464650173613</c:v>
                </c:pt>
                <c:pt idx="427" formatCode="General">
                  <c:v>2.4183668885416667</c:v>
                </c:pt>
                <c:pt idx="428" formatCode="General">
                  <c:v>2.5214907646701392</c:v>
                </c:pt>
                <c:pt idx="429" formatCode="General">
                  <c:v>1.3178340866319451</c:v>
                </c:pt>
                <c:pt idx="430" formatCode="General">
                  <c:v>2.3018907936631945</c:v>
                </c:pt>
                <c:pt idx="431" formatCode="General">
                  <c:v>0.648612166840278</c:v>
                </c:pt>
                <c:pt idx="432" formatCode="General">
                  <c:v>1.9222734657118064</c:v>
                </c:pt>
                <c:pt idx="433" formatCode="General">
                  <c:v>2.386961750173612</c:v>
                </c:pt>
                <c:pt idx="434" formatCode="General">
                  <c:v>2.3236764196180562</c:v>
                </c:pt>
                <c:pt idx="435" formatCode="General">
                  <c:v>1.5730527720486116</c:v>
                </c:pt>
                <c:pt idx="436" formatCode="General">
                  <c:v>2.9306504406250009</c:v>
                </c:pt>
                <c:pt idx="437" formatCode="General">
                  <c:v>3.0558951836805561</c:v>
                </c:pt>
                <c:pt idx="438" formatCode="General">
                  <c:v>2.6740648684027799</c:v>
                </c:pt>
                <c:pt idx="439" formatCode="General">
                  <c:v>2.7916146180555574</c:v>
                </c:pt>
                <c:pt idx="440" formatCode="General">
                  <c:v>2.8840821250000004</c:v>
                </c:pt>
                <c:pt idx="441" formatCode="General">
                  <c:v>2.633111755208335</c:v>
                </c:pt>
                <c:pt idx="442" formatCode="General">
                  <c:v>2.935291904513889</c:v>
                </c:pt>
                <c:pt idx="443" formatCode="General">
                  <c:v>0.86625699609375006</c:v>
                </c:pt>
                <c:pt idx="444" formatCode="General">
                  <c:v>1.870325180555555</c:v>
                </c:pt>
                <c:pt idx="445" formatCode="General">
                  <c:v>2.2781035567708328</c:v>
                </c:pt>
                <c:pt idx="446" formatCode="General">
                  <c:v>1.8419972065972223</c:v>
                </c:pt>
                <c:pt idx="447" formatCode="General">
                  <c:v>1.9908900385416672</c:v>
                </c:pt>
                <c:pt idx="448" formatCode="General">
                  <c:v>2.2513077741319449</c:v>
                </c:pt>
                <c:pt idx="449" formatCode="General">
                  <c:v>2.3606012824652787</c:v>
                </c:pt>
                <c:pt idx="450" formatCode="General">
                  <c:v>1.5690219142361119</c:v>
                </c:pt>
                <c:pt idx="451" formatCode="General">
                  <c:v>2.7983379892361118</c:v>
                </c:pt>
                <c:pt idx="452" formatCode="General">
                  <c:v>2.6676217977430565</c:v>
                </c:pt>
                <c:pt idx="453" formatCode="General">
                  <c:v>2.8615508917534722</c:v>
                </c:pt>
                <c:pt idx="454" formatCode="General">
                  <c:v>2.9054711766493067</c:v>
                </c:pt>
                <c:pt idx="455" formatCode="General">
                  <c:v>3.0377416410590286</c:v>
                </c:pt>
                <c:pt idx="456" formatCode="General">
                  <c:v>2.9721358580729178</c:v>
                </c:pt>
                <c:pt idx="457" formatCode="General">
                  <c:v>2.6181724146701395</c:v>
                </c:pt>
                <c:pt idx="458" formatCode="General">
                  <c:v>2.8730143213541677</c:v>
                </c:pt>
                <c:pt idx="459" formatCode="General">
                  <c:v>3.115993630642361</c:v>
                </c:pt>
                <c:pt idx="460" formatCode="General">
                  <c:v>3.6283709224999998</c:v>
                </c:pt>
                <c:pt idx="461" formatCode="General">
                  <c:v>3.5038992741319461</c:v>
                </c:pt>
                <c:pt idx="462" formatCode="General">
                  <c:v>3.3740564597222225</c:v>
                </c:pt>
                <c:pt idx="463" formatCode="General">
                  <c:v>3.5580909876736109</c:v>
                </c:pt>
                <c:pt idx="464" formatCode="General">
                  <c:v>3.705611366493057</c:v>
                </c:pt>
                <c:pt idx="465" formatCode="General">
                  <c:v>4.3296881256076389</c:v>
                </c:pt>
                <c:pt idx="466" formatCode="General">
                  <c:v>2.7878780484375008</c:v>
                </c:pt>
                <c:pt idx="467" formatCode="General">
                  <c:v>3.4307400236111127</c:v>
                </c:pt>
                <c:pt idx="468" formatCode="General">
                  <c:v>3.0863651444444442</c:v>
                </c:pt>
                <c:pt idx="469" formatCode="General">
                  <c:v>2.6493138995659731</c:v>
                </c:pt>
                <c:pt idx="470" formatCode="General">
                  <c:v>2.7884733990451411</c:v>
                </c:pt>
                <c:pt idx="471" formatCode="General">
                  <c:v>3.1788000800347231</c:v>
                </c:pt>
                <c:pt idx="472" formatCode="General">
                  <c:v>3.4673663915798634</c:v>
                </c:pt>
                <c:pt idx="473" formatCode="General">
                  <c:v>2.8793230396701399</c:v>
                </c:pt>
                <c:pt idx="474" formatCode="General">
                  <c:v>3.9049629241319455</c:v>
                </c:pt>
                <c:pt idx="475" formatCode="General">
                  <c:v>3.4126074884548605</c:v>
                </c:pt>
                <c:pt idx="476" formatCode="General">
                  <c:v>2.2119378795138886</c:v>
                </c:pt>
                <c:pt idx="477" formatCode="General">
                  <c:v>4.2129581103298621</c:v>
                </c:pt>
                <c:pt idx="478" formatCode="General">
                  <c:v>3.1248449171006953</c:v>
                </c:pt>
                <c:pt idx="479" formatCode="General">
                  <c:v>3.0550361815972233</c:v>
                </c:pt>
                <c:pt idx="480" formatCode="General">
                  <c:v>2.4457145354166672</c:v>
                </c:pt>
                <c:pt idx="481" formatCode="General">
                  <c:v>2.2042739401041671</c:v>
                </c:pt>
                <c:pt idx="482" formatCode="General">
                  <c:v>2.3153352759548613</c:v>
                </c:pt>
                <c:pt idx="483" formatCode="General">
                  <c:v>1.8233412816840291</c:v>
                </c:pt>
                <c:pt idx="484" formatCode="General">
                  <c:v>2.2561810768229167</c:v>
                </c:pt>
                <c:pt idx="485" formatCode="General">
                  <c:v>2.4406296047743061</c:v>
                </c:pt>
                <c:pt idx="486" formatCode="General">
                  <c:v>2.0707799256076393</c:v>
                </c:pt>
                <c:pt idx="487" formatCode="General">
                  <c:v>2.7592010854166666</c:v>
                </c:pt>
                <c:pt idx="488" formatCode="General">
                  <c:v>2.3907965888888891</c:v>
                </c:pt>
                <c:pt idx="489" formatCode="General">
                  <c:v>3.0804224216145855</c:v>
                </c:pt>
                <c:pt idx="490" formatCode="General">
                  <c:v>3.3059150325520843</c:v>
                </c:pt>
                <c:pt idx="491" formatCode="General">
                  <c:v>3.3234614630208354</c:v>
                </c:pt>
                <c:pt idx="492" formatCode="General">
                  <c:v>3.2822143990451398</c:v>
                </c:pt>
                <c:pt idx="493" formatCode="General">
                  <c:v>3.0242676241319448</c:v>
                </c:pt>
                <c:pt idx="494" formatCode="General">
                  <c:v>2.6920741479166685</c:v>
                </c:pt>
                <c:pt idx="495" formatCode="General">
                  <c:v>2.4916797019965284</c:v>
                </c:pt>
                <c:pt idx="496" formatCode="General">
                  <c:v>2.5783214247395825</c:v>
                </c:pt>
                <c:pt idx="497" formatCode="General">
                  <c:v>2.3545669429687508</c:v>
                </c:pt>
                <c:pt idx="498" formatCode="General">
                  <c:v>2.2674174872395838</c:v>
                </c:pt>
                <c:pt idx="499" formatCode="General">
                  <c:v>2.6442255368923622</c:v>
                </c:pt>
                <c:pt idx="500" formatCode="General">
                  <c:v>2.5364606121527769</c:v>
                </c:pt>
                <c:pt idx="501" formatCode="General">
                  <c:v>2.5291808645833336</c:v>
                </c:pt>
                <c:pt idx="502" formatCode="General">
                  <c:v>2.7168655803819455</c:v>
                </c:pt>
                <c:pt idx="503" formatCode="General">
                  <c:v>2.753015742534723</c:v>
                </c:pt>
                <c:pt idx="504" formatCode="General">
                  <c:v>2.8175756624131942</c:v>
                </c:pt>
                <c:pt idx="505" formatCode="General">
                  <c:v>2.085930179340278</c:v>
                </c:pt>
                <c:pt idx="506" formatCode="General">
                  <c:v>1.4616074280381943</c:v>
                </c:pt>
                <c:pt idx="507" formatCode="General">
                  <c:v>1.2549345211805567</c:v>
                </c:pt>
                <c:pt idx="508" formatCode="General">
                  <c:v>1.1526312199652777</c:v>
                </c:pt>
                <c:pt idx="509" formatCode="General">
                  <c:v>1.0653298703993057</c:v>
                </c:pt>
                <c:pt idx="510" formatCode="General">
                  <c:v>1.6350375304687506</c:v>
                </c:pt>
                <c:pt idx="511" formatCode="General">
                  <c:v>2.1852323878472233</c:v>
                </c:pt>
                <c:pt idx="512" formatCode="General">
                  <c:v>0.95433413645833332</c:v>
                </c:pt>
                <c:pt idx="513" formatCode="General">
                  <c:v>0.978438787326389</c:v>
                </c:pt>
                <c:pt idx="514" formatCode="General">
                  <c:v>1.4867651654513894</c:v>
                </c:pt>
                <c:pt idx="515" formatCode="General">
                  <c:v>1.4690372865451391</c:v>
                </c:pt>
                <c:pt idx="516" formatCode="General">
                  <c:v>1.5774659749131947</c:v>
                </c:pt>
                <c:pt idx="735" formatCode="General">
                  <c:v>2.4823904612244894</c:v>
                </c:pt>
                <c:pt idx="736" formatCode="General">
                  <c:v>1.0778213224489792</c:v>
                </c:pt>
                <c:pt idx="737" formatCode="General">
                  <c:v>2.3604615979591834</c:v>
                </c:pt>
                <c:pt idx="738" formatCode="General">
                  <c:v>2.5693109224489787</c:v>
                </c:pt>
                <c:pt idx="739" formatCode="General">
                  <c:v>1.5635512836734697</c:v>
                </c:pt>
                <c:pt idx="740" formatCode="General">
                  <c:v>1.2734900887755098</c:v>
                </c:pt>
                <c:pt idx="741" formatCode="General">
                  <c:v>1.1270875846938773</c:v>
                </c:pt>
                <c:pt idx="742" formatCode="General">
                  <c:v>1.0558499265306118</c:v>
                </c:pt>
                <c:pt idx="743" formatCode="General">
                  <c:v>1.2178764948979592</c:v>
                </c:pt>
                <c:pt idx="744" formatCode="General">
                  <c:v>1.2226135622448975</c:v>
                </c:pt>
                <c:pt idx="745" formatCode="General">
                  <c:v>1.495441962244898</c:v>
                </c:pt>
                <c:pt idx="746" formatCode="General">
                  <c:v>0.87405543265306129</c:v>
                </c:pt>
                <c:pt idx="747" formatCode="General">
                  <c:v>1.2576443785714282</c:v>
                </c:pt>
                <c:pt idx="748" formatCode="General">
                  <c:v>1.5304411969387752</c:v>
                </c:pt>
                <c:pt idx="749" formatCode="General">
                  <c:v>0.97597019693877562</c:v>
                </c:pt>
                <c:pt idx="750" formatCode="General">
                  <c:v>1.1317662346938773</c:v>
                </c:pt>
                <c:pt idx="751" formatCode="General">
                  <c:v>1.4605616244897957</c:v>
                </c:pt>
                <c:pt idx="752" formatCode="General">
                  <c:v>1.0680685714285707</c:v>
                </c:pt>
                <c:pt idx="753" formatCode="General">
                  <c:v>0.41728187755102042</c:v>
                </c:pt>
                <c:pt idx="754" formatCode="General">
                  <c:v>1.2662103673469387</c:v>
                </c:pt>
                <c:pt idx="755" formatCode="General">
                  <c:v>1.1780831020408167</c:v>
                </c:pt>
                <c:pt idx="756" formatCode="General">
                  <c:v>0.77881224489795908</c:v>
                </c:pt>
                <c:pt idx="757" formatCode="General">
                  <c:v>0.630361907142857</c:v>
                </c:pt>
                <c:pt idx="758" formatCode="General">
                  <c:v>0.96960315510204065</c:v>
                </c:pt>
                <c:pt idx="759" formatCode="General">
                  <c:v>0.56122171632653062</c:v>
                </c:pt>
                <c:pt idx="760" formatCode="General">
                  <c:v>0.98922015204081581</c:v>
                </c:pt>
                <c:pt idx="761" formatCode="General">
                  <c:v>0.10834870204081637</c:v>
                </c:pt>
                <c:pt idx="762" formatCode="General">
                  <c:v>1.0374498459183672</c:v>
                </c:pt>
                <c:pt idx="763" formatCode="General">
                  <c:v>1.0558312357142856</c:v>
                </c:pt>
                <c:pt idx="764" formatCode="General">
                  <c:v>1.7066330887755106</c:v>
                </c:pt>
                <c:pt idx="765" formatCode="General">
                  <c:v>1.5392965244897963</c:v>
                </c:pt>
                <c:pt idx="766" formatCode="General">
                  <c:v>1.4529611479591835</c:v>
                </c:pt>
                <c:pt idx="767" formatCode="General">
                  <c:v>0.94802132448979537</c:v>
                </c:pt>
                <c:pt idx="768" formatCode="General">
                  <c:v>1.207611532653061</c:v>
                </c:pt>
                <c:pt idx="769" formatCode="General">
                  <c:v>1.1065274683673472</c:v>
                </c:pt>
                <c:pt idx="770" formatCode="General">
                  <c:v>1.7369405663265305</c:v>
                </c:pt>
                <c:pt idx="771" formatCode="General">
                  <c:v>1.4223334775510204</c:v>
                </c:pt>
                <c:pt idx="772" formatCode="General">
                  <c:v>1.2542604908163264</c:v>
                </c:pt>
                <c:pt idx="773" formatCode="General">
                  <c:v>0.8053458920408163</c:v>
                </c:pt>
                <c:pt idx="774" formatCode="General">
                  <c:v>0.9204844704081635</c:v>
                </c:pt>
                <c:pt idx="775" formatCode="General">
                  <c:v>1.3633697673469389</c:v>
                </c:pt>
                <c:pt idx="776" formatCode="General">
                  <c:v>1.210376098979592</c:v>
                </c:pt>
                <c:pt idx="777" formatCode="General">
                  <c:v>1.1525903500000003</c:v>
                </c:pt>
                <c:pt idx="778" formatCode="General">
                  <c:v>1.2260989765306121</c:v>
                </c:pt>
                <c:pt idx="779" formatCode="General">
                  <c:v>1.7780967713265299</c:v>
                </c:pt>
                <c:pt idx="780" formatCode="General">
                  <c:v>1.8498619938775516</c:v>
                </c:pt>
                <c:pt idx="781" formatCode="General">
                  <c:v>1.1096436387755104</c:v>
                </c:pt>
                <c:pt idx="782" formatCode="General">
                  <c:v>1.1844286731632649</c:v>
                </c:pt>
                <c:pt idx="783" formatCode="General">
                  <c:v>1.7549491465306122</c:v>
                </c:pt>
                <c:pt idx="784" formatCode="General">
                  <c:v>2.5014120408163337E-2</c:v>
                </c:pt>
                <c:pt idx="785" formatCode="General">
                  <c:v>1.384480094897959</c:v>
                </c:pt>
                <c:pt idx="786" formatCode="General">
                  <c:v>1.9513814117346937</c:v>
                </c:pt>
                <c:pt idx="787" formatCode="General">
                  <c:v>0.16475943581632652</c:v>
                </c:pt>
                <c:pt idx="788" formatCode="General">
                  <c:v>1.0110670752040813</c:v>
                </c:pt>
                <c:pt idx="789" formatCode="General">
                  <c:v>1.0152681068367344</c:v>
                </c:pt>
                <c:pt idx="790" formatCode="General">
                  <c:v>1.6077923925510202</c:v>
                </c:pt>
                <c:pt idx="791" formatCode="General">
                  <c:v>1.9738194806122447</c:v>
                </c:pt>
                <c:pt idx="792" formatCode="General">
                  <c:v>1.1264908857142857</c:v>
                </c:pt>
                <c:pt idx="793" formatCode="General">
                  <c:v>2.0130000000000003</c:v>
                </c:pt>
                <c:pt idx="794" formatCode="General">
                  <c:v>1.4579999999999997</c:v>
                </c:pt>
                <c:pt idx="795" formatCode="General">
                  <c:v>2.5980000000000008</c:v>
                </c:pt>
                <c:pt idx="796" formatCode="General">
                  <c:v>1.6379999999999997</c:v>
                </c:pt>
                <c:pt idx="797" formatCode="General">
                  <c:v>1.4800000000000002</c:v>
                </c:pt>
                <c:pt idx="798" formatCode="General">
                  <c:v>1.7330000000000001</c:v>
                </c:pt>
                <c:pt idx="799" formatCode="General">
                  <c:v>2.0409999999999995</c:v>
                </c:pt>
                <c:pt idx="800" formatCode="General">
                  <c:v>2.5299999999999989</c:v>
                </c:pt>
                <c:pt idx="801" formatCode="General">
                  <c:v>2.0120000000000005</c:v>
                </c:pt>
                <c:pt idx="802" formatCode="General">
                  <c:v>1.9500000000000004</c:v>
                </c:pt>
                <c:pt idx="803" formatCode="General">
                  <c:v>1.7530000000000001</c:v>
                </c:pt>
                <c:pt idx="804" formatCode="General">
                  <c:v>2.128000000000001</c:v>
                </c:pt>
                <c:pt idx="805" formatCode="General">
                  <c:v>1.5129999999999997</c:v>
                </c:pt>
                <c:pt idx="806" formatCode="General">
                  <c:v>1.9130000000000003</c:v>
                </c:pt>
                <c:pt idx="807" formatCode="General">
                  <c:v>1.2879999999999991</c:v>
                </c:pt>
                <c:pt idx="808" formatCode="General">
                  <c:v>1.8020000000000003</c:v>
                </c:pt>
                <c:pt idx="809" formatCode="General">
                  <c:v>0.95799999999999996</c:v>
                </c:pt>
                <c:pt idx="810" formatCode="General">
                  <c:v>1.1460000000000006</c:v>
                </c:pt>
                <c:pt idx="811" formatCode="General">
                  <c:v>1.7410000000000005</c:v>
                </c:pt>
                <c:pt idx="812" formatCode="General">
                  <c:v>2.9869999999999992</c:v>
                </c:pt>
                <c:pt idx="813" formatCode="General">
                  <c:v>2.94</c:v>
                </c:pt>
                <c:pt idx="814" formatCode="General">
                  <c:v>2.8180000000000005</c:v>
                </c:pt>
                <c:pt idx="815" formatCode="General">
                  <c:v>2.6059999999999999</c:v>
                </c:pt>
                <c:pt idx="816" formatCode="General">
                  <c:v>2.3600000000000012</c:v>
                </c:pt>
                <c:pt idx="817" formatCode="General">
                  <c:v>1.6029999999999993</c:v>
                </c:pt>
                <c:pt idx="818" formatCode="General">
                  <c:v>2.6340000000000012</c:v>
                </c:pt>
                <c:pt idx="819" formatCode="General">
                  <c:v>2.9230000000000014</c:v>
                </c:pt>
                <c:pt idx="820" formatCode="General">
                  <c:v>2.9680000000000004</c:v>
                </c:pt>
                <c:pt idx="821" formatCode="General">
                  <c:v>2.8529999999999998</c:v>
                </c:pt>
                <c:pt idx="822" formatCode="General">
                  <c:v>2.0659999999999998</c:v>
                </c:pt>
                <c:pt idx="823" formatCode="General">
                  <c:v>3.5760000000000001</c:v>
                </c:pt>
                <c:pt idx="824" formatCode="General">
                  <c:v>3.2689999999999997</c:v>
                </c:pt>
                <c:pt idx="825" formatCode="General">
                  <c:v>3.528</c:v>
                </c:pt>
                <c:pt idx="826" formatCode="General">
                  <c:v>4.4169999999999998</c:v>
                </c:pt>
                <c:pt idx="827" formatCode="General">
                  <c:v>2.9739999999999993</c:v>
                </c:pt>
                <c:pt idx="828" formatCode="General">
                  <c:v>2.5529999999999999</c:v>
                </c:pt>
                <c:pt idx="829" formatCode="General">
                  <c:v>3.056</c:v>
                </c:pt>
                <c:pt idx="830" formatCode="General">
                  <c:v>3.4710000000000005</c:v>
                </c:pt>
                <c:pt idx="831" formatCode="General">
                  <c:v>2.294</c:v>
                </c:pt>
                <c:pt idx="832" formatCode="General">
                  <c:v>2.8290000000000011</c:v>
                </c:pt>
                <c:pt idx="833" formatCode="General">
                  <c:v>1.3920000000000001</c:v>
                </c:pt>
                <c:pt idx="834" formatCode="General">
                  <c:v>3.2770000000000001</c:v>
                </c:pt>
                <c:pt idx="835" formatCode="General">
                  <c:v>2.3560000000000003</c:v>
                </c:pt>
                <c:pt idx="836" formatCode="General">
                  <c:v>3.9900000000000007</c:v>
                </c:pt>
                <c:pt idx="837" formatCode="General">
                  <c:v>2.6990000000000016</c:v>
                </c:pt>
                <c:pt idx="838" formatCode="General">
                  <c:v>3.3950000000000005</c:v>
                </c:pt>
                <c:pt idx="839" formatCode="General">
                  <c:v>2.9939999999999989</c:v>
                </c:pt>
                <c:pt idx="840" formatCode="General">
                  <c:v>2.5249999999999995</c:v>
                </c:pt>
                <c:pt idx="841" formatCode="General">
                  <c:v>2.6770000000000014</c:v>
                </c:pt>
                <c:pt idx="842" formatCode="General">
                  <c:v>2.8069999999999995</c:v>
                </c:pt>
                <c:pt idx="843" formatCode="General">
                  <c:v>2.5920000000000001</c:v>
                </c:pt>
                <c:pt idx="844" formatCode="General">
                  <c:v>2.4540000000000002</c:v>
                </c:pt>
                <c:pt idx="845" formatCode="General">
                  <c:v>1.7499999999999998</c:v>
                </c:pt>
                <c:pt idx="846" formatCode="General">
                  <c:v>3.7789999999999999</c:v>
                </c:pt>
                <c:pt idx="847" formatCode="General">
                  <c:v>3.6549999999999994</c:v>
                </c:pt>
                <c:pt idx="848" formatCode="General">
                  <c:v>3.3669999999999991</c:v>
                </c:pt>
                <c:pt idx="849" formatCode="General">
                  <c:v>2.9330000000000003</c:v>
                </c:pt>
                <c:pt idx="850" formatCode="General">
                  <c:v>3.79</c:v>
                </c:pt>
                <c:pt idx="851" formatCode="General">
                  <c:v>4.3140000000000009</c:v>
                </c:pt>
                <c:pt idx="852" formatCode="General">
                  <c:v>2.81</c:v>
                </c:pt>
                <c:pt idx="853" formatCode="General">
                  <c:v>3.2300000000000009</c:v>
                </c:pt>
                <c:pt idx="854" formatCode="General">
                  <c:v>3.9079999999999995</c:v>
                </c:pt>
                <c:pt idx="855" formatCode="General">
                  <c:v>4.8740000000000006</c:v>
                </c:pt>
                <c:pt idx="856" formatCode="General">
                  <c:v>5.0549999999999979</c:v>
                </c:pt>
                <c:pt idx="857" formatCode="General">
                  <c:v>4.6659999999999995</c:v>
                </c:pt>
                <c:pt idx="858" formatCode="General">
                  <c:v>4.7189999999999994</c:v>
                </c:pt>
                <c:pt idx="859" formatCode="General">
                  <c:v>2.7770000000000015</c:v>
                </c:pt>
                <c:pt idx="860" formatCode="General">
                  <c:v>3.8820000000000014</c:v>
                </c:pt>
                <c:pt idx="861" formatCode="General">
                  <c:v>4.0770000000000008</c:v>
                </c:pt>
                <c:pt idx="862" formatCode="General">
                  <c:v>4.6330000000000027</c:v>
                </c:pt>
                <c:pt idx="863" formatCode="General">
                  <c:v>4.6270000000000007</c:v>
                </c:pt>
                <c:pt idx="864" formatCode="General">
                  <c:v>4.1220000000000008</c:v>
                </c:pt>
                <c:pt idx="865" formatCode="General">
                  <c:v>4.0739999999999998</c:v>
                </c:pt>
                <c:pt idx="866" formatCode="General">
                  <c:v>3.8810000000000007</c:v>
                </c:pt>
                <c:pt idx="867" formatCode="General">
                  <c:v>4.9420000000000019</c:v>
                </c:pt>
                <c:pt idx="868" formatCode="General">
                  <c:v>6.4780000000000024</c:v>
                </c:pt>
                <c:pt idx="869" formatCode="General">
                  <c:v>2.48</c:v>
                </c:pt>
                <c:pt idx="870" formatCode="General">
                  <c:v>3.589</c:v>
                </c:pt>
                <c:pt idx="871" formatCode="General">
                  <c:v>2.5359999999999991</c:v>
                </c:pt>
                <c:pt idx="872" formatCode="General">
                  <c:v>3.7540000000000009</c:v>
                </c:pt>
                <c:pt idx="873" formatCode="General">
                  <c:v>3.8700000000000014</c:v>
                </c:pt>
                <c:pt idx="874" formatCode="General">
                  <c:v>4.4310000000000009</c:v>
                </c:pt>
                <c:pt idx="875" formatCode="General">
                  <c:v>4.5930000000000017</c:v>
                </c:pt>
                <c:pt idx="876" formatCode="General">
                  <c:v>4.0029999999999983</c:v>
                </c:pt>
                <c:pt idx="877" formatCode="General">
                  <c:v>3.5640000000000001</c:v>
                </c:pt>
                <c:pt idx="878" formatCode="General">
                  <c:v>4.128000000000001</c:v>
                </c:pt>
                <c:pt idx="879" formatCode="General">
                  <c:v>3.8200000000000003</c:v>
                </c:pt>
                <c:pt idx="880" formatCode="General">
                  <c:v>3.1870000000000003</c:v>
                </c:pt>
                <c:pt idx="881" formatCode="General">
                  <c:v>2.9040000000000004</c:v>
                </c:pt>
                <c:pt idx="882" formatCode="General">
                  <c:v>3.1350000000000002</c:v>
                </c:pt>
                <c:pt idx="883" formatCode="General">
                  <c:v>1.9839999999999991</c:v>
                </c:pt>
                <c:pt idx="884" formatCode="General">
                  <c:v>3.0310000000000001</c:v>
                </c:pt>
                <c:pt idx="885" formatCode="General">
                  <c:v>1.2149999999999999</c:v>
                </c:pt>
                <c:pt idx="886" formatCode="General">
                  <c:v>1.913</c:v>
                </c:pt>
                <c:pt idx="887" formatCode="General">
                  <c:v>1.2949999999999997</c:v>
                </c:pt>
                <c:pt idx="888" formatCode="General">
                  <c:v>1.7190000000000001</c:v>
                </c:pt>
                <c:pt idx="889" formatCode="General">
                  <c:v>1.7869999999999993</c:v>
                </c:pt>
                <c:pt idx="890" formatCode="General">
                  <c:v>1.7610000000000001</c:v>
                </c:pt>
                <c:pt idx="891" formatCode="General">
                  <c:v>1.1740000000000006</c:v>
                </c:pt>
                <c:pt idx="892" formatCode="General">
                  <c:v>0.45799999999999974</c:v>
                </c:pt>
                <c:pt idx="893" formatCode="General">
                  <c:v>1.0220000000000002</c:v>
                </c:pt>
                <c:pt idx="894" formatCode="General">
                  <c:v>0.79800000000000004</c:v>
                </c:pt>
                <c:pt idx="895" formatCode="General">
                  <c:v>0.74799999999999978</c:v>
                </c:pt>
                <c:pt idx="896" formatCode="General">
                  <c:v>0.621</c:v>
                </c:pt>
              </c:numCache>
            </c:numRef>
          </c:val>
          <c:smooth val="0"/>
          <c:extLst>
            <c:ext xmlns:c16="http://schemas.microsoft.com/office/drawing/2014/chart" uri="{C3380CC4-5D6E-409C-BE32-E72D297353CC}">
              <c16:uniqueId val="{00000000-6DEA-45BC-805B-E74475C8FD70}"/>
            </c:ext>
          </c:extLst>
        </c:ser>
        <c:ser>
          <c:idx val="1"/>
          <c:order val="1"/>
          <c:tx>
            <c:strRef>
              <c:f>'In-Situ (2)'!$C$1</c:f>
              <c:strCache>
                <c:ptCount val="1"/>
                <c:pt idx="0">
                  <c:v>Maize</c:v>
                </c:pt>
              </c:strCache>
            </c:strRef>
          </c:tx>
          <c:spPr>
            <a:ln w="12700" cap="rnd">
              <a:solidFill>
                <a:schemeClr val="accent1">
                  <a:lumMod val="60000"/>
                  <a:lumOff val="40000"/>
                </a:schemeClr>
              </a:solidFill>
              <a:round/>
            </a:ln>
            <a:effectLst/>
          </c:spPr>
          <c:marker>
            <c:symbol val="none"/>
          </c:marker>
          <c:cat>
            <c:numRef>
              <c:f>'In-Situ (2)'!$A$336:$A$1385</c:f>
              <c:numCache>
                <c:formatCode>[$-409]d\-mmm\-yy;@</c:formatCode>
                <c:ptCount val="1050"/>
                <c:pt idx="0">
                  <c:v>43800</c:v>
                </c:pt>
                <c:pt idx="1">
                  <c:v>43801</c:v>
                </c:pt>
                <c:pt idx="2">
                  <c:v>43802</c:v>
                </c:pt>
                <c:pt idx="3">
                  <c:v>43803</c:v>
                </c:pt>
                <c:pt idx="4">
                  <c:v>43804</c:v>
                </c:pt>
                <c:pt idx="5">
                  <c:v>43805</c:v>
                </c:pt>
                <c:pt idx="6">
                  <c:v>43806</c:v>
                </c:pt>
                <c:pt idx="7">
                  <c:v>43807</c:v>
                </c:pt>
                <c:pt idx="8">
                  <c:v>43808</c:v>
                </c:pt>
                <c:pt idx="9">
                  <c:v>43809</c:v>
                </c:pt>
                <c:pt idx="10">
                  <c:v>43810</c:v>
                </c:pt>
                <c:pt idx="11">
                  <c:v>43811</c:v>
                </c:pt>
                <c:pt idx="12">
                  <c:v>43812</c:v>
                </c:pt>
                <c:pt idx="13">
                  <c:v>43813</c:v>
                </c:pt>
                <c:pt idx="14">
                  <c:v>43814</c:v>
                </c:pt>
                <c:pt idx="15">
                  <c:v>43815</c:v>
                </c:pt>
                <c:pt idx="16">
                  <c:v>43816</c:v>
                </c:pt>
                <c:pt idx="17">
                  <c:v>43817</c:v>
                </c:pt>
                <c:pt idx="18">
                  <c:v>43818</c:v>
                </c:pt>
                <c:pt idx="19">
                  <c:v>43819</c:v>
                </c:pt>
                <c:pt idx="20">
                  <c:v>43820</c:v>
                </c:pt>
                <c:pt idx="21">
                  <c:v>43821</c:v>
                </c:pt>
                <c:pt idx="22">
                  <c:v>43822</c:v>
                </c:pt>
                <c:pt idx="23">
                  <c:v>43823</c:v>
                </c:pt>
                <c:pt idx="24">
                  <c:v>43824</c:v>
                </c:pt>
                <c:pt idx="25">
                  <c:v>43825</c:v>
                </c:pt>
                <c:pt idx="26">
                  <c:v>43826</c:v>
                </c:pt>
                <c:pt idx="27">
                  <c:v>43827</c:v>
                </c:pt>
                <c:pt idx="28">
                  <c:v>43828</c:v>
                </c:pt>
                <c:pt idx="29">
                  <c:v>43829</c:v>
                </c:pt>
                <c:pt idx="30">
                  <c:v>43830</c:v>
                </c:pt>
                <c:pt idx="31">
                  <c:v>43831</c:v>
                </c:pt>
                <c:pt idx="32">
                  <c:v>43832</c:v>
                </c:pt>
                <c:pt idx="33">
                  <c:v>43833</c:v>
                </c:pt>
                <c:pt idx="34">
                  <c:v>43834</c:v>
                </c:pt>
                <c:pt idx="35">
                  <c:v>43835</c:v>
                </c:pt>
                <c:pt idx="36">
                  <c:v>43836</c:v>
                </c:pt>
                <c:pt idx="37">
                  <c:v>43837</c:v>
                </c:pt>
                <c:pt idx="38">
                  <c:v>43838</c:v>
                </c:pt>
                <c:pt idx="39">
                  <c:v>43839</c:v>
                </c:pt>
                <c:pt idx="40">
                  <c:v>43840</c:v>
                </c:pt>
                <c:pt idx="41">
                  <c:v>43841</c:v>
                </c:pt>
                <c:pt idx="42">
                  <c:v>43842</c:v>
                </c:pt>
                <c:pt idx="43">
                  <c:v>43843</c:v>
                </c:pt>
                <c:pt idx="44">
                  <c:v>43844</c:v>
                </c:pt>
                <c:pt idx="45">
                  <c:v>43845</c:v>
                </c:pt>
                <c:pt idx="46">
                  <c:v>43846</c:v>
                </c:pt>
                <c:pt idx="47">
                  <c:v>43847</c:v>
                </c:pt>
                <c:pt idx="48">
                  <c:v>43848</c:v>
                </c:pt>
                <c:pt idx="49">
                  <c:v>43849</c:v>
                </c:pt>
                <c:pt idx="50">
                  <c:v>43850</c:v>
                </c:pt>
                <c:pt idx="51">
                  <c:v>43851</c:v>
                </c:pt>
                <c:pt idx="52">
                  <c:v>43852</c:v>
                </c:pt>
                <c:pt idx="53">
                  <c:v>43853</c:v>
                </c:pt>
                <c:pt idx="54">
                  <c:v>43854</c:v>
                </c:pt>
                <c:pt idx="55">
                  <c:v>43855</c:v>
                </c:pt>
                <c:pt idx="56">
                  <c:v>43856</c:v>
                </c:pt>
                <c:pt idx="57">
                  <c:v>43857</c:v>
                </c:pt>
                <c:pt idx="58">
                  <c:v>43858</c:v>
                </c:pt>
                <c:pt idx="59">
                  <c:v>43859</c:v>
                </c:pt>
                <c:pt idx="60">
                  <c:v>43860</c:v>
                </c:pt>
                <c:pt idx="61">
                  <c:v>43861</c:v>
                </c:pt>
                <c:pt idx="62">
                  <c:v>43862</c:v>
                </c:pt>
                <c:pt idx="63">
                  <c:v>43863</c:v>
                </c:pt>
                <c:pt idx="64">
                  <c:v>43864</c:v>
                </c:pt>
                <c:pt idx="65">
                  <c:v>43865</c:v>
                </c:pt>
                <c:pt idx="66">
                  <c:v>43866</c:v>
                </c:pt>
                <c:pt idx="67">
                  <c:v>43867</c:v>
                </c:pt>
                <c:pt idx="68">
                  <c:v>43868</c:v>
                </c:pt>
                <c:pt idx="69">
                  <c:v>43869</c:v>
                </c:pt>
                <c:pt idx="70">
                  <c:v>43870</c:v>
                </c:pt>
                <c:pt idx="71">
                  <c:v>43871</c:v>
                </c:pt>
                <c:pt idx="72">
                  <c:v>43872</c:v>
                </c:pt>
                <c:pt idx="73">
                  <c:v>43873</c:v>
                </c:pt>
                <c:pt idx="74">
                  <c:v>43874</c:v>
                </c:pt>
                <c:pt idx="75">
                  <c:v>43875</c:v>
                </c:pt>
                <c:pt idx="76">
                  <c:v>43876</c:v>
                </c:pt>
                <c:pt idx="77">
                  <c:v>43877</c:v>
                </c:pt>
                <c:pt idx="78">
                  <c:v>43878</c:v>
                </c:pt>
                <c:pt idx="79">
                  <c:v>43879</c:v>
                </c:pt>
                <c:pt idx="80">
                  <c:v>43880</c:v>
                </c:pt>
                <c:pt idx="81">
                  <c:v>43881</c:v>
                </c:pt>
                <c:pt idx="82">
                  <c:v>43882</c:v>
                </c:pt>
                <c:pt idx="83">
                  <c:v>43883</c:v>
                </c:pt>
                <c:pt idx="84">
                  <c:v>43884</c:v>
                </c:pt>
                <c:pt idx="85">
                  <c:v>43885</c:v>
                </c:pt>
                <c:pt idx="86">
                  <c:v>43886</c:v>
                </c:pt>
                <c:pt idx="87">
                  <c:v>43887</c:v>
                </c:pt>
                <c:pt idx="88">
                  <c:v>43888</c:v>
                </c:pt>
                <c:pt idx="89">
                  <c:v>43889</c:v>
                </c:pt>
                <c:pt idx="90">
                  <c:v>43890</c:v>
                </c:pt>
                <c:pt idx="91">
                  <c:v>43891</c:v>
                </c:pt>
                <c:pt idx="92">
                  <c:v>43892</c:v>
                </c:pt>
                <c:pt idx="93">
                  <c:v>43893</c:v>
                </c:pt>
                <c:pt idx="94">
                  <c:v>43894</c:v>
                </c:pt>
                <c:pt idx="95">
                  <c:v>43895</c:v>
                </c:pt>
                <c:pt idx="96">
                  <c:v>43896</c:v>
                </c:pt>
                <c:pt idx="97">
                  <c:v>43897</c:v>
                </c:pt>
                <c:pt idx="98">
                  <c:v>43898</c:v>
                </c:pt>
                <c:pt idx="99">
                  <c:v>43899</c:v>
                </c:pt>
                <c:pt idx="100">
                  <c:v>43900</c:v>
                </c:pt>
                <c:pt idx="101">
                  <c:v>43901</c:v>
                </c:pt>
                <c:pt idx="102">
                  <c:v>43902</c:v>
                </c:pt>
                <c:pt idx="103">
                  <c:v>43903</c:v>
                </c:pt>
                <c:pt idx="104">
                  <c:v>43904</c:v>
                </c:pt>
                <c:pt idx="105">
                  <c:v>43905</c:v>
                </c:pt>
                <c:pt idx="106">
                  <c:v>43906</c:v>
                </c:pt>
                <c:pt idx="107">
                  <c:v>43907</c:v>
                </c:pt>
                <c:pt idx="108">
                  <c:v>43908</c:v>
                </c:pt>
                <c:pt idx="109">
                  <c:v>43909</c:v>
                </c:pt>
                <c:pt idx="110">
                  <c:v>43910</c:v>
                </c:pt>
                <c:pt idx="111">
                  <c:v>43911</c:v>
                </c:pt>
                <c:pt idx="112">
                  <c:v>43912</c:v>
                </c:pt>
                <c:pt idx="113">
                  <c:v>43913</c:v>
                </c:pt>
                <c:pt idx="114">
                  <c:v>43914</c:v>
                </c:pt>
                <c:pt idx="115">
                  <c:v>43915</c:v>
                </c:pt>
                <c:pt idx="116">
                  <c:v>43916</c:v>
                </c:pt>
                <c:pt idx="117">
                  <c:v>43917</c:v>
                </c:pt>
                <c:pt idx="118">
                  <c:v>43918</c:v>
                </c:pt>
                <c:pt idx="119">
                  <c:v>43919</c:v>
                </c:pt>
                <c:pt idx="120">
                  <c:v>43920</c:v>
                </c:pt>
                <c:pt idx="121">
                  <c:v>43921</c:v>
                </c:pt>
                <c:pt idx="122">
                  <c:v>43922</c:v>
                </c:pt>
                <c:pt idx="123">
                  <c:v>43923</c:v>
                </c:pt>
                <c:pt idx="124">
                  <c:v>43924</c:v>
                </c:pt>
                <c:pt idx="125">
                  <c:v>43925</c:v>
                </c:pt>
                <c:pt idx="126">
                  <c:v>43926</c:v>
                </c:pt>
                <c:pt idx="127">
                  <c:v>43927</c:v>
                </c:pt>
                <c:pt idx="128">
                  <c:v>43928</c:v>
                </c:pt>
                <c:pt idx="129">
                  <c:v>43929</c:v>
                </c:pt>
                <c:pt idx="130">
                  <c:v>43930</c:v>
                </c:pt>
                <c:pt idx="131">
                  <c:v>43931</c:v>
                </c:pt>
                <c:pt idx="132">
                  <c:v>43932</c:v>
                </c:pt>
                <c:pt idx="133">
                  <c:v>43933</c:v>
                </c:pt>
                <c:pt idx="134">
                  <c:v>43934</c:v>
                </c:pt>
                <c:pt idx="135">
                  <c:v>43935</c:v>
                </c:pt>
                <c:pt idx="136">
                  <c:v>43936</c:v>
                </c:pt>
                <c:pt idx="137">
                  <c:v>43937</c:v>
                </c:pt>
                <c:pt idx="138">
                  <c:v>43938</c:v>
                </c:pt>
                <c:pt idx="139">
                  <c:v>43939</c:v>
                </c:pt>
                <c:pt idx="140">
                  <c:v>43940</c:v>
                </c:pt>
                <c:pt idx="141">
                  <c:v>43941</c:v>
                </c:pt>
                <c:pt idx="142">
                  <c:v>43942</c:v>
                </c:pt>
                <c:pt idx="143">
                  <c:v>43943</c:v>
                </c:pt>
                <c:pt idx="144">
                  <c:v>43944</c:v>
                </c:pt>
                <c:pt idx="145">
                  <c:v>43945</c:v>
                </c:pt>
                <c:pt idx="146">
                  <c:v>43946</c:v>
                </c:pt>
                <c:pt idx="147">
                  <c:v>43947</c:v>
                </c:pt>
                <c:pt idx="148">
                  <c:v>43948</c:v>
                </c:pt>
                <c:pt idx="149">
                  <c:v>43949</c:v>
                </c:pt>
                <c:pt idx="150">
                  <c:v>43950</c:v>
                </c:pt>
                <c:pt idx="151">
                  <c:v>43951</c:v>
                </c:pt>
                <c:pt idx="152">
                  <c:v>43952</c:v>
                </c:pt>
                <c:pt idx="153">
                  <c:v>43953</c:v>
                </c:pt>
                <c:pt idx="154">
                  <c:v>43954</c:v>
                </c:pt>
                <c:pt idx="155">
                  <c:v>43955</c:v>
                </c:pt>
                <c:pt idx="156">
                  <c:v>43956</c:v>
                </c:pt>
                <c:pt idx="157">
                  <c:v>43957</c:v>
                </c:pt>
                <c:pt idx="158">
                  <c:v>43958</c:v>
                </c:pt>
                <c:pt idx="159">
                  <c:v>43959</c:v>
                </c:pt>
                <c:pt idx="160">
                  <c:v>43960</c:v>
                </c:pt>
                <c:pt idx="161">
                  <c:v>43961</c:v>
                </c:pt>
                <c:pt idx="162">
                  <c:v>43962</c:v>
                </c:pt>
                <c:pt idx="163">
                  <c:v>43963</c:v>
                </c:pt>
                <c:pt idx="164">
                  <c:v>43964</c:v>
                </c:pt>
                <c:pt idx="165">
                  <c:v>43965</c:v>
                </c:pt>
                <c:pt idx="166">
                  <c:v>43966</c:v>
                </c:pt>
                <c:pt idx="167">
                  <c:v>43967</c:v>
                </c:pt>
                <c:pt idx="168">
                  <c:v>43968</c:v>
                </c:pt>
                <c:pt idx="169">
                  <c:v>43969</c:v>
                </c:pt>
                <c:pt idx="170">
                  <c:v>43970</c:v>
                </c:pt>
                <c:pt idx="171">
                  <c:v>43971</c:v>
                </c:pt>
                <c:pt idx="172">
                  <c:v>43972</c:v>
                </c:pt>
                <c:pt idx="173">
                  <c:v>43973</c:v>
                </c:pt>
                <c:pt idx="174">
                  <c:v>43974</c:v>
                </c:pt>
                <c:pt idx="175">
                  <c:v>43975</c:v>
                </c:pt>
                <c:pt idx="176">
                  <c:v>43976</c:v>
                </c:pt>
                <c:pt idx="177">
                  <c:v>43977</c:v>
                </c:pt>
                <c:pt idx="178">
                  <c:v>43978</c:v>
                </c:pt>
                <c:pt idx="179">
                  <c:v>43979</c:v>
                </c:pt>
                <c:pt idx="180">
                  <c:v>43980</c:v>
                </c:pt>
                <c:pt idx="181">
                  <c:v>43981</c:v>
                </c:pt>
                <c:pt idx="182">
                  <c:v>43982</c:v>
                </c:pt>
                <c:pt idx="183">
                  <c:v>43983</c:v>
                </c:pt>
                <c:pt idx="184">
                  <c:v>43984</c:v>
                </c:pt>
                <c:pt idx="185">
                  <c:v>43985</c:v>
                </c:pt>
                <c:pt idx="186">
                  <c:v>43986</c:v>
                </c:pt>
                <c:pt idx="187">
                  <c:v>43987</c:v>
                </c:pt>
                <c:pt idx="188">
                  <c:v>43988</c:v>
                </c:pt>
                <c:pt idx="189">
                  <c:v>43989</c:v>
                </c:pt>
                <c:pt idx="190">
                  <c:v>43990</c:v>
                </c:pt>
                <c:pt idx="191">
                  <c:v>43991</c:v>
                </c:pt>
                <c:pt idx="192">
                  <c:v>43992</c:v>
                </c:pt>
                <c:pt idx="193">
                  <c:v>43993</c:v>
                </c:pt>
                <c:pt idx="194">
                  <c:v>43994</c:v>
                </c:pt>
                <c:pt idx="195">
                  <c:v>43995</c:v>
                </c:pt>
                <c:pt idx="196">
                  <c:v>43996</c:v>
                </c:pt>
                <c:pt idx="197">
                  <c:v>43997</c:v>
                </c:pt>
                <c:pt idx="198">
                  <c:v>43998</c:v>
                </c:pt>
                <c:pt idx="199">
                  <c:v>43999</c:v>
                </c:pt>
                <c:pt idx="200">
                  <c:v>44000</c:v>
                </c:pt>
                <c:pt idx="201">
                  <c:v>44001</c:v>
                </c:pt>
                <c:pt idx="202">
                  <c:v>44002</c:v>
                </c:pt>
                <c:pt idx="203">
                  <c:v>44003</c:v>
                </c:pt>
                <c:pt idx="204">
                  <c:v>44004</c:v>
                </c:pt>
                <c:pt idx="205">
                  <c:v>44005</c:v>
                </c:pt>
                <c:pt idx="206">
                  <c:v>44006</c:v>
                </c:pt>
                <c:pt idx="207">
                  <c:v>44007</c:v>
                </c:pt>
                <c:pt idx="208">
                  <c:v>44008</c:v>
                </c:pt>
                <c:pt idx="209">
                  <c:v>44009</c:v>
                </c:pt>
                <c:pt idx="210">
                  <c:v>44010</c:v>
                </c:pt>
                <c:pt idx="211">
                  <c:v>44011</c:v>
                </c:pt>
                <c:pt idx="212">
                  <c:v>44012</c:v>
                </c:pt>
                <c:pt idx="213">
                  <c:v>44013</c:v>
                </c:pt>
                <c:pt idx="214">
                  <c:v>44014</c:v>
                </c:pt>
                <c:pt idx="215">
                  <c:v>44015</c:v>
                </c:pt>
                <c:pt idx="216">
                  <c:v>44016</c:v>
                </c:pt>
                <c:pt idx="217">
                  <c:v>44017</c:v>
                </c:pt>
                <c:pt idx="218">
                  <c:v>44018</c:v>
                </c:pt>
                <c:pt idx="219">
                  <c:v>44019</c:v>
                </c:pt>
                <c:pt idx="220">
                  <c:v>44020</c:v>
                </c:pt>
                <c:pt idx="221">
                  <c:v>44021</c:v>
                </c:pt>
                <c:pt idx="222">
                  <c:v>44022</c:v>
                </c:pt>
                <c:pt idx="223">
                  <c:v>44023</c:v>
                </c:pt>
                <c:pt idx="224">
                  <c:v>44024</c:v>
                </c:pt>
                <c:pt idx="225">
                  <c:v>44025</c:v>
                </c:pt>
                <c:pt idx="226">
                  <c:v>44026</c:v>
                </c:pt>
                <c:pt idx="227">
                  <c:v>44027</c:v>
                </c:pt>
                <c:pt idx="228">
                  <c:v>44028</c:v>
                </c:pt>
                <c:pt idx="229">
                  <c:v>44029</c:v>
                </c:pt>
                <c:pt idx="230">
                  <c:v>44030</c:v>
                </c:pt>
                <c:pt idx="231">
                  <c:v>44031</c:v>
                </c:pt>
                <c:pt idx="232">
                  <c:v>44032</c:v>
                </c:pt>
                <c:pt idx="233">
                  <c:v>44033</c:v>
                </c:pt>
                <c:pt idx="234">
                  <c:v>44034</c:v>
                </c:pt>
                <c:pt idx="235">
                  <c:v>44035</c:v>
                </c:pt>
                <c:pt idx="236">
                  <c:v>44036</c:v>
                </c:pt>
                <c:pt idx="237">
                  <c:v>44037</c:v>
                </c:pt>
                <c:pt idx="238">
                  <c:v>44038</c:v>
                </c:pt>
                <c:pt idx="239">
                  <c:v>44039</c:v>
                </c:pt>
                <c:pt idx="240">
                  <c:v>44040</c:v>
                </c:pt>
                <c:pt idx="241">
                  <c:v>44041</c:v>
                </c:pt>
                <c:pt idx="242">
                  <c:v>44042</c:v>
                </c:pt>
                <c:pt idx="243">
                  <c:v>44043</c:v>
                </c:pt>
                <c:pt idx="244">
                  <c:v>44044</c:v>
                </c:pt>
                <c:pt idx="245">
                  <c:v>44045</c:v>
                </c:pt>
                <c:pt idx="246">
                  <c:v>44046</c:v>
                </c:pt>
                <c:pt idx="247">
                  <c:v>44047</c:v>
                </c:pt>
                <c:pt idx="248">
                  <c:v>44048</c:v>
                </c:pt>
                <c:pt idx="249">
                  <c:v>44049</c:v>
                </c:pt>
                <c:pt idx="250">
                  <c:v>44050</c:v>
                </c:pt>
                <c:pt idx="251">
                  <c:v>44051</c:v>
                </c:pt>
                <c:pt idx="252">
                  <c:v>44052</c:v>
                </c:pt>
                <c:pt idx="253">
                  <c:v>44053</c:v>
                </c:pt>
                <c:pt idx="254">
                  <c:v>44054</c:v>
                </c:pt>
                <c:pt idx="255">
                  <c:v>44055</c:v>
                </c:pt>
                <c:pt idx="256">
                  <c:v>44056</c:v>
                </c:pt>
                <c:pt idx="257">
                  <c:v>44057</c:v>
                </c:pt>
                <c:pt idx="258">
                  <c:v>44058</c:v>
                </c:pt>
                <c:pt idx="259">
                  <c:v>44059</c:v>
                </c:pt>
                <c:pt idx="260">
                  <c:v>44060</c:v>
                </c:pt>
                <c:pt idx="261">
                  <c:v>44061</c:v>
                </c:pt>
                <c:pt idx="262">
                  <c:v>44062</c:v>
                </c:pt>
                <c:pt idx="263">
                  <c:v>44063</c:v>
                </c:pt>
                <c:pt idx="264">
                  <c:v>44064</c:v>
                </c:pt>
                <c:pt idx="265">
                  <c:v>44065</c:v>
                </c:pt>
                <c:pt idx="266">
                  <c:v>44066</c:v>
                </c:pt>
                <c:pt idx="267">
                  <c:v>44067</c:v>
                </c:pt>
                <c:pt idx="268">
                  <c:v>44068</c:v>
                </c:pt>
                <c:pt idx="269">
                  <c:v>44069</c:v>
                </c:pt>
                <c:pt idx="270">
                  <c:v>44070</c:v>
                </c:pt>
                <c:pt idx="271">
                  <c:v>44071</c:v>
                </c:pt>
                <c:pt idx="272">
                  <c:v>44072</c:v>
                </c:pt>
                <c:pt idx="273">
                  <c:v>44073</c:v>
                </c:pt>
                <c:pt idx="274">
                  <c:v>44074</c:v>
                </c:pt>
                <c:pt idx="275">
                  <c:v>44075</c:v>
                </c:pt>
                <c:pt idx="276">
                  <c:v>44076</c:v>
                </c:pt>
                <c:pt idx="277">
                  <c:v>44077</c:v>
                </c:pt>
                <c:pt idx="278">
                  <c:v>44078</c:v>
                </c:pt>
                <c:pt idx="279">
                  <c:v>44079</c:v>
                </c:pt>
                <c:pt idx="280">
                  <c:v>44080</c:v>
                </c:pt>
                <c:pt idx="281">
                  <c:v>44081</c:v>
                </c:pt>
                <c:pt idx="282">
                  <c:v>44082</c:v>
                </c:pt>
                <c:pt idx="283">
                  <c:v>44083</c:v>
                </c:pt>
                <c:pt idx="284">
                  <c:v>44084</c:v>
                </c:pt>
                <c:pt idx="285">
                  <c:v>44085</c:v>
                </c:pt>
                <c:pt idx="286">
                  <c:v>44086</c:v>
                </c:pt>
                <c:pt idx="287">
                  <c:v>44087</c:v>
                </c:pt>
                <c:pt idx="288">
                  <c:v>44088</c:v>
                </c:pt>
                <c:pt idx="289">
                  <c:v>44089</c:v>
                </c:pt>
                <c:pt idx="290">
                  <c:v>44090</c:v>
                </c:pt>
                <c:pt idx="291">
                  <c:v>44091</c:v>
                </c:pt>
                <c:pt idx="292">
                  <c:v>44092</c:v>
                </c:pt>
                <c:pt idx="293">
                  <c:v>44093</c:v>
                </c:pt>
                <c:pt idx="294">
                  <c:v>44094</c:v>
                </c:pt>
                <c:pt idx="295">
                  <c:v>44095</c:v>
                </c:pt>
                <c:pt idx="296">
                  <c:v>44096</c:v>
                </c:pt>
                <c:pt idx="297">
                  <c:v>44097</c:v>
                </c:pt>
                <c:pt idx="298">
                  <c:v>44098</c:v>
                </c:pt>
                <c:pt idx="299">
                  <c:v>44099</c:v>
                </c:pt>
                <c:pt idx="300">
                  <c:v>44100</c:v>
                </c:pt>
                <c:pt idx="301">
                  <c:v>44101</c:v>
                </c:pt>
                <c:pt idx="302">
                  <c:v>44102</c:v>
                </c:pt>
                <c:pt idx="303">
                  <c:v>44103</c:v>
                </c:pt>
                <c:pt idx="304">
                  <c:v>44104</c:v>
                </c:pt>
                <c:pt idx="305">
                  <c:v>44105</c:v>
                </c:pt>
                <c:pt idx="306">
                  <c:v>44106</c:v>
                </c:pt>
                <c:pt idx="307">
                  <c:v>44107</c:v>
                </c:pt>
                <c:pt idx="308">
                  <c:v>44108</c:v>
                </c:pt>
                <c:pt idx="309">
                  <c:v>44109</c:v>
                </c:pt>
                <c:pt idx="310">
                  <c:v>44110</c:v>
                </c:pt>
                <c:pt idx="311">
                  <c:v>44111</c:v>
                </c:pt>
                <c:pt idx="312">
                  <c:v>44112</c:v>
                </c:pt>
                <c:pt idx="313">
                  <c:v>44113</c:v>
                </c:pt>
                <c:pt idx="314">
                  <c:v>44114</c:v>
                </c:pt>
                <c:pt idx="315">
                  <c:v>44115</c:v>
                </c:pt>
                <c:pt idx="316">
                  <c:v>44116</c:v>
                </c:pt>
                <c:pt idx="317">
                  <c:v>44117</c:v>
                </c:pt>
                <c:pt idx="318">
                  <c:v>44118</c:v>
                </c:pt>
                <c:pt idx="319">
                  <c:v>44119</c:v>
                </c:pt>
                <c:pt idx="320">
                  <c:v>44120</c:v>
                </c:pt>
                <c:pt idx="321">
                  <c:v>44121</c:v>
                </c:pt>
                <c:pt idx="322">
                  <c:v>44122</c:v>
                </c:pt>
                <c:pt idx="323">
                  <c:v>44123</c:v>
                </c:pt>
                <c:pt idx="324">
                  <c:v>44124</c:v>
                </c:pt>
                <c:pt idx="325">
                  <c:v>44125</c:v>
                </c:pt>
                <c:pt idx="326">
                  <c:v>44126</c:v>
                </c:pt>
                <c:pt idx="327">
                  <c:v>44127</c:v>
                </c:pt>
                <c:pt idx="328">
                  <c:v>44128</c:v>
                </c:pt>
                <c:pt idx="329">
                  <c:v>44129</c:v>
                </c:pt>
                <c:pt idx="330">
                  <c:v>44130</c:v>
                </c:pt>
                <c:pt idx="331">
                  <c:v>44131</c:v>
                </c:pt>
                <c:pt idx="332">
                  <c:v>44132</c:v>
                </c:pt>
                <c:pt idx="333">
                  <c:v>44133</c:v>
                </c:pt>
                <c:pt idx="334">
                  <c:v>44134</c:v>
                </c:pt>
                <c:pt idx="335">
                  <c:v>44135</c:v>
                </c:pt>
                <c:pt idx="336">
                  <c:v>44136</c:v>
                </c:pt>
                <c:pt idx="337">
                  <c:v>44137</c:v>
                </c:pt>
                <c:pt idx="338">
                  <c:v>44138</c:v>
                </c:pt>
                <c:pt idx="339">
                  <c:v>44139</c:v>
                </c:pt>
                <c:pt idx="340">
                  <c:v>44140</c:v>
                </c:pt>
                <c:pt idx="341">
                  <c:v>44141</c:v>
                </c:pt>
                <c:pt idx="342">
                  <c:v>44142</c:v>
                </c:pt>
                <c:pt idx="343">
                  <c:v>44143</c:v>
                </c:pt>
                <c:pt idx="344">
                  <c:v>44144</c:v>
                </c:pt>
                <c:pt idx="345">
                  <c:v>44145</c:v>
                </c:pt>
                <c:pt idx="346">
                  <c:v>44146</c:v>
                </c:pt>
                <c:pt idx="347">
                  <c:v>44147</c:v>
                </c:pt>
                <c:pt idx="348">
                  <c:v>44148</c:v>
                </c:pt>
                <c:pt idx="349">
                  <c:v>44149</c:v>
                </c:pt>
                <c:pt idx="350">
                  <c:v>44150</c:v>
                </c:pt>
                <c:pt idx="351">
                  <c:v>44151</c:v>
                </c:pt>
                <c:pt idx="352">
                  <c:v>44152</c:v>
                </c:pt>
                <c:pt idx="353">
                  <c:v>44153</c:v>
                </c:pt>
                <c:pt idx="354">
                  <c:v>44154</c:v>
                </c:pt>
                <c:pt idx="355">
                  <c:v>44155</c:v>
                </c:pt>
                <c:pt idx="356">
                  <c:v>44156</c:v>
                </c:pt>
                <c:pt idx="357">
                  <c:v>44157</c:v>
                </c:pt>
                <c:pt idx="358">
                  <c:v>44158</c:v>
                </c:pt>
                <c:pt idx="359">
                  <c:v>44159</c:v>
                </c:pt>
                <c:pt idx="360">
                  <c:v>44160</c:v>
                </c:pt>
                <c:pt idx="361">
                  <c:v>44161</c:v>
                </c:pt>
                <c:pt idx="362">
                  <c:v>44162</c:v>
                </c:pt>
                <c:pt idx="363">
                  <c:v>44163</c:v>
                </c:pt>
                <c:pt idx="364">
                  <c:v>44164</c:v>
                </c:pt>
                <c:pt idx="365">
                  <c:v>44165</c:v>
                </c:pt>
                <c:pt idx="366">
                  <c:v>44166</c:v>
                </c:pt>
                <c:pt idx="367">
                  <c:v>44167</c:v>
                </c:pt>
                <c:pt idx="368">
                  <c:v>44168</c:v>
                </c:pt>
                <c:pt idx="369">
                  <c:v>44169</c:v>
                </c:pt>
                <c:pt idx="370">
                  <c:v>44170</c:v>
                </c:pt>
                <c:pt idx="371">
                  <c:v>44171</c:v>
                </c:pt>
                <c:pt idx="372">
                  <c:v>44172</c:v>
                </c:pt>
                <c:pt idx="373">
                  <c:v>44173</c:v>
                </c:pt>
                <c:pt idx="374">
                  <c:v>44174</c:v>
                </c:pt>
                <c:pt idx="375">
                  <c:v>44175</c:v>
                </c:pt>
                <c:pt idx="376">
                  <c:v>44176</c:v>
                </c:pt>
                <c:pt idx="377">
                  <c:v>44177</c:v>
                </c:pt>
                <c:pt idx="378">
                  <c:v>44178</c:v>
                </c:pt>
                <c:pt idx="379">
                  <c:v>44179</c:v>
                </c:pt>
                <c:pt idx="380">
                  <c:v>44180</c:v>
                </c:pt>
                <c:pt idx="381">
                  <c:v>44181</c:v>
                </c:pt>
                <c:pt idx="382">
                  <c:v>44182</c:v>
                </c:pt>
                <c:pt idx="383">
                  <c:v>44183</c:v>
                </c:pt>
                <c:pt idx="384">
                  <c:v>44184</c:v>
                </c:pt>
                <c:pt idx="385">
                  <c:v>44185</c:v>
                </c:pt>
                <c:pt idx="386">
                  <c:v>44186</c:v>
                </c:pt>
                <c:pt idx="387">
                  <c:v>44187</c:v>
                </c:pt>
                <c:pt idx="388">
                  <c:v>44188</c:v>
                </c:pt>
                <c:pt idx="389">
                  <c:v>44189</c:v>
                </c:pt>
                <c:pt idx="390">
                  <c:v>44190</c:v>
                </c:pt>
                <c:pt idx="391">
                  <c:v>44191</c:v>
                </c:pt>
                <c:pt idx="392">
                  <c:v>44192</c:v>
                </c:pt>
                <c:pt idx="393">
                  <c:v>44193</c:v>
                </c:pt>
                <c:pt idx="394">
                  <c:v>44194</c:v>
                </c:pt>
                <c:pt idx="395">
                  <c:v>44195</c:v>
                </c:pt>
                <c:pt idx="396">
                  <c:v>44196</c:v>
                </c:pt>
                <c:pt idx="397">
                  <c:v>44197</c:v>
                </c:pt>
                <c:pt idx="398">
                  <c:v>44198</c:v>
                </c:pt>
                <c:pt idx="399">
                  <c:v>44199</c:v>
                </c:pt>
                <c:pt idx="400">
                  <c:v>44200</c:v>
                </c:pt>
                <c:pt idx="401">
                  <c:v>44201</c:v>
                </c:pt>
                <c:pt idx="402">
                  <c:v>44202</c:v>
                </c:pt>
                <c:pt idx="403">
                  <c:v>44203</c:v>
                </c:pt>
                <c:pt idx="404">
                  <c:v>44204</c:v>
                </c:pt>
                <c:pt idx="405">
                  <c:v>44205</c:v>
                </c:pt>
                <c:pt idx="406">
                  <c:v>44206</c:v>
                </c:pt>
                <c:pt idx="407">
                  <c:v>44207</c:v>
                </c:pt>
                <c:pt idx="408">
                  <c:v>44208</c:v>
                </c:pt>
                <c:pt idx="409">
                  <c:v>44209</c:v>
                </c:pt>
                <c:pt idx="410">
                  <c:v>44210</c:v>
                </c:pt>
                <c:pt idx="411">
                  <c:v>44211</c:v>
                </c:pt>
                <c:pt idx="412">
                  <c:v>44212</c:v>
                </c:pt>
                <c:pt idx="413">
                  <c:v>44213</c:v>
                </c:pt>
                <c:pt idx="414">
                  <c:v>44214</c:v>
                </c:pt>
                <c:pt idx="415">
                  <c:v>44215</c:v>
                </c:pt>
                <c:pt idx="416">
                  <c:v>44216</c:v>
                </c:pt>
                <c:pt idx="417">
                  <c:v>44217</c:v>
                </c:pt>
                <c:pt idx="418">
                  <c:v>44218</c:v>
                </c:pt>
                <c:pt idx="419">
                  <c:v>44219</c:v>
                </c:pt>
                <c:pt idx="420">
                  <c:v>44220</c:v>
                </c:pt>
                <c:pt idx="421">
                  <c:v>44221</c:v>
                </c:pt>
                <c:pt idx="422">
                  <c:v>44222</c:v>
                </c:pt>
                <c:pt idx="423">
                  <c:v>44223</c:v>
                </c:pt>
                <c:pt idx="424">
                  <c:v>44224</c:v>
                </c:pt>
                <c:pt idx="425">
                  <c:v>44225</c:v>
                </c:pt>
                <c:pt idx="426">
                  <c:v>44226</c:v>
                </c:pt>
                <c:pt idx="427">
                  <c:v>44227</c:v>
                </c:pt>
                <c:pt idx="428">
                  <c:v>44228</c:v>
                </c:pt>
                <c:pt idx="429">
                  <c:v>44229</c:v>
                </c:pt>
                <c:pt idx="430">
                  <c:v>44230</c:v>
                </c:pt>
                <c:pt idx="431">
                  <c:v>44231</c:v>
                </c:pt>
                <c:pt idx="432">
                  <c:v>44232</c:v>
                </c:pt>
                <c:pt idx="433">
                  <c:v>44233</c:v>
                </c:pt>
                <c:pt idx="434">
                  <c:v>44234</c:v>
                </c:pt>
                <c:pt idx="435">
                  <c:v>44235</c:v>
                </c:pt>
                <c:pt idx="436">
                  <c:v>44236</c:v>
                </c:pt>
                <c:pt idx="437">
                  <c:v>44237</c:v>
                </c:pt>
                <c:pt idx="438">
                  <c:v>44238</c:v>
                </c:pt>
                <c:pt idx="439">
                  <c:v>44239</c:v>
                </c:pt>
                <c:pt idx="440">
                  <c:v>44240</c:v>
                </c:pt>
                <c:pt idx="441">
                  <c:v>44241</c:v>
                </c:pt>
                <c:pt idx="442">
                  <c:v>44242</c:v>
                </c:pt>
                <c:pt idx="443">
                  <c:v>44243</c:v>
                </c:pt>
                <c:pt idx="444">
                  <c:v>44244</c:v>
                </c:pt>
                <c:pt idx="445">
                  <c:v>44245</c:v>
                </c:pt>
                <c:pt idx="446">
                  <c:v>44246</c:v>
                </c:pt>
                <c:pt idx="447">
                  <c:v>44247</c:v>
                </c:pt>
                <c:pt idx="448">
                  <c:v>44248</c:v>
                </c:pt>
                <c:pt idx="449">
                  <c:v>44249</c:v>
                </c:pt>
                <c:pt idx="450">
                  <c:v>44250</c:v>
                </c:pt>
                <c:pt idx="451">
                  <c:v>44251</c:v>
                </c:pt>
                <c:pt idx="452">
                  <c:v>44252</c:v>
                </c:pt>
                <c:pt idx="453">
                  <c:v>44253</c:v>
                </c:pt>
                <c:pt idx="454">
                  <c:v>44254</c:v>
                </c:pt>
                <c:pt idx="455">
                  <c:v>44255</c:v>
                </c:pt>
                <c:pt idx="456">
                  <c:v>44256</c:v>
                </c:pt>
                <c:pt idx="457">
                  <c:v>44257</c:v>
                </c:pt>
                <c:pt idx="458">
                  <c:v>44258</c:v>
                </c:pt>
                <c:pt idx="459">
                  <c:v>44259</c:v>
                </c:pt>
                <c:pt idx="460">
                  <c:v>44260</c:v>
                </c:pt>
                <c:pt idx="461">
                  <c:v>44261</c:v>
                </c:pt>
                <c:pt idx="462">
                  <c:v>44262</c:v>
                </c:pt>
                <c:pt idx="463">
                  <c:v>44263</c:v>
                </c:pt>
                <c:pt idx="464">
                  <c:v>44264</c:v>
                </c:pt>
                <c:pt idx="465">
                  <c:v>44265</c:v>
                </c:pt>
                <c:pt idx="466">
                  <c:v>44266</c:v>
                </c:pt>
                <c:pt idx="467">
                  <c:v>44267</c:v>
                </c:pt>
                <c:pt idx="468">
                  <c:v>44268</c:v>
                </c:pt>
                <c:pt idx="469">
                  <c:v>44269</c:v>
                </c:pt>
                <c:pt idx="470">
                  <c:v>44270</c:v>
                </c:pt>
                <c:pt idx="471">
                  <c:v>44271</c:v>
                </c:pt>
                <c:pt idx="472">
                  <c:v>44272</c:v>
                </c:pt>
                <c:pt idx="473">
                  <c:v>44273</c:v>
                </c:pt>
                <c:pt idx="474">
                  <c:v>44274</c:v>
                </c:pt>
                <c:pt idx="475">
                  <c:v>44275</c:v>
                </c:pt>
                <c:pt idx="476">
                  <c:v>44276</c:v>
                </c:pt>
                <c:pt idx="477">
                  <c:v>44277</c:v>
                </c:pt>
                <c:pt idx="478">
                  <c:v>44278</c:v>
                </c:pt>
                <c:pt idx="479">
                  <c:v>44279</c:v>
                </c:pt>
                <c:pt idx="480">
                  <c:v>44280</c:v>
                </c:pt>
                <c:pt idx="481">
                  <c:v>44281</c:v>
                </c:pt>
                <c:pt idx="482">
                  <c:v>44282</c:v>
                </c:pt>
                <c:pt idx="483">
                  <c:v>44283</c:v>
                </c:pt>
                <c:pt idx="484">
                  <c:v>44284</c:v>
                </c:pt>
                <c:pt idx="485">
                  <c:v>44285</c:v>
                </c:pt>
                <c:pt idx="486">
                  <c:v>44286</c:v>
                </c:pt>
                <c:pt idx="487">
                  <c:v>44287</c:v>
                </c:pt>
                <c:pt idx="488">
                  <c:v>44288</c:v>
                </c:pt>
                <c:pt idx="489">
                  <c:v>44289</c:v>
                </c:pt>
                <c:pt idx="490">
                  <c:v>44290</c:v>
                </c:pt>
                <c:pt idx="491">
                  <c:v>44291</c:v>
                </c:pt>
                <c:pt idx="492">
                  <c:v>44292</c:v>
                </c:pt>
                <c:pt idx="493">
                  <c:v>44293</c:v>
                </c:pt>
                <c:pt idx="494">
                  <c:v>44294</c:v>
                </c:pt>
                <c:pt idx="495">
                  <c:v>44295</c:v>
                </c:pt>
                <c:pt idx="496">
                  <c:v>44296</c:v>
                </c:pt>
                <c:pt idx="497">
                  <c:v>44297</c:v>
                </c:pt>
                <c:pt idx="498">
                  <c:v>44298</c:v>
                </c:pt>
                <c:pt idx="499">
                  <c:v>44299</c:v>
                </c:pt>
                <c:pt idx="500">
                  <c:v>44300</c:v>
                </c:pt>
                <c:pt idx="501">
                  <c:v>44301</c:v>
                </c:pt>
                <c:pt idx="502">
                  <c:v>44302</c:v>
                </c:pt>
                <c:pt idx="503">
                  <c:v>44303</c:v>
                </c:pt>
                <c:pt idx="504">
                  <c:v>44304</c:v>
                </c:pt>
                <c:pt idx="505">
                  <c:v>44305</c:v>
                </c:pt>
                <c:pt idx="506">
                  <c:v>44306</c:v>
                </c:pt>
                <c:pt idx="507">
                  <c:v>44307</c:v>
                </c:pt>
                <c:pt idx="508">
                  <c:v>44308</c:v>
                </c:pt>
                <c:pt idx="509">
                  <c:v>44309</c:v>
                </c:pt>
                <c:pt idx="510">
                  <c:v>44310</c:v>
                </c:pt>
                <c:pt idx="511">
                  <c:v>44311</c:v>
                </c:pt>
                <c:pt idx="512">
                  <c:v>44312</c:v>
                </c:pt>
                <c:pt idx="513">
                  <c:v>44313</c:v>
                </c:pt>
                <c:pt idx="514">
                  <c:v>44314</c:v>
                </c:pt>
                <c:pt idx="515">
                  <c:v>44315</c:v>
                </c:pt>
                <c:pt idx="516">
                  <c:v>44316</c:v>
                </c:pt>
                <c:pt idx="517">
                  <c:v>44317</c:v>
                </c:pt>
                <c:pt idx="518">
                  <c:v>44318</c:v>
                </c:pt>
                <c:pt idx="519">
                  <c:v>44319</c:v>
                </c:pt>
                <c:pt idx="520">
                  <c:v>44320</c:v>
                </c:pt>
                <c:pt idx="521">
                  <c:v>44321</c:v>
                </c:pt>
                <c:pt idx="522">
                  <c:v>44322</c:v>
                </c:pt>
                <c:pt idx="523">
                  <c:v>44323</c:v>
                </c:pt>
                <c:pt idx="524">
                  <c:v>44324</c:v>
                </c:pt>
                <c:pt idx="525">
                  <c:v>44325</c:v>
                </c:pt>
                <c:pt idx="526">
                  <c:v>44326</c:v>
                </c:pt>
                <c:pt idx="527">
                  <c:v>44327</c:v>
                </c:pt>
                <c:pt idx="528">
                  <c:v>44328</c:v>
                </c:pt>
                <c:pt idx="529">
                  <c:v>44329</c:v>
                </c:pt>
                <c:pt idx="530">
                  <c:v>44330</c:v>
                </c:pt>
                <c:pt idx="531">
                  <c:v>44331</c:v>
                </c:pt>
                <c:pt idx="532">
                  <c:v>44332</c:v>
                </c:pt>
                <c:pt idx="533">
                  <c:v>44333</c:v>
                </c:pt>
                <c:pt idx="534">
                  <c:v>44334</c:v>
                </c:pt>
                <c:pt idx="535">
                  <c:v>44335</c:v>
                </c:pt>
                <c:pt idx="536">
                  <c:v>44336</c:v>
                </c:pt>
                <c:pt idx="537">
                  <c:v>44337</c:v>
                </c:pt>
                <c:pt idx="538">
                  <c:v>44338</c:v>
                </c:pt>
                <c:pt idx="539">
                  <c:v>44339</c:v>
                </c:pt>
                <c:pt idx="540">
                  <c:v>44340</c:v>
                </c:pt>
                <c:pt idx="541">
                  <c:v>44341</c:v>
                </c:pt>
                <c:pt idx="542">
                  <c:v>44342</c:v>
                </c:pt>
                <c:pt idx="543">
                  <c:v>44343</c:v>
                </c:pt>
                <c:pt idx="544">
                  <c:v>44344</c:v>
                </c:pt>
                <c:pt idx="545">
                  <c:v>44345</c:v>
                </c:pt>
                <c:pt idx="546">
                  <c:v>44346</c:v>
                </c:pt>
                <c:pt idx="547">
                  <c:v>44347</c:v>
                </c:pt>
                <c:pt idx="548">
                  <c:v>44348</c:v>
                </c:pt>
                <c:pt idx="549">
                  <c:v>44349</c:v>
                </c:pt>
                <c:pt idx="550">
                  <c:v>44350</c:v>
                </c:pt>
                <c:pt idx="551">
                  <c:v>44351</c:v>
                </c:pt>
                <c:pt idx="552">
                  <c:v>44352</c:v>
                </c:pt>
                <c:pt idx="553">
                  <c:v>44353</c:v>
                </c:pt>
                <c:pt idx="554">
                  <c:v>44354</c:v>
                </c:pt>
                <c:pt idx="555">
                  <c:v>44355</c:v>
                </c:pt>
                <c:pt idx="556">
                  <c:v>44356</c:v>
                </c:pt>
                <c:pt idx="557">
                  <c:v>44357</c:v>
                </c:pt>
                <c:pt idx="558">
                  <c:v>44358</c:v>
                </c:pt>
                <c:pt idx="559">
                  <c:v>44359</c:v>
                </c:pt>
                <c:pt idx="560">
                  <c:v>44360</c:v>
                </c:pt>
                <c:pt idx="561">
                  <c:v>44361</c:v>
                </c:pt>
                <c:pt idx="562">
                  <c:v>44362</c:v>
                </c:pt>
                <c:pt idx="563">
                  <c:v>44363</c:v>
                </c:pt>
                <c:pt idx="564">
                  <c:v>44364</c:v>
                </c:pt>
                <c:pt idx="565">
                  <c:v>44365</c:v>
                </c:pt>
                <c:pt idx="566">
                  <c:v>44366</c:v>
                </c:pt>
                <c:pt idx="567">
                  <c:v>44367</c:v>
                </c:pt>
                <c:pt idx="568">
                  <c:v>44368</c:v>
                </c:pt>
                <c:pt idx="569">
                  <c:v>44369</c:v>
                </c:pt>
                <c:pt idx="570">
                  <c:v>44370</c:v>
                </c:pt>
                <c:pt idx="571">
                  <c:v>44371</c:v>
                </c:pt>
                <c:pt idx="572">
                  <c:v>44372</c:v>
                </c:pt>
                <c:pt idx="573">
                  <c:v>44373</c:v>
                </c:pt>
                <c:pt idx="574">
                  <c:v>44374</c:v>
                </c:pt>
                <c:pt idx="575">
                  <c:v>44375</c:v>
                </c:pt>
                <c:pt idx="576">
                  <c:v>44376</c:v>
                </c:pt>
                <c:pt idx="577">
                  <c:v>44377</c:v>
                </c:pt>
                <c:pt idx="578">
                  <c:v>44378</c:v>
                </c:pt>
                <c:pt idx="579">
                  <c:v>44379</c:v>
                </c:pt>
                <c:pt idx="580">
                  <c:v>44380</c:v>
                </c:pt>
                <c:pt idx="581">
                  <c:v>44381</c:v>
                </c:pt>
                <c:pt idx="582">
                  <c:v>44382</c:v>
                </c:pt>
                <c:pt idx="583">
                  <c:v>44383</c:v>
                </c:pt>
                <c:pt idx="584">
                  <c:v>44384</c:v>
                </c:pt>
                <c:pt idx="585">
                  <c:v>44385</c:v>
                </c:pt>
                <c:pt idx="586">
                  <c:v>44386</c:v>
                </c:pt>
                <c:pt idx="587">
                  <c:v>44387</c:v>
                </c:pt>
                <c:pt idx="588">
                  <c:v>44388</c:v>
                </c:pt>
                <c:pt idx="589">
                  <c:v>44389</c:v>
                </c:pt>
                <c:pt idx="590">
                  <c:v>44390</c:v>
                </c:pt>
                <c:pt idx="591">
                  <c:v>44391</c:v>
                </c:pt>
                <c:pt idx="592">
                  <c:v>44392</c:v>
                </c:pt>
                <c:pt idx="593">
                  <c:v>44393</c:v>
                </c:pt>
                <c:pt idx="594">
                  <c:v>44394</c:v>
                </c:pt>
                <c:pt idx="595">
                  <c:v>44395</c:v>
                </c:pt>
                <c:pt idx="596">
                  <c:v>44396</c:v>
                </c:pt>
                <c:pt idx="597">
                  <c:v>44397</c:v>
                </c:pt>
                <c:pt idx="598">
                  <c:v>44398</c:v>
                </c:pt>
                <c:pt idx="599">
                  <c:v>44399</c:v>
                </c:pt>
                <c:pt idx="600">
                  <c:v>44400</c:v>
                </c:pt>
                <c:pt idx="601">
                  <c:v>44401</c:v>
                </c:pt>
                <c:pt idx="602">
                  <c:v>44402</c:v>
                </c:pt>
                <c:pt idx="603">
                  <c:v>44403</c:v>
                </c:pt>
                <c:pt idx="604">
                  <c:v>44404</c:v>
                </c:pt>
                <c:pt idx="605">
                  <c:v>44405</c:v>
                </c:pt>
                <c:pt idx="606">
                  <c:v>44406</c:v>
                </c:pt>
                <c:pt idx="607">
                  <c:v>44407</c:v>
                </c:pt>
                <c:pt idx="608">
                  <c:v>44408</c:v>
                </c:pt>
                <c:pt idx="609">
                  <c:v>44409</c:v>
                </c:pt>
                <c:pt idx="610">
                  <c:v>44410</c:v>
                </c:pt>
                <c:pt idx="611">
                  <c:v>44411</c:v>
                </c:pt>
                <c:pt idx="612">
                  <c:v>44412</c:v>
                </c:pt>
                <c:pt idx="613">
                  <c:v>44413</c:v>
                </c:pt>
                <c:pt idx="614">
                  <c:v>44414</c:v>
                </c:pt>
                <c:pt idx="615">
                  <c:v>44415</c:v>
                </c:pt>
                <c:pt idx="616">
                  <c:v>44416</c:v>
                </c:pt>
                <c:pt idx="617">
                  <c:v>44417</c:v>
                </c:pt>
                <c:pt idx="618">
                  <c:v>44418</c:v>
                </c:pt>
                <c:pt idx="619">
                  <c:v>44419</c:v>
                </c:pt>
                <c:pt idx="620">
                  <c:v>44420</c:v>
                </c:pt>
                <c:pt idx="621">
                  <c:v>44421</c:v>
                </c:pt>
                <c:pt idx="622">
                  <c:v>44422</c:v>
                </c:pt>
                <c:pt idx="623">
                  <c:v>44423</c:v>
                </c:pt>
                <c:pt idx="624">
                  <c:v>44424</c:v>
                </c:pt>
                <c:pt idx="625">
                  <c:v>44425</c:v>
                </c:pt>
                <c:pt idx="626">
                  <c:v>44426</c:v>
                </c:pt>
                <c:pt idx="627">
                  <c:v>44427</c:v>
                </c:pt>
                <c:pt idx="628">
                  <c:v>44428</c:v>
                </c:pt>
                <c:pt idx="629">
                  <c:v>44429</c:v>
                </c:pt>
                <c:pt idx="630">
                  <c:v>44430</c:v>
                </c:pt>
                <c:pt idx="631">
                  <c:v>44431</c:v>
                </c:pt>
                <c:pt idx="632">
                  <c:v>44432</c:v>
                </c:pt>
                <c:pt idx="633">
                  <c:v>44433</c:v>
                </c:pt>
                <c:pt idx="634">
                  <c:v>44434</c:v>
                </c:pt>
                <c:pt idx="635">
                  <c:v>44435</c:v>
                </c:pt>
                <c:pt idx="636">
                  <c:v>44436</c:v>
                </c:pt>
                <c:pt idx="637">
                  <c:v>44437</c:v>
                </c:pt>
                <c:pt idx="638">
                  <c:v>44438</c:v>
                </c:pt>
                <c:pt idx="639">
                  <c:v>44439</c:v>
                </c:pt>
                <c:pt idx="640">
                  <c:v>44440</c:v>
                </c:pt>
                <c:pt idx="641">
                  <c:v>44441</c:v>
                </c:pt>
                <c:pt idx="642">
                  <c:v>44442</c:v>
                </c:pt>
                <c:pt idx="643">
                  <c:v>44443</c:v>
                </c:pt>
                <c:pt idx="644">
                  <c:v>44444</c:v>
                </c:pt>
                <c:pt idx="645">
                  <c:v>44445</c:v>
                </c:pt>
                <c:pt idx="646">
                  <c:v>44446</c:v>
                </c:pt>
                <c:pt idx="647">
                  <c:v>44447</c:v>
                </c:pt>
                <c:pt idx="648">
                  <c:v>44448</c:v>
                </c:pt>
                <c:pt idx="649">
                  <c:v>44449</c:v>
                </c:pt>
                <c:pt idx="650">
                  <c:v>44450</c:v>
                </c:pt>
                <c:pt idx="651">
                  <c:v>44451</c:v>
                </c:pt>
                <c:pt idx="652">
                  <c:v>44452</c:v>
                </c:pt>
                <c:pt idx="653">
                  <c:v>44453</c:v>
                </c:pt>
                <c:pt idx="654">
                  <c:v>44454</c:v>
                </c:pt>
                <c:pt idx="655">
                  <c:v>44455</c:v>
                </c:pt>
                <c:pt idx="656">
                  <c:v>44456</c:v>
                </c:pt>
                <c:pt idx="657">
                  <c:v>44457</c:v>
                </c:pt>
                <c:pt idx="658">
                  <c:v>44458</c:v>
                </c:pt>
                <c:pt idx="659">
                  <c:v>44459</c:v>
                </c:pt>
                <c:pt idx="660">
                  <c:v>44460</c:v>
                </c:pt>
                <c:pt idx="661">
                  <c:v>44461</c:v>
                </c:pt>
                <c:pt idx="662">
                  <c:v>44462</c:v>
                </c:pt>
                <c:pt idx="663">
                  <c:v>44463</c:v>
                </c:pt>
                <c:pt idx="664">
                  <c:v>44464</c:v>
                </c:pt>
                <c:pt idx="665">
                  <c:v>44465</c:v>
                </c:pt>
                <c:pt idx="666">
                  <c:v>44466</c:v>
                </c:pt>
                <c:pt idx="667">
                  <c:v>44467</c:v>
                </c:pt>
                <c:pt idx="668">
                  <c:v>44468</c:v>
                </c:pt>
                <c:pt idx="669">
                  <c:v>44469</c:v>
                </c:pt>
                <c:pt idx="670">
                  <c:v>44470</c:v>
                </c:pt>
                <c:pt idx="671">
                  <c:v>44471</c:v>
                </c:pt>
                <c:pt idx="672">
                  <c:v>44472</c:v>
                </c:pt>
                <c:pt idx="673">
                  <c:v>44473</c:v>
                </c:pt>
                <c:pt idx="674">
                  <c:v>44474</c:v>
                </c:pt>
                <c:pt idx="675">
                  <c:v>44475</c:v>
                </c:pt>
                <c:pt idx="676">
                  <c:v>44476</c:v>
                </c:pt>
                <c:pt idx="677">
                  <c:v>44477</c:v>
                </c:pt>
                <c:pt idx="678">
                  <c:v>44478</c:v>
                </c:pt>
                <c:pt idx="679">
                  <c:v>44479</c:v>
                </c:pt>
                <c:pt idx="680">
                  <c:v>44480</c:v>
                </c:pt>
                <c:pt idx="681">
                  <c:v>44481</c:v>
                </c:pt>
                <c:pt idx="682">
                  <c:v>44482</c:v>
                </c:pt>
                <c:pt idx="683">
                  <c:v>44483</c:v>
                </c:pt>
                <c:pt idx="684">
                  <c:v>44484</c:v>
                </c:pt>
                <c:pt idx="685">
                  <c:v>44485</c:v>
                </c:pt>
                <c:pt idx="686">
                  <c:v>44486</c:v>
                </c:pt>
                <c:pt idx="687">
                  <c:v>44487</c:v>
                </c:pt>
                <c:pt idx="688">
                  <c:v>44488</c:v>
                </c:pt>
                <c:pt idx="689">
                  <c:v>44489</c:v>
                </c:pt>
                <c:pt idx="690">
                  <c:v>44490</c:v>
                </c:pt>
                <c:pt idx="691">
                  <c:v>44491</c:v>
                </c:pt>
                <c:pt idx="692">
                  <c:v>44492</c:v>
                </c:pt>
                <c:pt idx="693">
                  <c:v>44493</c:v>
                </c:pt>
                <c:pt idx="694">
                  <c:v>44494</c:v>
                </c:pt>
                <c:pt idx="695">
                  <c:v>44495</c:v>
                </c:pt>
                <c:pt idx="696">
                  <c:v>44496</c:v>
                </c:pt>
                <c:pt idx="697">
                  <c:v>44497</c:v>
                </c:pt>
                <c:pt idx="698">
                  <c:v>44498</c:v>
                </c:pt>
                <c:pt idx="699">
                  <c:v>44499</c:v>
                </c:pt>
                <c:pt idx="700">
                  <c:v>44500</c:v>
                </c:pt>
                <c:pt idx="701">
                  <c:v>44501</c:v>
                </c:pt>
                <c:pt idx="702">
                  <c:v>44502</c:v>
                </c:pt>
                <c:pt idx="703">
                  <c:v>44503</c:v>
                </c:pt>
                <c:pt idx="704">
                  <c:v>44504</c:v>
                </c:pt>
                <c:pt idx="705">
                  <c:v>44505</c:v>
                </c:pt>
                <c:pt idx="706">
                  <c:v>44506</c:v>
                </c:pt>
                <c:pt idx="707">
                  <c:v>44507</c:v>
                </c:pt>
                <c:pt idx="708">
                  <c:v>44508</c:v>
                </c:pt>
                <c:pt idx="709">
                  <c:v>44509</c:v>
                </c:pt>
                <c:pt idx="710">
                  <c:v>44510</c:v>
                </c:pt>
                <c:pt idx="711">
                  <c:v>44511</c:v>
                </c:pt>
                <c:pt idx="712">
                  <c:v>44512</c:v>
                </c:pt>
                <c:pt idx="713">
                  <c:v>44513</c:v>
                </c:pt>
                <c:pt idx="714">
                  <c:v>44514</c:v>
                </c:pt>
                <c:pt idx="715">
                  <c:v>44515</c:v>
                </c:pt>
                <c:pt idx="716">
                  <c:v>44516</c:v>
                </c:pt>
                <c:pt idx="717">
                  <c:v>44517</c:v>
                </c:pt>
                <c:pt idx="718">
                  <c:v>44518</c:v>
                </c:pt>
                <c:pt idx="719">
                  <c:v>44519</c:v>
                </c:pt>
                <c:pt idx="720">
                  <c:v>44520</c:v>
                </c:pt>
                <c:pt idx="721">
                  <c:v>44521</c:v>
                </c:pt>
                <c:pt idx="722">
                  <c:v>44522</c:v>
                </c:pt>
                <c:pt idx="723">
                  <c:v>44523</c:v>
                </c:pt>
                <c:pt idx="724">
                  <c:v>44524</c:v>
                </c:pt>
                <c:pt idx="725">
                  <c:v>44525</c:v>
                </c:pt>
                <c:pt idx="726">
                  <c:v>44526</c:v>
                </c:pt>
                <c:pt idx="727">
                  <c:v>44527</c:v>
                </c:pt>
                <c:pt idx="728">
                  <c:v>44528</c:v>
                </c:pt>
                <c:pt idx="729">
                  <c:v>44529</c:v>
                </c:pt>
                <c:pt idx="730">
                  <c:v>44530</c:v>
                </c:pt>
                <c:pt idx="731">
                  <c:v>44531</c:v>
                </c:pt>
                <c:pt idx="732">
                  <c:v>44532</c:v>
                </c:pt>
                <c:pt idx="733">
                  <c:v>44533</c:v>
                </c:pt>
                <c:pt idx="734">
                  <c:v>44534</c:v>
                </c:pt>
                <c:pt idx="735">
                  <c:v>44535</c:v>
                </c:pt>
                <c:pt idx="736">
                  <c:v>44536</c:v>
                </c:pt>
                <c:pt idx="737">
                  <c:v>44537</c:v>
                </c:pt>
                <c:pt idx="738">
                  <c:v>44538</c:v>
                </c:pt>
                <c:pt idx="739">
                  <c:v>44539</c:v>
                </c:pt>
                <c:pt idx="740">
                  <c:v>44540</c:v>
                </c:pt>
                <c:pt idx="741">
                  <c:v>44541</c:v>
                </c:pt>
                <c:pt idx="742">
                  <c:v>44542</c:v>
                </c:pt>
                <c:pt idx="743">
                  <c:v>44543</c:v>
                </c:pt>
                <c:pt idx="744">
                  <c:v>44544</c:v>
                </c:pt>
                <c:pt idx="745">
                  <c:v>44545</c:v>
                </c:pt>
                <c:pt idx="746">
                  <c:v>44546</c:v>
                </c:pt>
                <c:pt idx="747">
                  <c:v>44547</c:v>
                </c:pt>
                <c:pt idx="748">
                  <c:v>44548</c:v>
                </c:pt>
                <c:pt idx="749">
                  <c:v>44549</c:v>
                </c:pt>
                <c:pt idx="750">
                  <c:v>44550</c:v>
                </c:pt>
                <c:pt idx="751">
                  <c:v>44551</c:v>
                </c:pt>
                <c:pt idx="752">
                  <c:v>44552</c:v>
                </c:pt>
                <c:pt idx="753">
                  <c:v>44553</c:v>
                </c:pt>
                <c:pt idx="754">
                  <c:v>44554</c:v>
                </c:pt>
                <c:pt idx="755">
                  <c:v>44555</c:v>
                </c:pt>
                <c:pt idx="756">
                  <c:v>44556</c:v>
                </c:pt>
                <c:pt idx="757">
                  <c:v>44557</c:v>
                </c:pt>
                <c:pt idx="758">
                  <c:v>44558</c:v>
                </c:pt>
                <c:pt idx="759">
                  <c:v>44559</c:v>
                </c:pt>
                <c:pt idx="760">
                  <c:v>44560</c:v>
                </c:pt>
                <c:pt idx="761">
                  <c:v>44561</c:v>
                </c:pt>
                <c:pt idx="762">
                  <c:v>44562</c:v>
                </c:pt>
                <c:pt idx="763">
                  <c:v>44563</c:v>
                </c:pt>
                <c:pt idx="764">
                  <c:v>44564</c:v>
                </c:pt>
                <c:pt idx="765">
                  <c:v>44565</c:v>
                </c:pt>
                <c:pt idx="766">
                  <c:v>44566</c:v>
                </c:pt>
                <c:pt idx="767">
                  <c:v>44567</c:v>
                </c:pt>
                <c:pt idx="768">
                  <c:v>44568</c:v>
                </c:pt>
                <c:pt idx="769">
                  <c:v>44569</c:v>
                </c:pt>
                <c:pt idx="770">
                  <c:v>44570</c:v>
                </c:pt>
                <c:pt idx="771">
                  <c:v>44571</c:v>
                </c:pt>
                <c:pt idx="772">
                  <c:v>44572</c:v>
                </c:pt>
                <c:pt idx="773">
                  <c:v>44573</c:v>
                </c:pt>
                <c:pt idx="774">
                  <c:v>44574</c:v>
                </c:pt>
                <c:pt idx="775">
                  <c:v>44575</c:v>
                </c:pt>
                <c:pt idx="776">
                  <c:v>44576</c:v>
                </c:pt>
                <c:pt idx="777">
                  <c:v>44577</c:v>
                </c:pt>
                <c:pt idx="778">
                  <c:v>44578</c:v>
                </c:pt>
                <c:pt idx="779">
                  <c:v>44579</c:v>
                </c:pt>
                <c:pt idx="780">
                  <c:v>44580</c:v>
                </c:pt>
                <c:pt idx="781">
                  <c:v>44581</c:v>
                </c:pt>
                <c:pt idx="782">
                  <c:v>44582</c:v>
                </c:pt>
                <c:pt idx="783">
                  <c:v>44583</c:v>
                </c:pt>
                <c:pt idx="784">
                  <c:v>44584</c:v>
                </c:pt>
                <c:pt idx="785">
                  <c:v>44585</c:v>
                </c:pt>
                <c:pt idx="786">
                  <c:v>44586</c:v>
                </c:pt>
                <c:pt idx="787">
                  <c:v>44587</c:v>
                </c:pt>
                <c:pt idx="788">
                  <c:v>44588</c:v>
                </c:pt>
                <c:pt idx="789">
                  <c:v>44589</c:v>
                </c:pt>
                <c:pt idx="790">
                  <c:v>44590</c:v>
                </c:pt>
                <c:pt idx="791">
                  <c:v>44591</c:v>
                </c:pt>
                <c:pt idx="792">
                  <c:v>44592</c:v>
                </c:pt>
                <c:pt idx="793">
                  <c:v>44593</c:v>
                </c:pt>
                <c:pt idx="794">
                  <c:v>44594</c:v>
                </c:pt>
                <c:pt idx="795">
                  <c:v>44595</c:v>
                </c:pt>
                <c:pt idx="796">
                  <c:v>44596</c:v>
                </c:pt>
                <c:pt idx="797">
                  <c:v>44597</c:v>
                </c:pt>
                <c:pt idx="798">
                  <c:v>44598</c:v>
                </c:pt>
                <c:pt idx="799">
                  <c:v>44599</c:v>
                </c:pt>
                <c:pt idx="800">
                  <c:v>44600</c:v>
                </c:pt>
                <c:pt idx="801">
                  <c:v>44601</c:v>
                </c:pt>
                <c:pt idx="802">
                  <c:v>44602</c:v>
                </c:pt>
                <c:pt idx="803">
                  <c:v>44603</c:v>
                </c:pt>
                <c:pt idx="804">
                  <c:v>44604</c:v>
                </c:pt>
                <c:pt idx="805">
                  <c:v>44605</c:v>
                </c:pt>
                <c:pt idx="806">
                  <c:v>44606</c:v>
                </c:pt>
                <c:pt idx="807">
                  <c:v>44607</c:v>
                </c:pt>
                <c:pt idx="808">
                  <c:v>44608</c:v>
                </c:pt>
                <c:pt idx="809">
                  <c:v>44609</c:v>
                </c:pt>
                <c:pt idx="810">
                  <c:v>44610</c:v>
                </c:pt>
                <c:pt idx="811">
                  <c:v>44611</c:v>
                </c:pt>
                <c:pt idx="812">
                  <c:v>44612</c:v>
                </c:pt>
                <c:pt idx="813">
                  <c:v>44613</c:v>
                </c:pt>
                <c:pt idx="814">
                  <c:v>44614</c:v>
                </c:pt>
                <c:pt idx="815">
                  <c:v>44615</c:v>
                </c:pt>
                <c:pt idx="816">
                  <c:v>44616</c:v>
                </c:pt>
                <c:pt idx="817">
                  <c:v>44617</c:v>
                </c:pt>
                <c:pt idx="818">
                  <c:v>44618</c:v>
                </c:pt>
                <c:pt idx="819">
                  <c:v>44619</c:v>
                </c:pt>
                <c:pt idx="820">
                  <c:v>44620</c:v>
                </c:pt>
                <c:pt idx="821">
                  <c:v>44621</c:v>
                </c:pt>
                <c:pt idx="822">
                  <c:v>44622</c:v>
                </c:pt>
                <c:pt idx="823">
                  <c:v>44623</c:v>
                </c:pt>
                <c:pt idx="824">
                  <c:v>44624</c:v>
                </c:pt>
                <c:pt idx="825">
                  <c:v>44625</c:v>
                </c:pt>
                <c:pt idx="826">
                  <c:v>44626</c:v>
                </c:pt>
                <c:pt idx="827">
                  <c:v>44627</c:v>
                </c:pt>
                <c:pt idx="828">
                  <c:v>44628</c:v>
                </c:pt>
                <c:pt idx="829">
                  <c:v>44629</c:v>
                </c:pt>
                <c:pt idx="830">
                  <c:v>44630</c:v>
                </c:pt>
                <c:pt idx="831">
                  <c:v>44631</c:v>
                </c:pt>
                <c:pt idx="832">
                  <c:v>44632</c:v>
                </c:pt>
                <c:pt idx="833">
                  <c:v>44633</c:v>
                </c:pt>
                <c:pt idx="834">
                  <c:v>44634</c:v>
                </c:pt>
                <c:pt idx="835">
                  <c:v>44635</c:v>
                </c:pt>
                <c:pt idx="836">
                  <c:v>44636</c:v>
                </c:pt>
                <c:pt idx="837">
                  <c:v>44637</c:v>
                </c:pt>
                <c:pt idx="838">
                  <c:v>44638</c:v>
                </c:pt>
                <c:pt idx="839">
                  <c:v>44639</c:v>
                </c:pt>
                <c:pt idx="840">
                  <c:v>44640</c:v>
                </c:pt>
                <c:pt idx="841">
                  <c:v>44641</c:v>
                </c:pt>
                <c:pt idx="842">
                  <c:v>44642</c:v>
                </c:pt>
                <c:pt idx="843">
                  <c:v>44643</c:v>
                </c:pt>
                <c:pt idx="844">
                  <c:v>44644</c:v>
                </c:pt>
                <c:pt idx="845">
                  <c:v>44645</c:v>
                </c:pt>
                <c:pt idx="846">
                  <c:v>44646</c:v>
                </c:pt>
                <c:pt idx="847">
                  <c:v>44647</c:v>
                </c:pt>
                <c:pt idx="848">
                  <c:v>44648</c:v>
                </c:pt>
                <c:pt idx="849">
                  <c:v>44649</c:v>
                </c:pt>
                <c:pt idx="850">
                  <c:v>44650</c:v>
                </c:pt>
                <c:pt idx="851">
                  <c:v>44651</c:v>
                </c:pt>
                <c:pt idx="852">
                  <c:v>44652</c:v>
                </c:pt>
                <c:pt idx="853">
                  <c:v>44653</c:v>
                </c:pt>
                <c:pt idx="854">
                  <c:v>44654</c:v>
                </c:pt>
                <c:pt idx="855">
                  <c:v>44655</c:v>
                </c:pt>
                <c:pt idx="856">
                  <c:v>44656</c:v>
                </c:pt>
                <c:pt idx="857">
                  <c:v>44657</c:v>
                </c:pt>
                <c:pt idx="858">
                  <c:v>44658</c:v>
                </c:pt>
                <c:pt idx="859">
                  <c:v>44659</c:v>
                </c:pt>
                <c:pt idx="860">
                  <c:v>44660</c:v>
                </c:pt>
                <c:pt idx="861">
                  <c:v>44661</c:v>
                </c:pt>
                <c:pt idx="862">
                  <c:v>44662</c:v>
                </c:pt>
                <c:pt idx="863">
                  <c:v>44663</c:v>
                </c:pt>
                <c:pt idx="864">
                  <c:v>44664</c:v>
                </c:pt>
                <c:pt idx="865">
                  <c:v>44665</c:v>
                </c:pt>
                <c:pt idx="866">
                  <c:v>44666</c:v>
                </c:pt>
                <c:pt idx="867">
                  <c:v>44667</c:v>
                </c:pt>
                <c:pt idx="868">
                  <c:v>44668</c:v>
                </c:pt>
                <c:pt idx="869">
                  <c:v>44669</c:v>
                </c:pt>
                <c:pt idx="870">
                  <c:v>44670</c:v>
                </c:pt>
                <c:pt idx="871">
                  <c:v>44671</c:v>
                </c:pt>
                <c:pt idx="872">
                  <c:v>44672</c:v>
                </c:pt>
                <c:pt idx="873">
                  <c:v>44673</c:v>
                </c:pt>
                <c:pt idx="874">
                  <c:v>44674</c:v>
                </c:pt>
                <c:pt idx="875">
                  <c:v>44675</c:v>
                </c:pt>
                <c:pt idx="876">
                  <c:v>44676</c:v>
                </c:pt>
                <c:pt idx="877">
                  <c:v>44677</c:v>
                </c:pt>
                <c:pt idx="878">
                  <c:v>44678</c:v>
                </c:pt>
                <c:pt idx="879">
                  <c:v>44679</c:v>
                </c:pt>
                <c:pt idx="880">
                  <c:v>44680</c:v>
                </c:pt>
                <c:pt idx="881">
                  <c:v>44681</c:v>
                </c:pt>
                <c:pt idx="882">
                  <c:v>44682</c:v>
                </c:pt>
                <c:pt idx="883">
                  <c:v>44683</c:v>
                </c:pt>
                <c:pt idx="884">
                  <c:v>44684</c:v>
                </c:pt>
                <c:pt idx="885">
                  <c:v>44685</c:v>
                </c:pt>
                <c:pt idx="886">
                  <c:v>44686</c:v>
                </c:pt>
                <c:pt idx="887">
                  <c:v>44687</c:v>
                </c:pt>
                <c:pt idx="888">
                  <c:v>44688</c:v>
                </c:pt>
                <c:pt idx="889">
                  <c:v>44689</c:v>
                </c:pt>
                <c:pt idx="890">
                  <c:v>44690</c:v>
                </c:pt>
                <c:pt idx="891">
                  <c:v>44691</c:v>
                </c:pt>
                <c:pt idx="892">
                  <c:v>44692</c:v>
                </c:pt>
                <c:pt idx="893">
                  <c:v>44693</c:v>
                </c:pt>
                <c:pt idx="894">
                  <c:v>44694</c:v>
                </c:pt>
                <c:pt idx="895">
                  <c:v>44695</c:v>
                </c:pt>
                <c:pt idx="896">
                  <c:v>44696</c:v>
                </c:pt>
                <c:pt idx="897">
                  <c:v>44697</c:v>
                </c:pt>
                <c:pt idx="898">
                  <c:v>44698</c:v>
                </c:pt>
                <c:pt idx="899">
                  <c:v>44699</c:v>
                </c:pt>
                <c:pt idx="900">
                  <c:v>44700</c:v>
                </c:pt>
                <c:pt idx="901">
                  <c:v>44701</c:v>
                </c:pt>
                <c:pt idx="902">
                  <c:v>44702</c:v>
                </c:pt>
                <c:pt idx="903">
                  <c:v>44703</c:v>
                </c:pt>
                <c:pt idx="904">
                  <c:v>44704</c:v>
                </c:pt>
                <c:pt idx="905">
                  <c:v>44705</c:v>
                </c:pt>
                <c:pt idx="906">
                  <c:v>44706</c:v>
                </c:pt>
                <c:pt idx="907">
                  <c:v>44707</c:v>
                </c:pt>
                <c:pt idx="908">
                  <c:v>44708</c:v>
                </c:pt>
                <c:pt idx="909">
                  <c:v>44709</c:v>
                </c:pt>
                <c:pt idx="910">
                  <c:v>44710</c:v>
                </c:pt>
                <c:pt idx="911">
                  <c:v>44711</c:v>
                </c:pt>
                <c:pt idx="912">
                  <c:v>44712</c:v>
                </c:pt>
                <c:pt idx="913">
                  <c:v>44713</c:v>
                </c:pt>
                <c:pt idx="914">
                  <c:v>44714</c:v>
                </c:pt>
                <c:pt idx="915">
                  <c:v>44715</c:v>
                </c:pt>
                <c:pt idx="916">
                  <c:v>44716</c:v>
                </c:pt>
                <c:pt idx="917">
                  <c:v>44717</c:v>
                </c:pt>
                <c:pt idx="918">
                  <c:v>44718</c:v>
                </c:pt>
                <c:pt idx="919">
                  <c:v>44719</c:v>
                </c:pt>
                <c:pt idx="920">
                  <c:v>44720</c:v>
                </c:pt>
                <c:pt idx="921">
                  <c:v>44721</c:v>
                </c:pt>
                <c:pt idx="922">
                  <c:v>44722</c:v>
                </c:pt>
                <c:pt idx="923">
                  <c:v>44723</c:v>
                </c:pt>
                <c:pt idx="924">
                  <c:v>44724</c:v>
                </c:pt>
                <c:pt idx="925">
                  <c:v>44725</c:v>
                </c:pt>
                <c:pt idx="926">
                  <c:v>44726</c:v>
                </c:pt>
                <c:pt idx="927">
                  <c:v>44727</c:v>
                </c:pt>
                <c:pt idx="928">
                  <c:v>44728</c:v>
                </c:pt>
                <c:pt idx="929">
                  <c:v>44729</c:v>
                </c:pt>
                <c:pt idx="930">
                  <c:v>44730</c:v>
                </c:pt>
                <c:pt idx="931">
                  <c:v>44731</c:v>
                </c:pt>
                <c:pt idx="932">
                  <c:v>44732</c:v>
                </c:pt>
                <c:pt idx="933">
                  <c:v>44733</c:v>
                </c:pt>
                <c:pt idx="934">
                  <c:v>44734</c:v>
                </c:pt>
                <c:pt idx="935">
                  <c:v>44735</c:v>
                </c:pt>
                <c:pt idx="936">
                  <c:v>44736</c:v>
                </c:pt>
                <c:pt idx="937">
                  <c:v>44737</c:v>
                </c:pt>
                <c:pt idx="938">
                  <c:v>44738</c:v>
                </c:pt>
                <c:pt idx="939">
                  <c:v>44739</c:v>
                </c:pt>
                <c:pt idx="940">
                  <c:v>44740</c:v>
                </c:pt>
                <c:pt idx="941">
                  <c:v>44741</c:v>
                </c:pt>
                <c:pt idx="942">
                  <c:v>44742</c:v>
                </c:pt>
                <c:pt idx="943">
                  <c:v>44743</c:v>
                </c:pt>
                <c:pt idx="944">
                  <c:v>44744</c:v>
                </c:pt>
                <c:pt idx="945">
                  <c:v>44745</c:v>
                </c:pt>
                <c:pt idx="946">
                  <c:v>44746</c:v>
                </c:pt>
                <c:pt idx="947">
                  <c:v>44747</c:v>
                </c:pt>
                <c:pt idx="948">
                  <c:v>44748</c:v>
                </c:pt>
                <c:pt idx="949">
                  <c:v>44749</c:v>
                </c:pt>
                <c:pt idx="950">
                  <c:v>44750</c:v>
                </c:pt>
                <c:pt idx="951">
                  <c:v>44751</c:v>
                </c:pt>
                <c:pt idx="952">
                  <c:v>44752</c:v>
                </c:pt>
                <c:pt idx="953">
                  <c:v>44753</c:v>
                </c:pt>
                <c:pt idx="954">
                  <c:v>44754</c:v>
                </c:pt>
                <c:pt idx="955">
                  <c:v>44755</c:v>
                </c:pt>
                <c:pt idx="956">
                  <c:v>44756</c:v>
                </c:pt>
                <c:pt idx="957">
                  <c:v>44757</c:v>
                </c:pt>
                <c:pt idx="958">
                  <c:v>44758</c:v>
                </c:pt>
                <c:pt idx="959">
                  <c:v>44759</c:v>
                </c:pt>
                <c:pt idx="960">
                  <c:v>44760</c:v>
                </c:pt>
                <c:pt idx="961">
                  <c:v>44761</c:v>
                </c:pt>
                <c:pt idx="962">
                  <c:v>44762</c:v>
                </c:pt>
                <c:pt idx="963">
                  <c:v>44763</c:v>
                </c:pt>
                <c:pt idx="964">
                  <c:v>44764</c:v>
                </c:pt>
                <c:pt idx="965">
                  <c:v>44765</c:v>
                </c:pt>
                <c:pt idx="966">
                  <c:v>44766</c:v>
                </c:pt>
                <c:pt idx="967">
                  <c:v>44767</c:v>
                </c:pt>
                <c:pt idx="968">
                  <c:v>44768</c:v>
                </c:pt>
                <c:pt idx="969">
                  <c:v>44769</c:v>
                </c:pt>
                <c:pt idx="970">
                  <c:v>44770</c:v>
                </c:pt>
                <c:pt idx="971">
                  <c:v>44771</c:v>
                </c:pt>
                <c:pt idx="972">
                  <c:v>44772</c:v>
                </c:pt>
                <c:pt idx="973">
                  <c:v>44773</c:v>
                </c:pt>
                <c:pt idx="974">
                  <c:v>44774</c:v>
                </c:pt>
                <c:pt idx="975">
                  <c:v>44775</c:v>
                </c:pt>
                <c:pt idx="976">
                  <c:v>44776</c:v>
                </c:pt>
                <c:pt idx="977">
                  <c:v>44777</c:v>
                </c:pt>
                <c:pt idx="978">
                  <c:v>44778</c:v>
                </c:pt>
                <c:pt idx="979">
                  <c:v>44779</c:v>
                </c:pt>
                <c:pt idx="980">
                  <c:v>44780</c:v>
                </c:pt>
                <c:pt idx="981">
                  <c:v>44781</c:v>
                </c:pt>
                <c:pt idx="982">
                  <c:v>44782</c:v>
                </c:pt>
                <c:pt idx="983">
                  <c:v>44783</c:v>
                </c:pt>
                <c:pt idx="984">
                  <c:v>44784</c:v>
                </c:pt>
                <c:pt idx="985">
                  <c:v>44785</c:v>
                </c:pt>
                <c:pt idx="986">
                  <c:v>44786</c:v>
                </c:pt>
                <c:pt idx="987">
                  <c:v>44787</c:v>
                </c:pt>
                <c:pt idx="988">
                  <c:v>44788</c:v>
                </c:pt>
                <c:pt idx="989">
                  <c:v>44789</c:v>
                </c:pt>
                <c:pt idx="990">
                  <c:v>44790</c:v>
                </c:pt>
                <c:pt idx="991">
                  <c:v>44791</c:v>
                </c:pt>
                <c:pt idx="992">
                  <c:v>44792</c:v>
                </c:pt>
                <c:pt idx="993">
                  <c:v>44793</c:v>
                </c:pt>
                <c:pt idx="994">
                  <c:v>44794</c:v>
                </c:pt>
                <c:pt idx="995">
                  <c:v>44795</c:v>
                </c:pt>
                <c:pt idx="996">
                  <c:v>44796</c:v>
                </c:pt>
                <c:pt idx="997">
                  <c:v>44797</c:v>
                </c:pt>
                <c:pt idx="998">
                  <c:v>44798</c:v>
                </c:pt>
                <c:pt idx="999">
                  <c:v>44799</c:v>
                </c:pt>
                <c:pt idx="1000">
                  <c:v>44800</c:v>
                </c:pt>
                <c:pt idx="1001">
                  <c:v>44801</c:v>
                </c:pt>
                <c:pt idx="1002">
                  <c:v>44802</c:v>
                </c:pt>
                <c:pt idx="1003">
                  <c:v>44803</c:v>
                </c:pt>
                <c:pt idx="1004">
                  <c:v>44804</c:v>
                </c:pt>
                <c:pt idx="1005">
                  <c:v>44805</c:v>
                </c:pt>
                <c:pt idx="1006">
                  <c:v>44806</c:v>
                </c:pt>
                <c:pt idx="1007">
                  <c:v>44807</c:v>
                </c:pt>
                <c:pt idx="1008">
                  <c:v>44808</c:v>
                </c:pt>
                <c:pt idx="1009">
                  <c:v>44809</c:v>
                </c:pt>
                <c:pt idx="1010">
                  <c:v>44810</c:v>
                </c:pt>
                <c:pt idx="1011">
                  <c:v>44811</c:v>
                </c:pt>
                <c:pt idx="1012">
                  <c:v>44812</c:v>
                </c:pt>
                <c:pt idx="1013">
                  <c:v>44813</c:v>
                </c:pt>
                <c:pt idx="1014">
                  <c:v>44814</c:v>
                </c:pt>
                <c:pt idx="1015">
                  <c:v>44815</c:v>
                </c:pt>
                <c:pt idx="1016">
                  <c:v>44816</c:v>
                </c:pt>
                <c:pt idx="1017">
                  <c:v>44817</c:v>
                </c:pt>
                <c:pt idx="1018">
                  <c:v>44818</c:v>
                </c:pt>
                <c:pt idx="1019">
                  <c:v>44819</c:v>
                </c:pt>
                <c:pt idx="1020">
                  <c:v>44820</c:v>
                </c:pt>
                <c:pt idx="1021">
                  <c:v>44821</c:v>
                </c:pt>
                <c:pt idx="1022">
                  <c:v>44822</c:v>
                </c:pt>
                <c:pt idx="1023">
                  <c:v>44823</c:v>
                </c:pt>
                <c:pt idx="1024">
                  <c:v>44824</c:v>
                </c:pt>
                <c:pt idx="1025">
                  <c:v>44825</c:v>
                </c:pt>
                <c:pt idx="1026">
                  <c:v>44826</c:v>
                </c:pt>
                <c:pt idx="1027">
                  <c:v>44827</c:v>
                </c:pt>
                <c:pt idx="1028">
                  <c:v>44828</c:v>
                </c:pt>
                <c:pt idx="1029">
                  <c:v>44829</c:v>
                </c:pt>
                <c:pt idx="1030">
                  <c:v>44830</c:v>
                </c:pt>
                <c:pt idx="1031">
                  <c:v>44831</c:v>
                </c:pt>
                <c:pt idx="1032">
                  <c:v>44832</c:v>
                </c:pt>
                <c:pt idx="1033">
                  <c:v>44833</c:v>
                </c:pt>
                <c:pt idx="1034">
                  <c:v>44834</c:v>
                </c:pt>
                <c:pt idx="1035">
                  <c:v>44835</c:v>
                </c:pt>
                <c:pt idx="1036">
                  <c:v>44836</c:v>
                </c:pt>
                <c:pt idx="1037">
                  <c:v>44837</c:v>
                </c:pt>
                <c:pt idx="1038">
                  <c:v>44838</c:v>
                </c:pt>
                <c:pt idx="1039">
                  <c:v>44839</c:v>
                </c:pt>
                <c:pt idx="1040">
                  <c:v>44840</c:v>
                </c:pt>
                <c:pt idx="1041">
                  <c:v>44841</c:v>
                </c:pt>
                <c:pt idx="1042">
                  <c:v>44842</c:v>
                </c:pt>
                <c:pt idx="1043">
                  <c:v>44843</c:v>
                </c:pt>
                <c:pt idx="1044">
                  <c:v>44844</c:v>
                </c:pt>
                <c:pt idx="1045">
                  <c:v>44845</c:v>
                </c:pt>
                <c:pt idx="1046">
                  <c:v>44846</c:v>
                </c:pt>
                <c:pt idx="1047">
                  <c:v>44847</c:v>
                </c:pt>
                <c:pt idx="1048">
                  <c:v>44848</c:v>
                </c:pt>
                <c:pt idx="1049">
                  <c:v>44849</c:v>
                </c:pt>
              </c:numCache>
            </c:numRef>
          </c:cat>
          <c:val>
            <c:numRef>
              <c:f>'In-Situ (2)'!$C$336:$C$1385</c:f>
              <c:numCache>
                <c:formatCode>General</c:formatCode>
                <c:ptCount val="1050"/>
                <c:pt idx="232">
                  <c:v>3.46</c:v>
                </c:pt>
                <c:pt idx="233">
                  <c:v>5.8</c:v>
                </c:pt>
                <c:pt idx="234">
                  <c:v>5.7</c:v>
                </c:pt>
                <c:pt idx="235">
                  <c:v>5.51</c:v>
                </c:pt>
                <c:pt idx="236">
                  <c:v>5.43</c:v>
                </c:pt>
                <c:pt idx="237">
                  <c:v>4.79</c:v>
                </c:pt>
                <c:pt idx="238">
                  <c:v>4.09</c:v>
                </c:pt>
                <c:pt idx="243">
                  <c:v>1.59</c:v>
                </c:pt>
                <c:pt idx="244">
                  <c:v>2.75</c:v>
                </c:pt>
                <c:pt idx="245">
                  <c:v>2.2200000000000002</c:v>
                </c:pt>
                <c:pt idx="246">
                  <c:v>2.36</c:v>
                </c:pt>
                <c:pt idx="247">
                  <c:v>2.23</c:v>
                </c:pt>
                <c:pt idx="248">
                  <c:v>2.21</c:v>
                </c:pt>
                <c:pt idx="249">
                  <c:v>2.34</c:v>
                </c:pt>
                <c:pt idx="250">
                  <c:v>2.61</c:v>
                </c:pt>
                <c:pt idx="251">
                  <c:v>2.14</c:v>
                </c:pt>
                <c:pt idx="252">
                  <c:v>2.2400000000000002</c:v>
                </c:pt>
                <c:pt idx="253">
                  <c:v>2.2999999999999998</c:v>
                </c:pt>
                <c:pt idx="264">
                  <c:v>3.61</c:v>
                </c:pt>
                <c:pt idx="265">
                  <c:v>3.22</c:v>
                </c:pt>
                <c:pt idx="266">
                  <c:v>3.46</c:v>
                </c:pt>
                <c:pt idx="267">
                  <c:v>3.99</c:v>
                </c:pt>
                <c:pt idx="268">
                  <c:v>3.65</c:v>
                </c:pt>
                <c:pt idx="269">
                  <c:v>3.7</c:v>
                </c:pt>
                <c:pt idx="270">
                  <c:v>3.12</c:v>
                </c:pt>
                <c:pt idx="271">
                  <c:v>3.28</c:v>
                </c:pt>
                <c:pt idx="272">
                  <c:v>3.67</c:v>
                </c:pt>
                <c:pt idx="273">
                  <c:v>3.81</c:v>
                </c:pt>
                <c:pt idx="274">
                  <c:v>4.03</c:v>
                </c:pt>
                <c:pt idx="275">
                  <c:v>4.28</c:v>
                </c:pt>
                <c:pt idx="276">
                  <c:v>4.3899999999999997</c:v>
                </c:pt>
                <c:pt idx="277">
                  <c:v>3.93</c:v>
                </c:pt>
                <c:pt idx="288">
                  <c:v>4.55</c:v>
                </c:pt>
                <c:pt idx="289">
                  <c:v>4.72</c:v>
                </c:pt>
                <c:pt idx="290">
                  <c:v>4.8099999999999996</c:v>
                </c:pt>
                <c:pt idx="291">
                  <c:v>4.82</c:v>
                </c:pt>
                <c:pt idx="292">
                  <c:v>4.9000000000000004</c:v>
                </c:pt>
                <c:pt idx="293">
                  <c:v>4.4800000000000004</c:v>
                </c:pt>
                <c:pt idx="294">
                  <c:v>4.5599999999999996</c:v>
                </c:pt>
                <c:pt idx="295">
                  <c:v>4.1500000000000004</c:v>
                </c:pt>
                <c:pt idx="296">
                  <c:v>3.63</c:v>
                </c:pt>
                <c:pt idx="297">
                  <c:v>3.33</c:v>
                </c:pt>
                <c:pt idx="310">
                  <c:v>4.2</c:v>
                </c:pt>
                <c:pt idx="311">
                  <c:v>3.77</c:v>
                </c:pt>
                <c:pt idx="312">
                  <c:v>4.0599999999999996</c:v>
                </c:pt>
                <c:pt idx="313">
                  <c:v>3.61</c:v>
                </c:pt>
                <c:pt idx="314">
                  <c:v>3.21</c:v>
                </c:pt>
                <c:pt idx="315">
                  <c:v>3</c:v>
                </c:pt>
                <c:pt idx="316">
                  <c:v>2.7</c:v>
                </c:pt>
                <c:pt idx="317">
                  <c:v>2.8</c:v>
                </c:pt>
                <c:pt idx="318">
                  <c:v>2.5499999999999998</c:v>
                </c:pt>
                <c:pt idx="319">
                  <c:v>2.41</c:v>
                </c:pt>
                <c:pt idx="320">
                  <c:v>2.5099999999999998</c:v>
                </c:pt>
                <c:pt idx="321">
                  <c:v>2.35</c:v>
                </c:pt>
                <c:pt idx="322">
                  <c:v>2.31</c:v>
                </c:pt>
                <c:pt idx="323">
                  <c:v>2.29</c:v>
                </c:pt>
                <c:pt idx="324">
                  <c:v>2.38</c:v>
                </c:pt>
                <c:pt idx="325">
                  <c:v>2.17</c:v>
                </c:pt>
                <c:pt idx="326">
                  <c:v>1.99</c:v>
                </c:pt>
                <c:pt idx="327">
                  <c:v>1.71</c:v>
                </c:pt>
                <c:pt idx="328">
                  <c:v>1.72</c:v>
                </c:pt>
                <c:pt idx="329">
                  <c:v>1.81</c:v>
                </c:pt>
                <c:pt idx="330">
                  <c:v>1.84</c:v>
                </c:pt>
                <c:pt idx="331">
                  <c:v>1.38</c:v>
                </c:pt>
                <c:pt idx="332">
                  <c:v>1.58</c:v>
                </c:pt>
                <c:pt idx="333">
                  <c:v>1.55</c:v>
                </c:pt>
                <c:pt idx="334">
                  <c:v>1.4</c:v>
                </c:pt>
                <c:pt idx="335">
                  <c:v>1.08</c:v>
                </c:pt>
              </c:numCache>
            </c:numRef>
          </c:val>
          <c:smooth val="0"/>
          <c:extLst>
            <c:ext xmlns:c16="http://schemas.microsoft.com/office/drawing/2014/chart" uri="{C3380CC4-5D6E-409C-BE32-E72D297353CC}">
              <c16:uniqueId val="{00000001-6DEA-45BC-805B-E74475C8FD70}"/>
            </c:ext>
          </c:extLst>
        </c:ser>
        <c:ser>
          <c:idx val="3"/>
          <c:order val="2"/>
          <c:tx>
            <c:strRef>
              <c:f>'In-Situ (2)'!$D$1</c:f>
              <c:strCache>
                <c:ptCount val="1"/>
                <c:pt idx="0">
                  <c:v>Rice</c:v>
                </c:pt>
              </c:strCache>
            </c:strRef>
          </c:tx>
          <c:spPr>
            <a:ln w="12700" cap="rnd">
              <a:solidFill>
                <a:srgbClr val="FF0000"/>
              </a:solidFill>
              <a:round/>
            </a:ln>
            <a:effectLst/>
          </c:spPr>
          <c:marker>
            <c:symbol val="none"/>
          </c:marker>
          <c:cat>
            <c:numRef>
              <c:f>'In-Situ (2)'!$A$336:$A$1385</c:f>
              <c:numCache>
                <c:formatCode>[$-409]d\-mmm\-yy;@</c:formatCode>
                <c:ptCount val="1050"/>
                <c:pt idx="0">
                  <c:v>43800</c:v>
                </c:pt>
                <c:pt idx="1">
                  <c:v>43801</c:v>
                </c:pt>
                <c:pt idx="2">
                  <c:v>43802</c:v>
                </c:pt>
                <c:pt idx="3">
                  <c:v>43803</c:v>
                </c:pt>
                <c:pt idx="4">
                  <c:v>43804</c:v>
                </c:pt>
                <c:pt idx="5">
                  <c:v>43805</c:v>
                </c:pt>
                <c:pt idx="6">
                  <c:v>43806</c:v>
                </c:pt>
                <c:pt idx="7">
                  <c:v>43807</c:v>
                </c:pt>
                <c:pt idx="8">
                  <c:v>43808</c:v>
                </c:pt>
                <c:pt idx="9">
                  <c:v>43809</c:v>
                </c:pt>
                <c:pt idx="10">
                  <c:v>43810</c:v>
                </c:pt>
                <c:pt idx="11">
                  <c:v>43811</c:v>
                </c:pt>
                <c:pt idx="12">
                  <c:v>43812</c:v>
                </c:pt>
                <c:pt idx="13">
                  <c:v>43813</c:v>
                </c:pt>
                <c:pt idx="14">
                  <c:v>43814</c:v>
                </c:pt>
                <c:pt idx="15">
                  <c:v>43815</c:v>
                </c:pt>
                <c:pt idx="16">
                  <c:v>43816</c:v>
                </c:pt>
                <c:pt idx="17">
                  <c:v>43817</c:v>
                </c:pt>
                <c:pt idx="18">
                  <c:v>43818</c:v>
                </c:pt>
                <c:pt idx="19">
                  <c:v>43819</c:v>
                </c:pt>
                <c:pt idx="20">
                  <c:v>43820</c:v>
                </c:pt>
                <c:pt idx="21">
                  <c:v>43821</c:v>
                </c:pt>
                <c:pt idx="22">
                  <c:v>43822</c:v>
                </c:pt>
                <c:pt idx="23">
                  <c:v>43823</c:v>
                </c:pt>
                <c:pt idx="24">
                  <c:v>43824</c:v>
                </c:pt>
                <c:pt idx="25">
                  <c:v>43825</c:v>
                </c:pt>
                <c:pt idx="26">
                  <c:v>43826</c:v>
                </c:pt>
                <c:pt idx="27">
                  <c:v>43827</c:v>
                </c:pt>
                <c:pt idx="28">
                  <c:v>43828</c:v>
                </c:pt>
                <c:pt idx="29">
                  <c:v>43829</c:v>
                </c:pt>
                <c:pt idx="30">
                  <c:v>43830</c:v>
                </c:pt>
                <c:pt idx="31">
                  <c:v>43831</c:v>
                </c:pt>
                <c:pt idx="32">
                  <c:v>43832</c:v>
                </c:pt>
                <c:pt idx="33">
                  <c:v>43833</c:v>
                </c:pt>
                <c:pt idx="34">
                  <c:v>43834</c:v>
                </c:pt>
                <c:pt idx="35">
                  <c:v>43835</c:v>
                </c:pt>
                <c:pt idx="36">
                  <c:v>43836</c:v>
                </c:pt>
                <c:pt idx="37">
                  <c:v>43837</c:v>
                </c:pt>
                <c:pt idx="38">
                  <c:v>43838</c:v>
                </c:pt>
                <c:pt idx="39">
                  <c:v>43839</c:v>
                </c:pt>
                <c:pt idx="40">
                  <c:v>43840</c:v>
                </c:pt>
                <c:pt idx="41">
                  <c:v>43841</c:v>
                </c:pt>
                <c:pt idx="42">
                  <c:v>43842</c:v>
                </c:pt>
                <c:pt idx="43">
                  <c:v>43843</c:v>
                </c:pt>
                <c:pt idx="44">
                  <c:v>43844</c:v>
                </c:pt>
                <c:pt idx="45">
                  <c:v>43845</c:v>
                </c:pt>
                <c:pt idx="46">
                  <c:v>43846</c:v>
                </c:pt>
                <c:pt idx="47">
                  <c:v>43847</c:v>
                </c:pt>
                <c:pt idx="48">
                  <c:v>43848</c:v>
                </c:pt>
                <c:pt idx="49">
                  <c:v>43849</c:v>
                </c:pt>
                <c:pt idx="50">
                  <c:v>43850</c:v>
                </c:pt>
                <c:pt idx="51">
                  <c:v>43851</c:v>
                </c:pt>
                <c:pt idx="52">
                  <c:v>43852</c:v>
                </c:pt>
                <c:pt idx="53">
                  <c:v>43853</c:v>
                </c:pt>
                <c:pt idx="54">
                  <c:v>43854</c:v>
                </c:pt>
                <c:pt idx="55">
                  <c:v>43855</c:v>
                </c:pt>
                <c:pt idx="56">
                  <c:v>43856</c:v>
                </c:pt>
                <c:pt idx="57">
                  <c:v>43857</c:v>
                </c:pt>
                <c:pt idx="58">
                  <c:v>43858</c:v>
                </c:pt>
                <c:pt idx="59">
                  <c:v>43859</c:v>
                </c:pt>
                <c:pt idx="60">
                  <c:v>43860</c:v>
                </c:pt>
                <c:pt idx="61">
                  <c:v>43861</c:v>
                </c:pt>
                <c:pt idx="62">
                  <c:v>43862</c:v>
                </c:pt>
                <c:pt idx="63">
                  <c:v>43863</c:v>
                </c:pt>
                <c:pt idx="64">
                  <c:v>43864</c:v>
                </c:pt>
                <c:pt idx="65">
                  <c:v>43865</c:v>
                </c:pt>
                <c:pt idx="66">
                  <c:v>43866</c:v>
                </c:pt>
                <c:pt idx="67">
                  <c:v>43867</c:v>
                </c:pt>
                <c:pt idx="68">
                  <c:v>43868</c:v>
                </c:pt>
                <c:pt idx="69">
                  <c:v>43869</c:v>
                </c:pt>
                <c:pt idx="70">
                  <c:v>43870</c:v>
                </c:pt>
                <c:pt idx="71">
                  <c:v>43871</c:v>
                </c:pt>
                <c:pt idx="72">
                  <c:v>43872</c:v>
                </c:pt>
                <c:pt idx="73">
                  <c:v>43873</c:v>
                </c:pt>
                <c:pt idx="74">
                  <c:v>43874</c:v>
                </c:pt>
                <c:pt idx="75">
                  <c:v>43875</c:v>
                </c:pt>
                <c:pt idx="76">
                  <c:v>43876</c:v>
                </c:pt>
                <c:pt idx="77">
                  <c:v>43877</c:v>
                </c:pt>
                <c:pt idx="78">
                  <c:v>43878</c:v>
                </c:pt>
                <c:pt idx="79">
                  <c:v>43879</c:v>
                </c:pt>
                <c:pt idx="80">
                  <c:v>43880</c:v>
                </c:pt>
                <c:pt idx="81">
                  <c:v>43881</c:v>
                </c:pt>
                <c:pt idx="82">
                  <c:v>43882</c:v>
                </c:pt>
                <c:pt idx="83">
                  <c:v>43883</c:v>
                </c:pt>
                <c:pt idx="84">
                  <c:v>43884</c:v>
                </c:pt>
                <c:pt idx="85">
                  <c:v>43885</c:v>
                </c:pt>
                <c:pt idx="86">
                  <c:v>43886</c:v>
                </c:pt>
                <c:pt idx="87">
                  <c:v>43887</c:v>
                </c:pt>
                <c:pt idx="88">
                  <c:v>43888</c:v>
                </c:pt>
                <c:pt idx="89">
                  <c:v>43889</c:v>
                </c:pt>
                <c:pt idx="90">
                  <c:v>43890</c:v>
                </c:pt>
                <c:pt idx="91">
                  <c:v>43891</c:v>
                </c:pt>
                <c:pt idx="92">
                  <c:v>43892</c:v>
                </c:pt>
                <c:pt idx="93">
                  <c:v>43893</c:v>
                </c:pt>
                <c:pt idx="94">
                  <c:v>43894</c:v>
                </c:pt>
                <c:pt idx="95">
                  <c:v>43895</c:v>
                </c:pt>
                <c:pt idx="96">
                  <c:v>43896</c:v>
                </c:pt>
                <c:pt idx="97">
                  <c:v>43897</c:v>
                </c:pt>
                <c:pt idx="98">
                  <c:v>43898</c:v>
                </c:pt>
                <c:pt idx="99">
                  <c:v>43899</c:v>
                </c:pt>
                <c:pt idx="100">
                  <c:v>43900</c:v>
                </c:pt>
                <c:pt idx="101">
                  <c:v>43901</c:v>
                </c:pt>
                <c:pt idx="102">
                  <c:v>43902</c:v>
                </c:pt>
                <c:pt idx="103">
                  <c:v>43903</c:v>
                </c:pt>
                <c:pt idx="104">
                  <c:v>43904</c:v>
                </c:pt>
                <c:pt idx="105">
                  <c:v>43905</c:v>
                </c:pt>
                <c:pt idx="106">
                  <c:v>43906</c:v>
                </c:pt>
                <c:pt idx="107">
                  <c:v>43907</c:v>
                </c:pt>
                <c:pt idx="108">
                  <c:v>43908</c:v>
                </c:pt>
                <c:pt idx="109">
                  <c:v>43909</c:v>
                </c:pt>
                <c:pt idx="110">
                  <c:v>43910</c:v>
                </c:pt>
                <c:pt idx="111">
                  <c:v>43911</c:v>
                </c:pt>
                <c:pt idx="112">
                  <c:v>43912</c:v>
                </c:pt>
                <c:pt idx="113">
                  <c:v>43913</c:v>
                </c:pt>
                <c:pt idx="114">
                  <c:v>43914</c:v>
                </c:pt>
                <c:pt idx="115">
                  <c:v>43915</c:v>
                </c:pt>
                <c:pt idx="116">
                  <c:v>43916</c:v>
                </c:pt>
                <c:pt idx="117">
                  <c:v>43917</c:v>
                </c:pt>
                <c:pt idx="118">
                  <c:v>43918</c:v>
                </c:pt>
                <c:pt idx="119">
                  <c:v>43919</c:v>
                </c:pt>
                <c:pt idx="120">
                  <c:v>43920</c:v>
                </c:pt>
                <c:pt idx="121">
                  <c:v>43921</c:v>
                </c:pt>
                <c:pt idx="122">
                  <c:v>43922</c:v>
                </c:pt>
                <c:pt idx="123">
                  <c:v>43923</c:v>
                </c:pt>
                <c:pt idx="124">
                  <c:v>43924</c:v>
                </c:pt>
                <c:pt idx="125">
                  <c:v>43925</c:v>
                </c:pt>
                <c:pt idx="126">
                  <c:v>43926</c:v>
                </c:pt>
                <c:pt idx="127">
                  <c:v>43927</c:v>
                </c:pt>
                <c:pt idx="128">
                  <c:v>43928</c:v>
                </c:pt>
                <c:pt idx="129">
                  <c:v>43929</c:v>
                </c:pt>
                <c:pt idx="130">
                  <c:v>43930</c:v>
                </c:pt>
                <c:pt idx="131">
                  <c:v>43931</c:v>
                </c:pt>
                <c:pt idx="132">
                  <c:v>43932</c:v>
                </c:pt>
                <c:pt idx="133">
                  <c:v>43933</c:v>
                </c:pt>
                <c:pt idx="134">
                  <c:v>43934</c:v>
                </c:pt>
                <c:pt idx="135">
                  <c:v>43935</c:v>
                </c:pt>
                <c:pt idx="136">
                  <c:v>43936</c:v>
                </c:pt>
                <c:pt idx="137">
                  <c:v>43937</c:v>
                </c:pt>
                <c:pt idx="138">
                  <c:v>43938</c:v>
                </c:pt>
                <c:pt idx="139">
                  <c:v>43939</c:v>
                </c:pt>
                <c:pt idx="140">
                  <c:v>43940</c:v>
                </c:pt>
                <c:pt idx="141">
                  <c:v>43941</c:v>
                </c:pt>
                <c:pt idx="142">
                  <c:v>43942</c:v>
                </c:pt>
                <c:pt idx="143">
                  <c:v>43943</c:v>
                </c:pt>
                <c:pt idx="144">
                  <c:v>43944</c:v>
                </c:pt>
                <c:pt idx="145">
                  <c:v>43945</c:v>
                </c:pt>
                <c:pt idx="146">
                  <c:v>43946</c:v>
                </c:pt>
                <c:pt idx="147">
                  <c:v>43947</c:v>
                </c:pt>
                <c:pt idx="148">
                  <c:v>43948</c:v>
                </c:pt>
                <c:pt idx="149">
                  <c:v>43949</c:v>
                </c:pt>
                <c:pt idx="150">
                  <c:v>43950</c:v>
                </c:pt>
                <c:pt idx="151">
                  <c:v>43951</c:v>
                </c:pt>
                <c:pt idx="152">
                  <c:v>43952</c:v>
                </c:pt>
                <c:pt idx="153">
                  <c:v>43953</c:v>
                </c:pt>
                <c:pt idx="154">
                  <c:v>43954</c:v>
                </c:pt>
                <c:pt idx="155">
                  <c:v>43955</c:v>
                </c:pt>
                <c:pt idx="156">
                  <c:v>43956</c:v>
                </c:pt>
                <c:pt idx="157">
                  <c:v>43957</c:v>
                </c:pt>
                <c:pt idx="158">
                  <c:v>43958</c:v>
                </c:pt>
                <c:pt idx="159">
                  <c:v>43959</c:v>
                </c:pt>
                <c:pt idx="160">
                  <c:v>43960</c:v>
                </c:pt>
                <c:pt idx="161">
                  <c:v>43961</c:v>
                </c:pt>
                <c:pt idx="162">
                  <c:v>43962</c:v>
                </c:pt>
                <c:pt idx="163">
                  <c:v>43963</c:v>
                </c:pt>
                <c:pt idx="164">
                  <c:v>43964</c:v>
                </c:pt>
                <c:pt idx="165">
                  <c:v>43965</c:v>
                </c:pt>
                <c:pt idx="166">
                  <c:v>43966</c:v>
                </c:pt>
                <c:pt idx="167">
                  <c:v>43967</c:v>
                </c:pt>
                <c:pt idx="168">
                  <c:v>43968</c:v>
                </c:pt>
                <c:pt idx="169">
                  <c:v>43969</c:v>
                </c:pt>
                <c:pt idx="170">
                  <c:v>43970</c:v>
                </c:pt>
                <c:pt idx="171">
                  <c:v>43971</c:v>
                </c:pt>
                <c:pt idx="172">
                  <c:v>43972</c:v>
                </c:pt>
                <c:pt idx="173">
                  <c:v>43973</c:v>
                </c:pt>
                <c:pt idx="174">
                  <c:v>43974</c:v>
                </c:pt>
                <c:pt idx="175">
                  <c:v>43975</c:v>
                </c:pt>
                <c:pt idx="176">
                  <c:v>43976</c:v>
                </c:pt>
                <c:pt idx="177">
                  <c:v>43977</c:v>
                </c:pt>
                <c:pt idx="178">
                  <c:v>43978</c:v>
                </c:pt>
                <c:pt idx="179">
                  <c:v>43979</c:v>
                </c:pt>
                <c:pt idx="180">
                  <c:v>43980</c:v>
                </c:pt>
                <c:pt idx="181">
                  <c:v>43981</c:v>
                </c:pt>
                <c:pt idx="182">
                  <c:v>43982</c:v>
                </c:pt>
                <c:pt idx="183">
                  <c:v>43983</c:v>
                </c:pt>
                <c:pt idx="184">
                  <c:v>43984</c:v>
                </c:pt>
                <c:pt idx="185">
                  <c:v>43985</c:v>
                </c:pt>
                <c:pt idx="186">
                  <c:v>43986</c:v>
                </c:pt>
                <c:pt idx="187">
                  <c:v>43987</c:v>
                </c:pt>
                <c:pt idx="188">
                  <c:v>43988</c:v>
                </c:pt>
                <c:pt idx="189">
                  <c:v>43989</c:v>
                </c:pt>
                <c:pt idx="190">
                  <c:v>43990</c:v>
                </c:pt>
                <c:pt idx="191">
                  <c:v>43991</c:v>
                </c:pt>
                <c:pt idx="192">
                  <c:v>43992</c:v>
                </c:pt>
                <c:pt idx="193">
                  <c:v>43993</c:v>
                </c:pt>
                <c:pt idx="194">
                  <c:v>43994</c:v>
                </c:pt>
                <c:pt idx="195">
                  <c:v>43995</c:v>
                </c:pt>
                <c:pt idx="196">
                  <c:v>43996</c:v>
                </c:pt>
                <c:pt idx="197">
                  <c:v>43997</c:v>
                </c:pt>
                <c:pt idx="198">
                  <c:v>43998</c:v>
                </c:pt>
                <c:pt idx="199">
                  <c:v>43999</c:v>
                </c:pt>
                <c:pt idx="200">
                  <c:v>44000</c:v>
                </c:pt>
                <c:pt idx="201">
                  <c:v>44001</c:v>
                </c:pt>
                <c:pt idx="202">
                  <c:v>44002</c:v>
                </c:pt>
                <c:pt idx="203">
                  <c:v>44003</c:v>
                </c:pt>
                <c:pt idx="204">
                  <c:v>44004</c:v>
                </c:pt>
                <c:pt idx="205">
                  <c:v>44005</c:v>
                </c:pt>
                <c:pt idx="206">
                  <c:v>44006</c:v>
                </c:pt>
                <c:pt idx="207">
                  <c:v>44007</c:v>
                </c:pt>
                <c:pt idx="208">
                  <c:v>44008</c:v>
                </c:pt>
                <c:pt idx="209">
                  <c:v>44009</c:v>
                </c:pt>
                <c:pt idx="210">
                  <c:v>44010</c:v>
                </c:pt>
                <c:pt idx="211">
                  <c:v>44011</c:v>
                </c:pt>
                <c:pt idx="212">
                  <c:v>44012</c:v>
                </c:pt>
                <c:pt idx="213">
                  <c:v>44013</c:v>
                </c:pt>
                <c:pt idx="214">
                  <c:v>44014</c:v>
                </c:pt>
                <c:pt idx="215">
                  <c:v>44015</c:v>
                </c:pt>
                <c:pt idx="216">
                  <c:v>44016</c:v>
                </c:pt>
                <c:pt idx="217">
                  <c:v>44017</c:v>
                </c:pt>
                <c:pt idx="218">
                  <c:v>44018</c:v>
                </c:pt>
                <c:pt idx="219">
                  <c:v>44019</c:v>
                </c:pt>
                <c:pt idx="220">
                  <c:v>44020</c:v>
                </c:pt>
                <c:pt idx="221">
                  <c:v>44021</c:v>
                </c:pt>
                <c:pt idx="222">
                  <c:v>44022</c:v>
                </c:pt>
                <c:pt idx="223">
                  <c:v>44023</c:v>
                </c:pt>
                <c:pt idx="224">
                  <c:v>44024</c:v>
                </c:pt>
                <c:pt idx="225">
                  <c:v>44025</c:v>
                </c:pt>
                <c:pt idx="226">
                  <c:v>44026</c:v>
                </c:pt>
                <c:pt idx="227">
                  <c:v>44027</c:v>
                </c:pt>
                <c:pt idx="228">
                  <c:v>44028</c:v>
                </c:pt>
                <c:pt idx="229">
                  <c:v>44029</c:v>
                </c:pt>
                <c:pt idx="230">
                  <c:v>44030</c:v>
                </c:pt>
                <c:pt idx="231">
                  <c:v>44031</c:v>
                </c:pt>
                <c:pt idx="232">
                  <c:v>44032</c:v>
                </c:pt>
                <c:pt idx="233">
                  <c:v>44033</c:v>
                </c:pt>
                <c:pt idx="234">
                  <c:v>44034</c:v>
                </c:pt>
                <c:pt idx="235">
                  <c:v>44035</c:v>
                </c:pt>
                <c:pt idx="236">
                  <c:v>44036</c:v>
                </c:pt>
                <c:pt idx="237">
                  <c:v>44037</c:v>
                </c:pt>
                <c:pt idx="238">
                  <c:v>44038</c:v>
                </c:pt>
                <c:pt idx="239">
                  <c:v>44039</c:v>
                </c:pt>
                <c:pt idx="240">
                  <c:v>44040</c:v>
                </c:pt>
                <c:pt idx="241">
                  <c:v>44041</c:v>
                </c:pt>
                <c:pt idx="242">
                  <c:v>44042</c:v>
                </c:pt>
                <c:pt idx="243">
                  <c:v>44043</c:v>
                </c:pt>
                <c:pt idx="244">
                  <c:v>44044</c:v>
                </c:pt>
                <c:pt idx="245">
                  <c:v>44045</c:v>
                </c:pt>
                <c:pt idx="246">
                  <c:v>44046</c:v>
                </c:pt>
                <c:pt idx="247">
                  <c:v>44047</c:v>
                </c:pt>
                <c:pt idx="248">
                  <c:v>44048</c:v>
                </c:pt>
                <c:pt idx="249">
                  <c:v>44049</c:v>
                </c:pt>
                <c:pt idx="250">
                  <c:v>44050</c:v>
                </c:pt>
                <c:pt idx="251">
                  <c:v>44051</c:v>
                </c:pt>
                <c:pt idx="252">
                  <c:v>44052</c:v>
                </c:pt>
                <c:pt idx="253">
                  <c:v>44053</c:v>
                </c:pt>
                <c:pt idx="254">
                  <c:v>44054</c:v>
                </c:pt>
                <c:pt idx="255">
                  <c:v>44055</c:v>
                </c:pt>
                <c:pt idx="256">
                  <c:v>44056</c:v>
                </c:pt>
                <c:pt idx="257">
                  <c:v>44057</c:v>
                </c:pt>
                <c:pt idx="258">
                  <c:v>44058</c:v>
                </c:pt>
                <c:pt idx="259">
                  <c:v>44059</c:v>
                </c:pt>
                <c:pt idx="260">
                  <c:v>44060</c:v>
                </c:pt>
                <c:pt idx="261">
                  <c:v>44061</c:v>
                </c:pt>
                <c:pt idx="262">
                  <c:v>44062</c:v>
                </c:pt>
                <c:pt idx="263">
                  <c:v>44063</c:v>
                </c:pt>
                <c:pt idx="264">
                  <c:v>44064</c:v>
                </c:pt>
                <c:pt idx="265">
                  <c:v>44065</c:v>
                </c:pt>
                <c:pt idx="266">
                  <c:v>44066</c:v>
                </c:pt>
                <c:pt idx="267">
                  <c:v>44067</c:v>
                </c:pt>
                <c:pt idx="268">
                  <c:v>44068</c:v>
                </c:pt>
                <c:pt idx="269">
                  <c:v>44069</c:v>
                </c:pt>
                <c:pt idx="270">
                  <c:v>44070</c:v>
                </c:pt>
                <c:pt idx="271">
                  <c:v>44071</c:v>
                </c:pt>
                <c:pt idx="272">
                  <c:v>44072</c:v>
                </c:pt>
                <c:pt idx="273">
                  <c:v>44073</c:v>
                </c:pt>
                <c:pt idx="274">
                  <c:v>44074</c:v>
                </c:pt>
                <c:pt idx="275">
                  <c:v>44075</c:v>
                </c:pt>
                <c:pt idx="276">
                  <c:v>44076</c:v>
                </c:pt>
                <c:pt idx="277">
                  <c:v>44077</c:v>
                </c:pt>
                <c:pt idx="278">
                  <c:v>44078</c:v>
                </c:pt>
                <c:pt idx="279">
                  <c:v>44079</c:v>
                </c:pt>
                <c:pt idx="280">
                  <c:v>44080</c:v>
                </c:pt>
                <c:pt idx="281">
                  <c:v>44081</c:v>
                </c:pt>
                <c:pt idx="282">
                  <c:v>44082</c:v>
                </c:pt>
                <c:pt idx="283">
                  <c:v>44083</c:v>
                </c:pt>
                <c:pt idx="284">
                  <c:v>44084</c:v>
                </c:pt>
                <c:pt idx="285">
                  <c:v>44085</c:v>
                </c:pt>
                <c:pt idx="286">
                  <c:v>44086</c:v>
                </c:pt>
                <c:pt idx="287">
                  <c:v>44087</c:v>
                </c:pt>
                <c:pt idx="288">
                  <c:v>44088</c:v>
                </c:pt>
                <c:pt idx="289">
                  <c:v>44089</c:v>
                </c:pt>
                <c:pt idx="290">
                  <c:v>44090</c:v>
                </c:pt>
                <c:pt idx="291">
                  <c:v>44091</c:v>
                </c:pt>
                <c:pt idx="292">
                  <c:v>44092</c:v>
                </c:pt>
                <c:pt idx="293">
                  <c:v>44093</c:v>
                </c:pt>
                <c:pt idx="294">
                  <c:v>44094</c:v>
                </c:pt>
                <c:pt idx="295">
                  <c:v>44095</c:v>
                </c:pt>
                <c:pt idx="296">
                  <c:v>44096</c:v>
                </c:pt>
                <c:pt idx="297">
                  <c:v>44097</c:v>
                </c:pt>
                <c:pt idx="298">
                  <c:v>44098</c:v>
                </c:pt>
                <c:pt idx="299">
                  <c:v>44099</c:v>
                </c:pt>
                <c:pt idx="300">
                  <c:v>44100</c:v>
                </c:pt>
                <c:pt idx="301">
                  <c:v>44101</c:v>
                </c:pt>
                <c:pt idx="302">
                  <c:v>44102</c:v>
                </c:pt>
                <c:pt idx="303">
                  <c:v>44103</c:v>
                </c:pt>
                <c:pt idx="304">
                  <c:v>44104</c:v>
                </c:pt>
                <c:pt idx="305">
                  <c:v>44105</c:v>
                </c:pt>
                <c:pt idx="306">
                  <c:v>44106</c:v>
                </c:pt>
                <c:pt idx="307">
                  <c:v>44107</c:v>
                </c:pt>
                <c:pt idx="308">
                  <c:v>44108</c:v>
                </c:pt>
                <c:pt idx="309">
                  <c:v>44109</c:v>
                </c:pt>
                <c:pt idx="310">
                  <c:v>44110</c:v>
                </c:pt>
                <c:pt idx="311">
                  <c:v>44111</c:v>
                </c:pt>
                <c:pt idx="312">
                  <c:v>44112</c:v>
                </c:pt>
                <c:pt idx="313">
                  <c:v>44113</c:v>
                </c:pt>
                <c:pt idx="314">
                  <c:v>44114</c:v>
                </c:pt>
                <c:pt idx="315">
                  <c:v>44115</c:v>
                </c:pt>
                <c:pt idx="316">
                  <c:v>44116</c:v>
                </c:pt>
                <c:pt idx="317">
                  <c:v>44117</c:v>
                </c:pt>
                <c:pt idx="318">
                  <c:v>44118</c:v>
                </c:pt>
                <c:pt idx="319">
                  <c:v>44119</c:v>
                </c:pt>
                <c:pt idx="320">
                  <c:v>44120</c:v>
                </c:pt>
                <c:pt idx="321">
                  <c:v>44121</c:v>
                </c:pt>
                <c:pt idx="322">
                  <c:v>44122</c:v>
                </c:pt>
                <c:pt idx="323">
                  <c:v>44123</c:v>
                </c:pt>
                <c:pt idx="324">
                  <c:v>44124</c:v>
                </c:pt>
                <c:pt idx="325">
                  <c:v>44125</c:v>
                </c:pt>
                <c:pt idx="326">
                  <c:v>44126</c:v>
                </c:pt>
                <c:pt idx="327">
                  <c:v>44127</c:v>
                </c:pt>
                <c:pt idx="328">
                  <c:v>44128</c:v>
                </c:pt>
                <c:pt idx="329">
                  <c:v>44129</c:v>
                </c:pt>
                <c:pt idx="330">
                  <c:v>44130</c:v>
                </c:pt>
                <c:pt idx="331">
                  <c:v>44131</c:v>
                </c:pt>
                <c:pt idx="332">
                  <c:v>44132</c:v>
                </c:pt>
                <c:pt idx="333">
                  <c:v>44133</c:v>
                </c:pt>
                <c:pt idx="334">
                  <c:v>44134</c:v>
                </c:pt>
                <c:pt idx="335">
                  <c:v>44135</c:v>
                </c:pt>
                <c:pt idx="336">
                  <c:v>44136</c:v>
                </c:pt>
                <c:pt idx="337">
                  <c:v>44137</c:v>
                </c:pt>
                <c:pt idx="338">
                  <c:v>44138</c:v>
                </c:pt>
                <c:pt idx="339">
                  <c:v>44139</c:v>
                </c:pt>
                <c:pt idx="340">
                  <c:v>44140</c:v>
                </c:pt>
                <c:pt idx="341">
                  <c:v>44141</c:v>
                </c:pt>
                <c:pt idx="342">
                  <c:v>44142</c:v>
                </c:pt>
                <c:pt idx="343">
                  <c:v>44143</c:v>
                </c:pt>
                <c:pt idx="344">
                  <c:v>44144</c:v>
                </c:pt>
                <c:pt idx="345">
                  <c:v>44145</c:v>
                </c:pt>
                <c:pt idx="346">
                  <c:v>44146</c:v>
                </c:pt>
                <c:pt idx="347">
                  <c:v>44147</c:v>
                </c:pt>
                <c:pt idx="348">
                  <c:v>44148</c:v>
                </c:pt>
                <c:pt idx="349">
                  <c:v>44149</c:v>
                </c:pt>
                <c:pt idx="350">
                  <c:v>44150</c:v>
                </c:pt>
                <c:pt idx="351">
                  <c:v>44151</c:v>
                </c:pt>
                <c:pt idx="352">
                  <c:v>44152</c:v>
                </c:pt>
                <c:pt idx="353">
                  <c:v>44153</c:v>
                </c:pt>
                <c:pt idx="354">
                  <c:v>44154</c:v>
                </c:pt>
                <c:pt idx="355">
                  <c:v>44155</c:v>
                </c:pt>
                <c:pt idx="356">
                  <c:v>44156</c:v>
                </c:pt>
                <c:pt idx="357">
                  <c:v>44157</c:v>
                </c:pt>
                <c:pt idx="358">
                  <c:v>44158</c:v>
                </c:pt>
                <c:pt idx="359">
                  <c:v>44159</c:v>
                </c:pt>
                <c:pt idx="360">
                  <c:v>44160</c:v>
                </c:pt>
                <c:pt idx="361">
                  <c:v>44161</c:v>
                </c:pt>
                <c:pt idx="362">
                  <c:v>44162</c:v>
                </c:pt>
                <c:pt idx="363">
                  <c:v>44163</c:v>
                </c:pt>
                <c:pt idx="364">
                  <c:v>44164</c:v>
                </c:pt>
                <c:pt idx="365">
                  <c:v>44165</c:v>
                </c:pt>
                <c:pt idx="366">
                  <c:v>44166</c:v>
                </c:pt>
                <c:pt idx="367">
                  <c:v>44167</c:v>
                </c:pt>
                <c:pt idx="368">
                  <c:v>44168</c:v>
                </c:pt>
                <c:pt idx="369">
                  <c:v>44169</c:v>
                </c:pt>
                <c:pt idx="370">
                  <c:v>44170</c:v>
                </c:pt>
                <c:pt idx="371">
                  <c:v>44171</c:v>
                </c:pt>
                <c:pt idx="372">
                  <c:v>44172</c:v>
                </c:pt>
                <c:pt idx="373">
                  <c:v>44173</c:v>
                </c:pt>
                <c:pt idx="374">
                  <c:v>44174</c:v>
                </c:pt>
                <c:pt idx="375">
                  <c:v>44175</c:v>
                </c:pt>
                <c:pt idx="376">
                  <c:v>44176</c:v>
                </c:pt>
                <c:pt idx="377">
                  <c:v>44177</c:v>
                </c:pt>
                <c:pt idx="378">
                  <c:v>44178</c:v>
                </c:pt>
                <c:pt idx="379">
                  <c:v>44179</c:v>
                </c:pt>
                <c:pt idx="380">
                  <c:v>44180</c:v>
                </c:pt>
                <c:pt idx="381">
                  <c:v>44181</c:v>
                </c:pt>
                <c:pt idx="382">
                  <c:v>44182</c:v>
                </c:pt>
                <c:pt idx="383">
                  <c:v>44183</c:v>
                </c:pt>
                <c:pt idx="384">
                  <c:v>44184</c:v>
                </c:pt>
                <c:pt idx="385">
                  <c:v>44185</c:v>
                </c:pt>
                <c:pt idx="386">
                  <c:v>44186</c:v>
                </c:pt>
                <c:pt idx="387">
                  <c:v>44187</c:v>
                </c:pt>
                <c:pt idx="388">
                  <c:v>44188</c:v>
                </c:pt>
                <c:pt idx="389">
                  <c:v>44189</c:v>
                </c:pt>
                <c:pt idx="390">
                  <c:v>44190</c:v>
                </c:pt>
                <c:pt idx="391">
                  <c:v>44191</c:v>
                </c:pt>
                <c:pt idx="392">
                  <c:v>44192</c:v>
                </c:pt>
                <c:pt idx="393">
                  <c:v>44193</c:v>
                </c:pt>
                <c:pt idx="394">
                  <c:v>44194</c:v>
                </c:pt>
                <c:pt idx="395">
                  <c:v>44195</c:v>
                </c:pt>
                <c:pt idx="396">
                  <c:v>44196</c:v>
                </c:pt>
                <c:pt idx="397">
                  <c:v>44197</c:v>
                </c:pt>
                <c:pt idx="398">
                  <c:v>44198</c:v>
                </c:pt>
                <c:pt idx="399">
                  <c:v>44199</c:v>
                </c:pt>
                <c:pt idx="400">
                  <c:v>44200</c:v>
                </c:pt>
                <c:pt idx="401">
                  <c:v>44201</c:v>
                </c:pt>
                <c:pt idx="402">
                  <c:v>44202</c:v>
                </c:pt>
                <c:pt idx="403">
                  <c:v>44203</c:v>
                </c:pt>
                <c:pt idx="404">
                  <c:v>44204</c:v>
                </c:pt>
                <c:pt idx="405">
                  <c:v>44205</c:v>
                </c:pt>
                <c:pt idx="406">
                  <c:v>44206</c:v>
                </c:pt>
                <c:pt idx="407">
                  <c:v>44207</c:v>
                </c:pt>
                <c:pt idx="408">
                  <c:v>44208</c:v>
                </c:pt>
                <c:pt idx="409">
                  <c:v>44209</c:v>
                </c:pt>
                <c:pt idx="410">
                  <c:v>44210</c:v>
                </c:pt>
                <c:pt idx="411">
                  <c:v>44211</c:v>
                </c:pt>
                <c:pt idx="412">
                  <c:v>44212</c:v>
                </c:pt>
                <c:pt idx="413">
                  <c:v>44213</c:v>
                </c:pt>
                <c:pt idx="414">
                  <c:v>44214</c:v>
                </c:pt>
                <c:pt idx="415">
                  <c:v>44215</c:v>
                </c:pt>
                <c:pt idx="416">
                  <c:v>44216</c:v>
                </c:pt>
                <c:pt idx="417">
                  <c:v>44217</c:v>
                </c:pt>
                <c:pt idx="418">
                  <c:v>44218</c:v>
                </c:pt>
                <c:pt idx="419">
                  <c:v>44219</c:v>
                </c:pt>
                <c:pt idx="420">
                  <c:v>44220</c:v>
                </c:pt>
                <c:pt idx="421">
                  <c:v>44221</c:v>
                </c:pt>
                <c:pt idx="422">
                  <c:v>44222</c:v>
                </c:pt>
                <c:pt idx="423">
                  <c:v>44223</c:v>
                </c:pt>
                <c:pt idx="424">
                  <c:v>44224</c:v>
                </c:pt>
                <c:pt idx="425">
                  <c:v>44225</c:v>
                </c:pt>
                <c:pt idx="426">
                  <c:v>44226</c:v>
                </c:pt>
                <c:pt idx="427">
                  <c:v>44227</c:v>
                </c:pt>
                <c:pt idx="428">
                  <c:v>44228</c:v>
                </c:pt>
                <c:pt idx="429">
                  <c:v>44229</c:v>
                </c:pt>
                <c:pt idx="430">
                  <c:v>44230</c:v>
                </c:pt>
                <c:pt idx="431">
                  <c:v>44231</c:v>
                </c:pt>
                <c:pt idx="432">
                  <c:v>44232</c:v>
                </c:pt>
                <c:pt idx="433">
                  <c:v>44233</c:v>
                </c:pt>
                <c:pt idx="434">
                  <c:v>44234</c:v>
                </c:pt>
                <c:pt idx="435">
                  <c:v>44235</c:v>
                </c:pt>
                <c:pt idx="436">
                  <c:v>44236</c:v>
                </c:pt>
                <c:pt idx="437">
                  <c:v>44237</c:v>
                </c:pt>
                <c:pt idx="438">
                  <c:v>44238</c:v>
                </c:pt>
                <c:pt idx="439">
                  <c:v>44239</c:v>
                </c:pt>
                <c:pt idx="440">
                  <c:v>44240</c:v>
                </c:pt>
                <c:pt idx="441">
                  <c:v>44241</c:v>
                </c:pt>
                <c:pt idx="442">
                  <c:v>44242</c:v>
                </c:pt>
                <c:pt idx="443">
                  <c:v>44243</c:v>
                </c:pt>
                <c:pt idx="444">
                  <c:v>44244</c:v>
                </c:pt>
                <c:pt idx="445">
                  <c:v>44245</c:v>
                </c:pt>
                <c:pt idx="446">
                  <c:v>44246</c:v>
                </c:pt>
                <c:pt idx="447">
                  <c:v>44247</c:v>
                </c:pt>
                <c:pt idx="448">
                  <c:v>44248</c:v>
                </c:pt>
                <c:pt idx="449">
                  <c:v>44249</c:v>
                </c:pt>
                <c:pt idx="450">
                  <c:v>44250</c:v>
                </c:pt>
                <c:pt idx="451">
                  <c:v>44251</c:v>
                </c:pt>
                <c:pt idx="452">
                  <c:v>44252</c:v>
                </c:pt>
                <c:pt idx="453">
                  <c:v>44253</c:v>
                </c:pt>
                <c:pt idx="454">
                  <c:v>44254</c:v>
                </c:pt>
                <c:pt idx="455">
                  <c:v>44255</c:v>
                </c:pt>
                <c:pt idx="456">
                  <c:v>44256</c:v>
                </c:pt>
                <c:pt idx="457">
                  <c:v>44257</c:v>
                </c:pt>
                <c:pt idx="458">
                  <c:v>44258</c:v>
                </c:pt>
                <c:pt idx="459">
                  <c:v>44259</c:v>
                </c:pt>
                <c:pt idx="460">
                  <c:v>44260</c:v>
                </c:pt>
                <c:pt idx="461">
                  <c:v>44261</c:v>
                </c:pt>
                <c:pt idx="462">
                  <c:v>44262</c:v>
                </c:pt>
                <c:pt idx="463">
                  <c:v>44263</c:v>
                </c:pt>
                <c:pt idx="464">
                  <c:v>44264</c:v>
                </c:pt>
                <c:pt idx="465">
                  <c:v>44265</c:v>
                </c:pt>
                <c:pt idx="466">
                  <c:v>44266</c:v>
                </c:pt>
                <c:pt idx="467">
                  <c:v>44267</c:v>
                </c:pt>
                <c:pt idx="468">
                  <c:v>44268</c:v>
                </c:pt>
                <c:pt idx="469">
                  <c:v>44269</c:v>
                </c:pt>
                <c:pt idx="470">
                  <c:v>44270</c:v>
                </c:pt>
                <c:pt idx="471">
                  <c:v>44271</c:v>
                </c:pt>
                <c:pt idx="472">
                  <c:v>44272</c:v>
                </c:pt>
                <c:pt idx="473">
                  <c:v>44273</c:v>
                </c:pt>
                <c:pt idx="474">
                  <c:v>44274</c:v>
                </c:pt>
                <c:pt idx="475">
                  <c:v>44275</c:v>
                </c:pt>
                <c:pt idx="476">
                  <c:v>44276</c:v>
                </c:pt>
                <c:pt idx="477">
                  <c:v>44277</c:v>
                </c:pt>
                <c:pt idx="478">
                  <c:v>44278</c:v>
                </c:pt>
                <c:pt idx="479">
                  <c:v>44279</c:v>
                </c:pt>
                <c:pt idx="480">
                  <c:v>44280</c:v>
                </c:pt>
                <c:pt idx="481">
                  <c:v>44281</c:v>
                </c:pt>
                <c:pt idx="482">
                  <c:v>44282</c:v>
                </c:pt>
                <c:pt idx="483">
                  <c:v>44283</c:v>
                </c:pt>
                <c:pt idx="484">
                  <c:v>44284</c:v>
                </c:pt>
                <c:pt idx="485">
                  <c:v>44285</c:v>
                </c:pt>
                <c:pt idx="486">
                  <c:v>44286</c:v>
                </c:pt>
                <c:pt idx="487">
                  <c:v>44287</c:v>
                </c:pt>
                <c:pt idx="488">
                  <c:v>44288</c:v>
                </c:pt>
                <c:pt idx="489">
                  <c:v>44289</c:v>
                </c:pt>
                <c:pt idx="490">
                  <c:v>44290</c:v>
                </c:pt>
                <c:pt idx="491">
                  <c:v>44291</c:v>
                </c:pt>
                <c:pt idx="492">
                  <c:v>44292</c:v>
                </c:pt>
                <c:pt idx="493">
                  <c:v>44293</c:v>
                </c:pt>
                <c:pt idx="494">
                  <c:v>44294</c:v>
                </c:pt>
                <c:pt idx="495">
                  <c:v>44295</c:v>
                </c:pt>
                <c:pt idx="496">
                  <c:v>44296</c:v>
                </c:pt>
                <c:pt idx="497">
                  <c:v>44297</c:v>
                </c:pt>
                <c:pt idx="498">
                  <c:v>44298</c:v>
                </c:pt>
                <c:pt idx="499">
                  <c:v>44299</c:v>
                </c:pt>
                <c:pt idx="500">
                  <c:v>44300</c:v>
                </c:pt>
                <c:pt idx="501">
                  <c:v>44301</c:v>
                </c:pt>
                <c:pt idx="502">
                  <c:v>44302</c:v>
                </c:pt>
                <c:pt idx="503">
                  <c:v>44303</c:v>
                </c:pt>
                <c:pt idx="504">
                  <c:v>44304</c:v>
                </c:pt>
                <c:pt idx="505">
                  <c:v>44305</c:v>
                </c:pt>
                <c:pt idx="506">
                  <c:v>44306</c:v>
                </c:pt>
                <c:pt idx="507">
                  <c:v>44307</c:v>
                </c:pt>
                <c:pt idx="508">
                  <c:v>44308</c:v>
                </c:pt>
                <c:pt idx="509">
                  <c:v>44309</c:v>
                </c:pt>
                <c:pt idx="510">
                  <c:v>44310</c:v>
                </c:pt>
                <c:pt idx="511">
                  <c:v>44311</c:v>
                </c:pt>
                <c:pt idx="512">
                  <c:v>44312</c:v>
                </c:pt>
                <c:pt idx="513">
                  <c:v>44313</c:v>
                </c:pt>
                <c:pt idx="514">
                  <c:v>44314</c:v>
                </c:pt>
                <c:pt idx="515">
                  <c:v>44315</c:v>
                </c:pt>
                <c:pt idx="516">
                  <c:v>44316</c:v>
                </c:pt>
                <c:pt idx="517">
                  <c:v>44317</c:v>
                </c:pt>
                <c:pt idx="518">
                  <c:v>44318</c:v>
                </c:pt>
                <c:pt idx="519">
                  <c:v>44319</c:v>
                </c:pt>
                <c:pt idx="520">
                  <c:v>44320</c:v>
                </c:pt>
                <c:pt idx="521">
                  <c:v>44321</c:v>
                </c:pt>
                <c:pt idx="522">
                  <c:v>44322</c:v>
                </c:pt>
                <c:pt idx="523">
                  <c:v>44323</c:v>
                </c:pt>
                <c:pt idx="524">
                  <c:v>44324</c:v>
                </c:pt>
                <c:pt idx="525">
                  <c:v>44325</c:v>
                </c:pt>
                <c:pt idx="526">
                  <c:v>44326</c:v>
                </c:pt>
                <c:pt idx="527">
                  <c:v>44327</c:v>
                </c:pt>
                <c:pt idx="528">
                  <c:v>44328</c:v>
                </c:pt>
                <c:pt idx="529">
                  <c:v>44329</c:v>
                </c:pt>
                <c:pt idx="530">
                  <c:v>44330</c:v>
                </c:pt>
                <c:pt idx="531">
                  <c:v>44331</c:v>
                </c:pt>
                <c:pt idx="532">
                  <c:v>44332</c:v>
                </c:pt>
                <c:pt idx="533">
                  <c:v>44333</c:v>
                </c:pt>
                <c:pt idx="534">
                  <c:v>44334</c:v>
                </c:pt>
                <c:pt idx="535">
                  <c:v>44335</c:v>
                </c:pt>
                <c:pt idx="536">
                  <c:v>44336</c:v>
                </c:pt>
                <c:pt idx="537">
                  <c:v>44337</c:v>
                </c:pt>
                <c:pt idx="538">
                  <c:v>44338</c:v>
                </c:pt>
                <c:pt idx="539">
                  <c:v>44339</c:v>
                </c:pt>
                <c:pt idx="540">
                  <c:v>44340</c:v>
                </c:pt>
                <c:pt idx="541">
                  <c:v>44341</c:v>
                </c:pt>
                <c:pt idx="542">
                  <c:v>44342</c:v>
                </c:pt>
                <c:pt idx="543">
                  <c:v>44343</c:v>
                </c:pt>
                <c:pt idx="544">
                  <c:v>44344</c:v>
                </c:pt>
                <c:pt idx="545">
                  <c:v>44345</c:v>
                </c:pt>
                <c:pt idx="546">
                  <c:v>44346</c:v>
                </c:pt>
                <c:pt idx="547">
                  <c:v>44347</c:v>
                </c:pt>
                <c:pt idx="548">
                  <c:v>44348</c:v>
                </c:pt>
                <c:pt idx="549">
                  <c:v>44349</c:v>
                </c:pt>
                <c:pt idx="550">
                  <c:v>44350</c:v>
                </c:pt>
                <c:pt idx="551">
                  <c:v>44351</c:v>
                </c:pt>
                <c:pt idx="552">
                  <c:v>44352</c:v>
                </c:pt>
                <c:pt idx="553">
                  <c:v>44353</c:v>
                </c:pt>
                <c:pt idx="554">
                  <c:v>44354</c:v>
                </c:pt>
                <c:pt idx="555">
                  <c:v>44355</c:v>
                </c:pt>
                <c:pt idx="556">
                  <c:v>44356</c:v>
                </c:pt>
                <c:pt idx="557">
                  <c:v>44357</c:v>
                </c:pt>
                <c:pt idx="558">
                  <c:v>44358</c:v>
                </c:pt>
                <c:pt idx="559">
                  <c:v>44359</c:v>
                </c:pt>
                <c:pt idx="560">
                  <c:v>44360</c:v>
                </c:pt>
                <c:pt idx="561">
                  <c:v>44361</c:v>
                </c:pt>
                <c:pt idx="562">
                  <c:v>44362</c:v>
                </c:pt>
                <c:pt idx="563">
                  <c:v>44363</c:v>
                </c:pt>
                <c:pt idx="564">
                  <c:v>44364</c:v>
                </c:pt>
                <c:pt idx="565">
                  <c:v>44365</c:v>
                </c:pt>
                <c:pt idx="566">
                  <c:v>44366</c:v>
                </c:pt>
                <c:pt idx="567">
                  <c:v>44367</c:v>
                </c:pt>
                <c:pt idx="568">
                  <c:v>44368</c:v>
                </c:pt>
                <c:pt idx="569">
                  <c:v>44369</c:v>
                </c:pt>
                <c:pt idx="570">
                  <c:v>44370</c:v>
                </c:pt>
                <c:pt idx="571">
                  <c:v>44371</c:v>
                </c:pt>
                <c:pt idx="572">
                  <c:v>44372</c:v>
                </c:pt>
                <c:pt idx="573">
                  <c:v>44373</c:v>
                </c:pt>
                <c:pt idx="574">
                  <c:v>44374</c:v>
                </c:pt>
                <c:pt idx="575">
                  <c:v>44375</c:v>
                </c:pt>
                <c:pt idx="576">
                  <c:v>44376</c:v>
                </c:pt>
                <c:pt idx="577">
                  <c:v>44377</c:v>
                </c:pt>
                <c:pt idx="578">
                  <c:v>44378</c:v>
                </c:pt>
                <c:pt idx="579">
                  <c:v>44379</c:v>
                </c:pt>
                <c:pt idx="580">
                  <c:v>44380</c:v>
                </c:pt>
                <c:pt idx="581">
                  <c:v>44381</c:v>
                </c:pt>
                <c:pt idx="582">
                  <c:v>44382</c:v>
                </c:pt>
                <c:pt idx="583">
                  <c:v>44383</c:v>
                </c:pt>
                <c:pt idx="584">
                  <c:v>44384</c:v>
                </c:pt>
                <c:pt idx="585">
                  <c:v>44385</c:v>
                </c:pt>
                <c:pt idx="586">
                  <c:v>44386</c:v>
                </c:pt>
                <c:pt idx="587">
                  <c:v>44387</c:v>
                </c:pt>
                <c:pt idx="588">
                  <c:v>44388</c:v>
                </c:pt>
                <c:pt idx="589">
                  <c:v>44389</c:v>
                </c:pt>
                <c:pt idx="590">
                  <c:v>44390</c:v>
                </c:pt>
                <c:pt idx="591">
                  <c:v>44391</c:v>
                </c:pt>
                <c:pt idx="592">
                  <c:v>44392</c:v>
                </c:pt>
                <c:pt idx="593">
                  <c:v>44393</c:v>
                </c:pt>
                <c:pt idx="594">
                  <c:v>44394</c:v>
                </c:pt>
                <c:pt idx="595">
                  <c:v>44395</c:v>
                </c:pt>
                <c:pt idx="596">
                  <c:v>44396</c:v>
                </c:pt>
                <c:pt idx="597">
                  <c:v>44397</c:v>
                </c:pt>
                <c:pt idx="598">
                  <c:v>44398</c:v>
                </c:pt>
                <c:pt idx="599">
                  <c:v>44399</c:v>
                </c:pt>
                <c:pt idx="600">
                  <c:v>44400</c:v>
                </c:pt>
                <c:pt idx="601">
                  <c:v>44401</c:v>
                </c:pt>
                <c:pt idx="602">
                  <c:v>44402</c:v>
                </c:pt>
                <c:pt idx="603">
                  <c:v>44403</c:v>
                </c:pt>
                <c:pt idx="604">
                  <c:v>44404</c:v>
                </c:pt>
                <c:pt idx="605">
                  <c:v>44405</c:v>
                </c:pt>
                <c:pt idx="606">
                  <c:v>44406</c:v>
                </c:pt>
                <c:pt idx="607">
                  <c:v>44407</c:v>
                </c:pt>
                <c:pt idx="608">
                  <c:v>44408</c:v>
                </c:pt>
                <c:pt idx="609">
                  <c:v>44409</c:v>
                </c:pt>
                <c:pt idx="610">
                  <c:v>44410</c:v>
                </c:pt>
                <c:pt idx="611">
                  <c:v>44411</c:v>
                </c:pt>
                <c:pt idx="612">
                  <c:v>44412</c:v>
                </c:pt>
                <c:pt idx="613">
                  <c:v>44413</c:v>
                </c:pt>
                <c:pt idx="614">
                  <c:v>44414</c:v>
                </c:pt>
                <c:pt idx="615">
                  <c:v>44415</c:v>
                </c:pt>
                <c:pt idx="616">
                  <c:v>44416</c:v>
                </c:pt>
                <c:pt idx="617">
                  <c:v>44417</c:v>
                </c:pt>
                <c:pt idx="618">
                  <c:v>44418</c:v>
                </c:pt>
                <c:pt idx="619">
                  <c:v>44419</c:v>
                </c:pt>
                <c:pt idx="620">
                  <c:v>44420</c:v>
                </c:pt>
                <c:pt idx="621">
                  <c:v>44421</c:v>
                </c:pt>
                <c:pt idx="622">
                  <c:v>44422</c:v>
                </c:pt>
                <c:pt idx="623">
                  <c:v>44423</c:v>
                </c:pt>
                <c:pt idx="624">
                  <c:v>44424</c:v>
                </c:pt>
                <c:pt idx="625">
                  <c:v>44425</c:v>
                </c:pt>
                <c:pt idx="626">
                  <c:v>44426</c:v>
                </c:pt>
                <c:pt idx="627">
                  <c:v>44427</c:v>
                </c:pt>
                <c:pt idx="628">
                  <c:v>44428</c:v>
                </c:pt>
                <c:pt idx="629">
                  <c:v>44429</c:v>
                </c:pt>
                <c:pt idx="630">
                  <c:v>44430</c:v>
                </c:pt>
                <c:pt idx="631">
                  <c:v>44431</c:v>
                </c:pt>
                <c:pt idx="632">
                  <c:v>44432</c:v>
                </c:pt>
                <c:pt idx="633">
                  <c:v>44433</c:v>
                </c:pt>
                <c:pt idx="634">
                  <c:v>44434</c:v>
                </c:pt>
                <c:pt idx="635">
                  <c:v>44435</c:v>
                </c:pt>
                <c:pt idx="636">
                  <c:v>44436</c:v>
                </c:pt>
                <c:pt idx="637">
                  <c:v>44437</c:v>
                </c:pt>
                <c:pt idx="638">
                  <c:v>44438</c:v>
                </c:pt>
                <c:pt idx="639">
                  <c:v>44439</c:v>
                </c:pt>
                <c:pt idx="640">
                  <c:v>44440</c:v>
                </c:pt>
                <c:pt idx="641">
                  <c:v>44441</c:v>
                </c:pt>
                <c:pt idx="642">
                  <c:v>44442</c:v>
                </c:pt>
                <c:pt idx="643">
                  <c:v>44443</c:v>
                </c:pt>
                <c:pt idx="644">
                  <c:v>44444</c:v>
                </c:pt>
                <c:pt idx="645">
                  <c:v>44445</c:v>
                </c:pt>
                <c:pt idx="646">
                  <c:v>44446</c:v>
                </c:pt>
                <c:pt idx="647">
                  <c:v>44447</c:v>
                </c:pt>
                <c:pt idx="648">
                  <c:v>44448</c:v>
                </c:pt>
                <c:pt idx="649">
                  <c:v>44449</c:v>
                </c:pt>
                <c:pt idx="650">
                  <c:v>44450</c:v>
                </c:pt>
                <c:pt idx="651">
                  <c:v>44451</c:v>
                </c:pt>
                <c:pt idx="652">
                  <c:v>44452</c:v>
                </c:pt>
                <c:pt idx="653">
                  <c:v>44453</c:v>
                </c:pt>
                <c:pt idx="654">
                  <c:v>44454</c:v>
                </c:pt>
                <c:pt idx="655">
                  <c:v>44455</c:v>
                </c:pt>
                <c:pt idx="656">
                  <c:v>44456</c:v>
                </c:pt>
                <c:pt idx="657">
                  <c:v>44457</c:v>
                </c:pt>
                <c:pt idx="658">
                  <c:v>44458</c:v>
                </c:pt>
                <c:pt idx="659">
                  <c:v>44459</c:v>
                </c:pt>
                <c:pt idx="660">
                  <c:v>44460</c:v>
                </c:pt>
                <c:pt idx="661">
                  <c:v>44461</c:v>
                </c:pt>
                <c:pt idx="662">
                  <c:v>44462</c:v>
                </c:pt>
                <c:pt idx="663">
                  <c:v>44463</c:v>
                </c:pt>
                <c:pt idx="664">
                  <c:v>44464</c:v>
                </c:pt>
                <c:pt idx="665">
                  <c:v>44465</c:v>
                </c:pt>
                <c:pt idx="666">
                  <c:v>44466</c:v>
                </c:pt>
                <c:pt idx="667">
                  <c:v>44467</c:v>
                </c:pt>
                <c:pt idx="668">
                  <c:v>44468</c:v>
                </c:pt>
                <c:pt idx="669">
                  <c:v>44469</c:v>
                </c:pt>
                <c:pt idx="670">
                  <c:v>44470</c:v>
                </c:pt>
                <c:pt idx="671">
                  <c:v>44471</c:v>
                </c:pt>
                <c:pt idx="672">
                  <c:v>44472</c:v>
                </c:pt>
                <c:pt idx="673">
                  <c:v>44473</c:v>
                </c:pt>
                <c:pt idx="674">
                  <c:v>44474</c:v>
                </c:pt>
                <c:pt idx="675">
                  <c:v>44475</c:v>
                </c:pt>
                <c:pt idx="676">
                  <c:v>44476</c:v>
                </c:pt>
                <c:pt idx="677">
                  <c:v>44477</c:v>
                </c:pt>
                <c:pt idx="678">
                  <c:v>44478</c:v>
                </c:pt>
                <c:pt idx="679">
                  <c:v>44479</c:v>
                </c:pt>
                <c:pt idx="680">
                  <c:v>44480</c:v>
                </c:pt>
                <c:pt idx="681">
                  <c:v>44481</c:v>
                </c:pt>
                <c:pt idx="682">
                  <c:v>44482</c:v>
                </c:pt>
                <c:pt idx="683">
                  <c:v>44483</c:v>
                </c:pt>
                <c:pt idx="684">
                  <c:v>44484</c:v>
                </c:pt>
                <c:pt idx="685">
                  <c:v>44485</c:v>
                </c:pt>
                <c:pt idx="686">
                  <c:v>44486</c:v>
                </c:pt>
                <c:pt idx="687">
                  <c:v>44487</c:v>
                </c:pt>
                <c:pt idx="688">
                  <c:v>44488</c:v>
                </c:pt>
                <c:pt idx="689">
                  <c:v>44489</c:v>
                </c:pt>
                <c:pt idx="690">
                  <c:v>44490</c:v>
                </c:pt>
                <c:pt idx="691">
                  <c:v>44491</c:v>
                </c:pt>
                <c:pt idx="692">
                  <c:v>44492</c:v>
                </c:pt>
                <c:pt idx="693">
                  <c:v>44493</c:v>
                </c:pt>
                <c:pt idx="694">
                  <c:v>44494</c:v>
                </c:pt>
                <c:pt idx="695">
                  <c:v>44495</c:v>
                </c:pt>
                <c:pt idx="696">
                  <c:v>44496</c:v>
                </c:pt>
                <c:pt idx="697">
                  <c:v>44497</c:v>
                </c:pt>
                <c:pt idx="698">
                  <c:v>44498</c:v>
                </c:pt>
                <c:pt idx="699">
                  <c:v>44499</c:v>
                </c:pt>
                <c:pt idx="700">
                  <c:v>44500</c:v>
                </c:pt>
                <c:pt idx="701">
                  <c:v>44501</c:v>
                </c:pt>
                <c:pt idx="702">
                  <c:v>44502</c:v>
                </c:pt>
                <c:pt idx="703">
                  <c:v>44503</c:v>
                </c:pt>
                <c:pt idx="704">
                  <c:v>44504</c:v>
                </c:pt>
                <c:pt idx="705">
                  <c:v>44505</c:v>
                </c:pt>
                <c:pt idx="706">
                  <c:v>44506</c:v>
                </c:pt>
                <c:pt idx="707">
                  <c:v>44507</c:v>
                </c:pt>
                <c:pt idx="708">
                  <c:v>44508</c:v>
                </c:pt>
                <c:pt idx="709">
                  <c:v>44509</c:v>
                </c:pt>
                <c:pt idx="710">
                  <c:v>44510</c:v>
                </c:pt>
                <c:pt idx="711">
                  <c:v>44511</c:v>
                </c:pt>
                <c:pt idx="712">
                  <c:v>44512</c:v>
                </c:pt>
                <c:pt idx="713">
                  <c:v>44513</c:v>
                </c:pt>
                <c:pt idx="714">
                  <c:v>44514</c:v>
                </c:pt>
                <c:pt idx="715">
                  <c:v>44515</c:v>
                </c:pt>
                <c:pt idx="716">
                  <c:v>44516</c:v>
                </c:pt>
                <c:pt idx="717">
                  <c:v>44517</c:v>
                </c:pt>
                <c:pt idx="718">
                  <c:v>44518</c:v>
                </c:pt>
                <c:pt idx="719">
                  <c:v>44519</c:v>
                </c:pt>
                <c:pt idx="720">
                  <c:v>44520</c:v>
                </c:pt>
                <c:pt idx="721">
                  <c:v>44521</c:v>
                </c:pt>
                <c:pt idx="722">
                  <c:v>44522</c:v>
                </c:pt>
                <c:pt idx="723">
                  <c:v>44523</c:v>
                </c:pt>
                <c:pt idx="724">
                  <c:v>44524</c:v>
                </c:pt>
                <c:pt idx="725">
                  <c:v>44525</c:v>
                </c:pt>
                <c:pt idx="726">
                  <c:v>44526</c:v>
                </c:pt>
                <c:pt idx="727">
                  <c:v>44527</c:v>
                </c:pt>
                <c:pt idx="728">
                  <c:v>44528</c:v>
                </c:pt>
                <c:pt idx="729">
                  <c:v>44529</c:v>
                </c:pt>
                <c:pt idx="730">
                  <c:v>44530</c:v>
                </c:pt>
                <c:pt idx="731">
                  <c:v>44531</c:v>
                </c:pt>
                <c:pt idx="732">
                  <c:v>44532</c:v>
                </c:pt>
                <c:pt idx="733">
                  <c:v>44533</c:v>
                </c:pt>
                <c:pt idx="734">
                  <c:v>44534</c:v>
                </c:pt>
                <c:pt idx="735">
                  <c:v>44535</c:v>
                </c:pt>
                <c:pt idx="736">
                  <c:v>44536</c:v>
                </c:pt>
                <c:pt idx="737">
                  <c:v>44537</c:v>
                </c:pt>
                <c:pt idx="738">
                  <c:v>44538</c:v>
                </c:pt>
                <c:pt idx="739">
                  <c:v>44539</c:v>
                </c:pt>
                <c:pt idx="740">
                  <c:v>44540</c:v>
                </c:pt>
                <c:pt idx="741">
                  <c:v>44541</c:v>
                </c:pt>
                <c:pt idx="742">
                  <c:v>44542</c:v>
                </c:pt>
                <c:pt idx="743">
                  <c:v>44543</c:v>
                </c:pt>
                <c:pt idx="744">
                  <c:v>44544</c:v>
                </c:pt>
                <c:pt idx="745">
                  <c:v>44545</c:v>
                </c:pt>
                <c:pt idx="746">
                  <c:v>44546</c:v>
                </c:pt>
                <c:pt idx="747">
                  <c:v>44547</c:v>
                </c:pt>
                <c:pt idx="748">
                  <c:v>44548</c:v>
                </c:pt>
                <c:pt idx="749">
                  <c:v>44549</c:v>
                </c:pt>
                <c:pt idx="750">
                  <c:v>44550</c:v>
                </c:pt>
                <c:pt idx="751">
                  <c:v>44551</c:v>
                </c:pt>
                <c:pt idx="752">
                  <c:v>44552</c:v>
                </c:pt>
                <c:pt idx="753">
                  <c:v>44553</c:v>
                </c:pt>
                <c:pt idx="754">
                  <c:v>44554</c:v>
                </c:pt>
                <c:pt idx="755">
                  <c:v>44555</c:v>
                </c:pt>
                <c:pt idx="756">
                  <c:v>44556</c:v>
                </c:pt>
                <c:pt idx="757">
                  <c:v>44557</c:v>
                </c:pt>
                <c:pt idx="758">
                  <c:v>44558</c:v>
                </c:pt>
                <c:pt idx="759">
                  <c:v>44559</c:v>
                </c:pt>
                <c:pt idx="760">
                  <c:v>44560</c:v>
                </c:pt>
                <c:pt idx="761">
                  <c:v>44561</c:v>
                </c:pt>
                <c:pt idx="762">
                  <c:v>44562</c:v>
                </c:pt>
                <c:pt idx="763">
                  <c:v>44563</c:v>
                </c:pt>
                <c:pt idx="764">
                  <c:v>44564</c:v>
                </c:pt>
                <c:pt idx="765">
                  <c:v>44565</c:v>
                </c:pt>
                <c:pt idx="766">
                  <c:v>44566</c:v>
                </c:pt>
                <c:pt idx="767">
                  <c:v>44567</c:v>
                </c:pt>
                <c:pt idx="768">
                  <c:v>44568</c:v>
                </c:pt>
                <c:pt idx="769">
                  <c:v>44569</c:v>
                </c:pt>
                <c:pt idx="770">
                  <c:v>44570</c:v>
                </c:pt>
                <c:pt idx="771">
                  <c:v>44571</c:v>
                </c:pt>
                <c:pt idx="772">
                  <c:v>44572</c:v>
                </c:pt>
                <c:pt idx="773">
                  <c:v>44573</c:v>
                </c:pt>
                <c:pt idx="774">
                  <c:v>44574</c:v>
                </c:pt>
                <c:pt idx="775">
                  <c:v>44575</c:v>
                </c:pt>
                <c:pt idx="776">
                  <c:v>44576</c:v>
                </c:pt>
                <c:pt idx="777">
                  <c:v>44577</c:v>
                </c:pt>
                <c:pt idx="778">
                  <c:v>44578</c:v>
                </c:pt>
                <c:pt idx="779">
                  <c:v>44579</c:v>
                </c:pt>
                <c:pt idx="780">
                  <c:v>44580</c:v>
                </c:pt>
                <c:pt idx="781">
                  <c:v>44581</c:v>
                </c:pt>
                <c:pt idx="782">
                  <c:v>44582</c:v>
                </c:pt>
                <c:pt idx="783">
                  <c:v>44583</c:v>
                </c:pt>
                <c:pt idx="784">
                  <c:v>44584</c:v>
                </c:pt>
                <c:pt idx="785">
                  <c:v>44585</c:v>
                </c:pt>
                <c:pt idx="786">
                  <c:v>44586</c:v>
                </c:pt>
                <c:pt idx="787">
                  <c:v>44587</c:v>
                </c:pt>
                <c:pt idx="788">
                  <c:v>44588</c:v>
                </c:pt>
                <c:pt idx="789">
                  <c:v>44589</c:v>
                </c:pt>
                <c:pt idx="790">
                  <c:v>44590</c:v>
                </c:pt>
                <c:pt idx="791">
                  <c:v>44591</c:v>
                </c:pt>
                <c:pt idx="792">
                  <c:v>44592</c:v>
                </c:pt>
                <c:pt idx="793">
                  <c:v>44593</c:v>
                </c:pt>
                <c:pt idx="794">
                  <c:v>44594</c:v>
                </c:pt>
                <c:pt idx="795">
                  <c:v>44595</c:v>
                </c:pt>
                <c:pt idx="796">
                  <c:v>44596</c:v>
                </c:pt>
                <c:pt idx="797">
                  <c:v>44597</c:v>
                </c:pt>
                <c:pt idx="798">
                  <c:v>44598</c:v>
                </c:pt>
                <c:pt idx="799">
                  <c:v>44599</c:v>
                </c:pt>
                <c:pt idx="800">
                  <c:v>44600</c:v>
                </c:pt>
                <c:pt idx="801">
                  <c:v>44601</c:v>
                </c:pt>
                <c:pt idx="802">
                  <c:v>44602</c:v>
                </c:pt>
                <c:pt idx="803">
                  <c:v>44603</c:v>
                </c:pt>
                <c:pt idx="804">
                  <c:v>44604</c:v>
                </c:pt>
                <c:pt idx="805">
                  <c:v>44605</c:v>
                </c:pt>
                <c:pt idx="806">
                  <c:v>44606</c:v>
                </c:pt>
                <c:pt idx="807">
                  <c:v>44607</c:v>
                </c:pt>
                <c:pt idx="808">
                  <c:v>44608</c:v>
                </c:pt>
                <c:pt idx="809">
                  <c:v>44609</c:v>
                </c:pt>
                <c:pt idx="810">
                  <c:v>44610</c:v>
                </c:pt>
                <c:pt idx="811">
                  <c:v>44611</c:v>
                </c:pt>
                <c:pt idx="812">
                  <c:v>44612</c:v>
                </c:pt>
                <c:pt idx="813">
                  <c:v>44613</c:v>
                </c:pt>
                <c:pt idx="814">
                  <c:v>44614</c:v>
                </c:pt>
                <c:pt idx="815">
                  <c:v>44615</c:v>
                </c:pt>
                <c:pt idx="816">
                  <c:v>44616</c:v>
                </c:pt>
                <c:pt idx="817">
                  <c:v>44617</c:v>
                </c:pt>
                <c:pt idx="818">
                  <c:v>44618</c:v>
                </c:pt>
                <c:pt idx="819">
                  <c:v>44619</c:v>
                </c:pt>
                <c:pt idx="820">
                  <c:v>44620</c:v>
                </c:pt>
                <c:pt idx="821">
                  <c:v>44621</c:v>
                </c:pt>
                <c:pt idx="822">
                  <c:v>44622</c:v>
                </c:pt>
                <c:pt idx="823">
                  <c:v>44623</c:v>
                </c:pt>
                <c:pt idx="824">
                  <c:v>44624</c:v>
                </c:pt>
                <c:pt idx="825">
                  <c:v>44625</c:v>
                </c:pt>
                <c:pt idx="826">
                  <c:v>44626</c:v>
                </c:pt>
                <c:pt idx="827">
                  <c:v>44627</c:v>
                </c:pt>
                <c:pt idx="828">
                  <c:v>44628</c:v>
                </c:pt>
                <c:pt idx="829">
                  <c:v>44629</c:v>
                </c:pt>
                <c:pt idx="830">
                  <c:v>44630</c:v>
                </c:pt>
                <c:pt idx="831">
                  <c:v>44631</c:v>
                </c:pt>
                <c:pt idx="832">
                  <c:v>44632</c:v>
                </c:pt>
                <c:pt idx="833">
                  <c:v>44633</c:v>
                </c:pt>
                <c:pt idx="834">
                  <c:v>44634</c:v>
                </c:pt>
                <c:pt idx="835">
                  <c:v>44635</c:v>
                </c:pt>
                <c:pt idx="836">
                  <c:v>44636</c:v>
                </c:pt>
                <c:pt idx="837">
                  <c:v>44637</c:v>
                </c:pt>
                <c:pt idx="838">
                  <c:v>44638</c:v>
                </c:pt>
                <c:pt idx="839">
                  <c:v>44639</c:v>
                </c:pt>
                <c:pt idx="840">
                  <c:v>44640</c:v>
                </c:pt>
                <c:pt idx="841">
                  <c:v>44641</c:v>
                </c:pt>
                <c:pt idx="842">
                  <c:v>44642</c:v>
                </c:pt>
                <c:pt idx="843">
                  <c:v>44643</c:v>
                </c:pt>
                <c:pt idx="844">
                  <c:v>44644</c:v>
                </c:pt>
                <c:pt idx="845">
                  <c:v>44645</c:v>
                </c:pt>
                <c:pt idx="846">
                  <c:v>44646</c:v>
                </c:pt>
                <c:pt idx="847">
                  <c:v>44647</c:v>
                </c:pt>
                <c:pt idx="848">
                  <c:v>44648</c:v>
                </c:pt>
                <c:pt idx="849">
                  <c:v>44649</c:v>
                </c:pt>
                <c:pt idx="850">
                  <c:v>44650</c:v>
                </c:pt>
                <c:pt idx="851">
                  <c:v>44651</c:v>
                </c:pt>
                <c:pt idx="852">
                  <c:v>44652</c:v>
                </c:pt>
                <c:pt idx="853">
                  <c:v>44653</c:v>
                </c:pt>
                <c:pt idx="854">
                  <c:v>44654</c:v>
                </c:pt>
                <c:pt idx="855">
                  <c:v>44655</c:v>
                </c:pt>
                <c:pt idx="856">
                  <c:v>44656</c:v>
                </c:pt>
                <c:pt idx="857">
                  <c:v>44657</c:v>
                </c:pt>
                <c:pt idx="858">
                  <c:v>44658</c:v>
                </c:pt>
                <c:pt idx="859">
                  <c:v>44659</c:v>
                </c:pt>
                <c:pt idx="860">
                  <c:v>44660</c:v>
                </c:pt>
                <c:pt idx="861">
                  <c:v>44661</c:v>
                </c:pt>
                <c:pt idx="862">
                  <c:v>44662</c:v>
                </c:pt>
                <c:pt idx="863">
                  <c:v>44663</c:v>
                </c:pt>
                <c:pt idx="864">
                  <c:v>44664</c:v>
                </c:pt>
                <c:pt idx="865">
                  <c:v>44665</c:v>
                </c:pt>
                <c:pt idx="866">
                  <c:v>44666</c:v>
                </c:pt>
                <c:pt idx="867">
                  <c:v>44667</c:v>
                </c:pt>
                <c:pt idx="868">
                  <c:v>44668</c:v>
                </c:pt>
                <c:pt idx="869">
                  <c:v>44669</c:v>
                </c:pt>
                <c:pt idx="870">
                  <c:v>44670</c:v>
                </c:pt>
                <c:pt idx="871">
                  <c:v>44671</c:v>
                </c:pt>
                <c:pt idx="872">
                  <c:v>44672</c:v>
                </c:pt>
                <c:pt idx="873">
                  <c:v>44673</c:v>
                </c:pt>
                <c:pt idx="874">
                  <c:v>44674</c:v>
                </c:pt>
                <c:pt idx="875">
                  <c:v>44675</c:v>
                </c:pt>
                <c:pt idx="876">
                  <c:v>44676</c:v>
                </c:pt>
                <c:pt idx="877">
                  <c:v>44677</c:v>
                </c:pt>
                <c:pt idx="878">
                  <c:v>44678</c:v>
                </c:pt>
                <c:pt idx="879">
                  <c:v>44679</c:v>
                </c:pt>
                <c:pt idx="880">
                  <c:v>44680</c:v>
                </c:pt>
                <c:pt idx="881">
                  <c:v>44681</c:v>
                </c:pt>
                <c:pt idx="882">
                  <c:v>44682</c:v>
                </c:pt>
                <c:pt idx="883">
                  <c:v>44683</c:v>
                </c:pt>
                <c:pt idx="884">
                  <c:v>44684</c:v>
                </c:pt>
                <c:pt idx="885">
                  <c:v>44685</c:v>
                </c:pt>
                <c:pt idx="886">
                  <c:v>44686</c:v>
                </c:pt>
                <c:pt idx="887">
                  <c:v>44687</c:v>
                </c:pt>
                <c:pt idx="888">
                  <c:v>44688</c:v>
                </c:pt>
                <c:pt idx="889">
                  <c:v>44689</c:v>
                </c:pt>
                <c:pt idx="890">
                  <c:v>44690</c:v>
                </c:pt>
                <c:pt idx="891">
                  <c:v>44691</c:v>
                </c:pt>
                <c:pt idx="892">
                  <c:v>44692</c:v>
                </c:pt>
                <c:pt idx="893">
                  <c:v>44693</c:v>
                </c:pt>
                <c:pt idx="894">
                  <c:v>44694</c:v>
                </c:pt>
                <c:pt idx="895">
                  <c:v>44695</c:v>
                </c:pt>
                <c:pt idx="896">
                  <c:v>44696</c:v>
                </c:pt>
                <c:pt idx="897">
                  <c:v>44697</c:v>
                </c:pt>
                <c:pt idx="898">
                  <c:v>44698</c:v>
                </c:pt>
                <c:pt idx="899">
                  <c:v>44699</c:v>
                </c:pt>
                <c:pt idx="900">
                  <c:v>44700</c:v>
                </c:pt>
                <c:pt idx="901">
                  <c:v>44701</c:v>
                </c:pt>
                <c:pt idx="902">
                  <c:v>44702</c:v>
                </c:pt>
                <c:pt idx="903">
                  <c:v>44703</c:v>
                </c:pt>
                <c:pt idx="904">
                  <c:v>44704</c:v>
                </c:pt>
                <c:pt idx="905">
                  <c:v>44705</c:v>
                </c:pt>
                <c:pt idx="906">
                  <c:v>44706</c:v>
                </c:pt>
                <c:pt idx="907">
                  <c:v>44707</c:v>
                </c:pt>
                <c:pt idx="908">
                  <c:v>44708</c:v>
                </c:pt>
                <c:pt idx="909">
                  <c:v>44709</c:v>
                </c:pt>
                <c:pt idx="910">
                  <c:v>44710</c:v>
                </c:pt>
                <c:pt idx="911">
                  <c:v>44711</c:v>
                </c:pt>
                <c:pt idx="912">
                  <c:v>44712</c:v>
                </c:pt>
                <c:pt idx="913">
                  <c:v>44713</c:v>
                </c:pt>
                <c:pt idx="914">
                  <c:v>44714</c:v>
                </c:pt>
                <c:pt idx="915">
                  <c:v>44715</c:v>
                </c:pt>
                <c:pt idx="916">
                  <c:v>44716</c:v>
                </c:pt>
                <c:pt idx="917">
                  <c:v>44717</c:v>
                </c:pt>
                <c:pt idx="918">
                  <c:v>44718</c:v>
                </c:pt>
                <c:pt idx="919">
                  <c:v>44719</c:v>
                </c:pt>
                <c:pt idx="920">
                  <c:v>44720</c:v>
                </c:pt>
                <c:pt idx="921">
                  <c:v>44721</c:v>
                </c:pt>
                <c:pt idx="922">
                  <c:v>44722</c:v>
                </c:pt>
                <c:pt idx="923">
                  <c:v>44723</c:v>
                </c:pt>
                <c:pt idx="924">
                  <c:v>44724</c:v>
                </c:pt>
                <c:pt idx="925">
                  <c:v>44725</c:v>
                </c:pt>
                <c:pt idx="926">
                  <c:v>44726</c:v>
                </c:pt>
                <c:pt idx="927">
                  <c:v>44727</c:v>
                </c:pt>
                <c:pt idx="928">
                  <c:v>44728</c:v>
                </c:pt>
                <c:pt idx="929">
                  <c:v>44729</c:v>
                </c:pt>
                <c:pt idx="930">
                  <c:v>44730</c:v>
                </c:pt>
                <c:pt idx="931">
                  <c:v>44731</c:v>
                </c:pt>
                <c:pt idx="932">
                  <c:v>44732</c:v>
                </c:pt>
                <c:pt idx="933">
                  <c:v>44733</c:v>
                </c:pt>
                <c:pt idx="934">
                  <c:v>44734</c:v>
                </c:pt>
                <c:pt idx="935">
                  <c:v>44735</c:v>
                </c:pt>
                <c:pt idx="936">
                  <c:v>44736</c:v>
                </c:pt>
                <c:pt idx="937">
                  <c:v>44737</c:v>
                </c:pt>
                <c:pt idx="938">
                  <c:v>44738</c:v>
                </c:pt>
                <c:pt idx="939">
                  <c:v>44739</c:v>
                </c:pt>
                <c:pt idx="940">
                  <c:v>44740</c:v>
                </c:pt>
                <c:pt idx="941">
                  <c:v>44741</c:v>
                </c:pt>
                <c:pt idx="942">
                  <c:v>44742</c:v>
                </c:pt>
                <c:pt idx="943">
                  <c:v>44743</c:v>
                </c:pt>
                <c:pt idx="944">
                  <c:v>44744</c:v>
                </c:pt>
                <c:pt idx="945">
                  <c:v>44745</c:v>
                </c:pt>
                <c:pt idx="946">
                  <c:v>44746</c:v>
                </c:pt>
                <c:pt idx="947">
                  <c:v>44747</c:v>
                </c:pt>
                <c:pt idx="948">
                  <c:v>44748</c:v>
                </c:pt>
                <c:pt idx="949">
                  <c:v>44749</c:v>
                </c:pt>
                <c:pt idx="950">
                  <c:v>44750</c:v>
                </c:pt>
                <c:pt idx="951">
                  <c:v>44751</c:v>
                </c:pt>
                <c:pt idx="952">
                  <c:v>44752</c:v>
                </c:pt>
                <c:pt idx="953">
                  <c:v>44753</c:v>
                </c:pt>
                <c:pt idx="954">
                  <c:v>44754</c:v>
                </c:pt>
                <c:pt idx="955">
                  <c:v>44755</c:v>
                </c:pt>
                <c:pt idx="956">
                  <c:v>44756</c:v>
                </c:pt>
                <c:pt idx="957">
                  <c:v>44757</c:v>
                </c:pt>
                <c:pt idx="958">
                  <c:v>44758</c:v>
                </c:pt>
                <c:pt idx="959">
                  <c:v>44759</c:v>
                </c:pt>
                <c:pt idx="960">
                  <c:v>44760</c:v>
                </c:pt>
                <c:pt idx="961">
                  <c:v>44761</c:v>
                </c:pt>
                <c:pt idx="962">
                  <c:v>44762</c:v>
                </c:pt>
                <c:pt idx="963">
                  <c:v>44763</c:v>
                </c:pt>
                <c:pt idx="964">
                  <c:v>44764</c:v>
                </c:pt>
                <c:pt idx="965">
                  <c:v>44765</c:v>
                </c:pt>
                <c:pt idx="966">
                  <c:v>44766</c:v>
                </c:pt>
                <c:pt idx="967">
                  <c:v>44767</c:v>
                </c:pt>
                <c:pt idx="968">
                  <c:v>44768</c:v>
                </c:pt>
                <c:pt idx="969">
                  <c:v>44769</c:v>
                </c:pt>
                <c:pt idx="970">
                  <c:v>44770</c:v>
                </c:pt>
                <c:pt idx="971">
                  <c:v>44771</c:v>
                </c:pt>
                <c:pt idx="972">
                  <c:v>44772</c:v>
                </c:pt>
                <c:pt idx="973">
                  <c:v>44773</c:v>
                </c:pt>
                <c:pt idx="974">
                  <c:v>44774</c:v>
                </c:pt>
                <c:pt idx="975">
                  <c:v>44775</c:v>
                </c:pt>
                <c:pt idx="976">
                  <c:v>44776</c:v>
                </c:pt>
                <c:pt idx="977">
                  <c:v>44777</c:v>
                </c:pt>
                <c:pt idx="978">
                  <c:v>44778</c:v>
                </c:pt>
                <c:pt idx="979">
                  <c:v>44779</c:v>
                </c:pt>
                <c:pt idx="980">
                  <c:v>44780</c:v>
                </c:pt>
                <c:pt idx="981">
                  <c:v>44781</c:v>
                </c:pt>
                <c:pt idx="982">
                  <c:v>44782</c:v>
                </c:pt>
                <c:pt idx="983">
                  <c:v>44783</c:v>
                </c:pt>
                <c:pt idx="984">
                  <c:v>44784</c:v>
                </c:pt>
                <c:pt idx="985">
                  <c:v>44785</c:v>
                </c:pt>
                <c:pt idx="986">
                  <c:v>44786</c:v>
                </c:pt>
                <c:pt idx="987">
                  <c:v>44787</c:v>
                </c:pt>
                <c:pt idx="988">
                  <c:v>44788</c:v>
                </c:pt>
                <c:pt idx="989">
                  <c:v>44789</c:v>
                </c:pt>
                <c:pt idx="990">
                  <c:v>44790</c:v>
                </c:pt>
                <c:pt idx="991">
                  <c:v>44791</c:v>
                </c:pt>
                <c:pt idx="992">
                  <c:v>44792</c:v>
                </c:pt>
                <c:pt idx="993">
                  <c:v>44793</c:v>
                </c:pt>
                <c:pt idx="994">
                  <c:v>44794</c:v>
                </c:pt>
                <c:pt idx="995">
                  <c:v>44795</c:v>
                </c:pt>
                <c:pt idx="996">
                  <c:v>44796</c:v>
                </c:pt>
                <c:pt idx="997">
                  <c:v>44797</c:v>
                </c:pt>
                <c:pt idx="998">
                  <c:v>44798</c:v>
                </c:pt>
                <c:pt idx="999">
                  <c:v>44799</c:v>
                </c:pt>
                <c:pt idx="1000">
                  <c:v>44800</c:v>
                </c:pt>
                <c:pt idx="1001">
                  <c:v>44801</c:v>
                </c:pt>
                <c:pt idx="1002">
                  <c:v>44802</c:v>
                </c:pt>
                <c:pt idx="1003">
                  <c:v>44803</c:v>
                </c:pt>
                <c:pt idx="1004">
                  <c:v>44804</c:v>
                </c:pt>
                <c:pt idx="1005">
                  <c:v>44805</c:v>
                </c:pt>
                <c:pt idx="1006">
                  <c:v>44806</c:v>
                </c:pt>
                <c:pt idx="1007">
                  <c:v>44807</c:v>
                </c:pt>
                <c:pt idx="1008">
                  <c:v>44808</c:v>
                </c:pt>
                <c:pt idx="1009">
                  <c:v>44809</c:v>
                </c:pt>
                <c:pt idx="1010">
                  <c:v>44810</c:v>
                </c:pt>
                <c:pt idx="1011">
                  <c:v>44811</c:v>
                </c:pt>
                <c:pt idx="1012">
                  <c:v>44812</c:v>
                </c:pt>
                <c:pt idx="1013">
                  <c:v>44813</c:v>
                </c:pt>
                <c:pt idx="1014">
                  <c:v>44814</c:v>
                </c:pt>
                <c:pt idx="1015">
                  <c:v>44815</c:v>
                </c:pt>
                <c:pt idx="1016">
                  <c:v>44816</c:v>
                </c:pt>
                <c:pt idx="1017">
                  <c:v>44817</c:v>
                </c:pt>
                <c:pt idx="1018">
                  <c:v>44818</c:v>
                </c:pt>
                <c:pt idx="1019">
                  <c:v>44819</c:v>
                </c:pt>
                <c:pt idx="1020">
                  <c:v>44820</c:v>
                </c:pt>
                <c:pt idx="1021">
                  <c:v>44821</c:v>
                </c:pt>
                <c:pt idx="1022">
                  <c:v>44822</c:v>
                </c:pt>
                <c:pt idx="1023">
                  <c:v>44823</c:v>
                </c:pt>
                <c:pt idx="1024">
                  <c:v>44824</c:v>
                </c:pt>
                <c:pt idx="1025">
                  <c:v>44825</c:v>
                </c:pt>
                <c:pt idx="1026">
                  <c:v>44826</c:v>
                </c:pt>
                <c:pt idx="1027">
                  <c:v>44827</c:v>
                </c:pt>
                <c:pt idx="1028">
                  <c:v>44828</c:v>
                </c:pt>
                <c:pt idx="1029">
                  <c:v>44829</c:v>
                </c:pt>
                <c:pt idx="1030">
                  <c:v>44830</c:v>
                </c:pt>
                <c:pt idx="1031">
                  <c:v>44831</c:v>
                </c:pt>
                <c:pt idx="1032">
                  <c:v>44832</c:v>
                </c:pt>
                <c:pt idx="1033">
                  <c:v>44833</c:v>
                </c:pt>
                <c:pt idx="1034">
                  <c:v>44834</c:v>
                </c:pt>
                <c:pt idx="1035">
                  <c:v>44835</c:v>
                </c:pt>
                <c:pt idx="1036">
                  <c:v>44836</c:v>
                </c:pt>
                <c:pt idx="1037">
                  <c:v>44837</c:v>
                </c:pt>
                <c:pt idx="1038">
                  <c:v>44838</c:v>
                </c:pt>
                <c:pt idx="1039">
                  <c:v>44839</c:v>
                </c:pt>
                <c:pt idx="1040">
                  <c:v>44840</c:v>
                </c:pt>
                <c:pt idx="1041">
                  <c:v>44841</c:v>
                </c:pt>
                <c:pt idx="1042">
                  <c:v>44842</c:v>
                </c:pt>
                <c:pt idx="1043">
                  <c:v>44843</c:v>
                </c:pt>
                <c:pt idx="1044">
                  <c:v>44844</c:v>
                </c:pt>
                <c:pt idx="1045">
                  <c:v>44845</c:v>
                </c:pt>
                <c:pt idx="1046">
                  <c:v>44846</c:v>
                </c:pt>
                <c:pt idx="1047">
                  <c:v>44847</c:v>
                </c:pt>
                <c:pt idx="1048">
                  <c:v>44848</c:v>
                </c:pt>
                <c:pt idx="1049">
                  <c:v>44849</c:v>
                </c:pt>
              </c:numCache>
            </c:numRef>
          </c:cat>
          <c:val>
            <c:numRef>
              <c:f>'In-Situ (2)'!$D$336:$D$1385</c:f>
              <c:numCache>
                <c:formatCode>General</c:formatCode>
                <c:ptCount val="1050"/>
                <c:pt idx="563">
                  <c:v>3.5792118367346943</c:v>
                </c:pt>
                <c:pt idx="564">
                  <c:v>5.5379615510204063</c:v>
                </c:pt>
                <c:pt idx="565">
                  <c:v>5.5864946938775502</c:v>
                </c:pt>
                <c:pt idx="566">
                  <c:v>5.3853075918367335</c:v>
                </c:pt>
                <c:pt idx="567">
                  <c:v>4.9673711020408167</c:v>
                </c:pt>
                <c:pt idx="568">
                  <c:v>4.5288176326530616</c:v>
                </c:pt>
                <c:pt idx="569">
                  <c:v>4.6741584489795907</c:v>
                </c:pt>
                <c:pt idx="570">
                  <c:v>5.8896727346938773</c:v>
                </c:pt>
                <c:pt idx="571">
                  <c:v>5.9413026122448986</c:v>
                </c:pt>
                <c:pt idx="572">
                  <c:v>5.3988531428571429</c:v>
                </c:pt>
                <c:pt idx="573">
                  <c:v>5.2496985306122443</c:v>
                </c:pt>
                <c:pt idx="574">
                  <c:v>4.0929751836734711</c:v>
                </c:pt>
                <c:pt idx="575">
                  <c:v>3.5931416326530612</c:v>
                </c:pt>
                <c:pt idx="576">
                  <c:v>3.3723154285714285</c:v>
                </c:pt>
                <c:pt idx="577">
                  <c:v>3.1435354285714285</c:v>
                </c:pt>
                <c:pt idx="578">
                  <c:v>3.5716746122448977</c:v>
                </c:pt>
                <c:pt idx="579">
                  <c:v>4.4006568979591831</c:v>
                </c:pt>
                <c:pt idx="580">
                  <c:v>4.0433444081632635</c:v>
                </c:pt>
                <c:pt idx="581">
                  <c:v>4.8390619591836748</c:v>
                </c:pt>
                <c:pt idx="582">
                  <c:v>5.7113522448979577</c:v>
                </c:pt>
                <c:pt idx="583">
                  <c:v>5.6472237551020408</c:v>
                </c:pt>
                <c:pt idx="584">
                  <c:v>5.1736114285714292</c:v>
                </c:pt>
                <c:pt idx="585">
                  <c:v>4.8572397551020394</c:v>
                </c:pt>
                <c:pt idx="586">
                  <c:v>4.4403568163265312</c:v>
                </c:pt>
                <c:pt idx="587">
                  <c:v>4.538467836734692</c:v>
                </c:pt>
                <c:pt idx="588">
                  <c:v>4.9158352653061224</c:v>
                </c:pt>
                <c:pt idx="589">
                  <c:v>4.9208561632653085</c:v>
                </c:pt>
                <c:pt idx="590">
                  <c:v>4.8264428571428573</c:v>
                </c:pt>
                <c:pt idx="591">
                  <c:v>4.6780317551020403</c:v>
                </c:pt>
                <c:pt idx="592">
                  <c:v>4.3784375510204079</c:v>
                </c:pt>
                <c:pt idx="593">
                  <c:v>5.5797097959183679</c:v>
                </c:pt>
                <c:pt idx="594">
                  <c:v>5.346832408163265</c:v>
                </c:pt>
                <c:pt idx="595">
                  <c:v>5.265038204081633</c:v>
                </c:pt>
                <c:pt idx="596">
                  <c:v>5.195122530612247</c:v>
                </c:pt>
                <c:pt idx="597">
                  <c:v>5.4038196734693882</c:v>
                </c:pt>
                <c:pt idx="598">
                  <c:v>5.4376266122448982</c:v>
                </c:pt>
                <c:pt idx="599">
                  <c:v>4.6971389387755105</c:v>
                </c:pt>
                <c:pt idx="600">
                  <c:v>4.8863233469387746</c:v>
                </c:pt>
                <c:pt idx="601">
                  <c:v>4.6088625306122442</c:v>
                </c:pt>
                <c:pt idx="602">
                  <c:v>3.8158839183673474</c:v>
                </c:pt>
                <c:pt idx="603">
                  <c:v>4.9913617959183654</c:v>
                </c:pt>
                <c:pt idx="604">
                  <c:v>5.5205059591836738</c:v>
                </c:pt>
                <c:pt idx="605">
                  <c:v>5.5216873469387728</c:v>
                </c:pt>
                <c:pt idx="606">
                  <c:v>5.3437738775510208</c:v>
                </c:pt>
                <c:pt idx="607">
                  <c:v>5.2952576326530609</c:v>
                </c:pt>
                <c:pt idx="609">
                  <c:v>4.438703489795917</c:v>
                </c:pt>
                <c:pt idx="610">
                  <c:v>4.6214510408163267</c:v>
                </c:pt>
                <c:pt idx="611">
                  <c:v>5.3628365102040831</c:v>
                </c:pt>
                <c:pt idx="612">
                  <c:v>5.449760061224489</c:v>
                </c:pt>
                <c:pt idx="613">
                  <c:v>5.4986100204081625</c:v>
                </c:pt>
                <c:pt idx="614">
                  <c:v>5.5774116938775506</c:v>
                </c:pt>
                <c:pt idx="615">
                  <c:v>5.0385657755102047</c:v>
                </c:pt>
                <c:pt idx="616">
                  <c:v>4.9759751020408176</c:v>
                </c:pt>
                <c:pt idx="617">
                  <c:v>4.6236678979591836</c:v>
                </c:pt>
                <c:pt idx="618">
                  <c:v>4.8667478775510196</c:v>
                </c:pt>
                <c:pt idx="619">
                  <c:v>5.2701462244897943</c:v>
                </c:pt>
                <c:pt idx="620">
                  <c:v>5.1996920816326515</c:v>
                </c:pt>
                <c:pt idx="621">
                  <c:v>4.8532457142857144</c:v>
                </c:pt>
                <c:pt idx="622">
                  <c:v>5.164316938775511</c:v>
                </c:pt>
                <c:pt idx="623">
                  <c:v>5.295645612244896</c:v>
                </c:pt>
                <c:pt idx="624">
                  <c:v>5.013758265306123</c:v>
                </c:pt>
                <c:pt idx="625">
                  <c:v>5.128042979591835</c:v>
                </c:pt>
                <c:pt idx="626">
                  <c:v>5.287706408163265</c:v>
                </c:pt>
                <c:pt idx="627">
                  <c:v>4.8100337142857148</c:v>
                </c:pt>
                <c:pt idx="628">
                  <c:v>4.67848187755102</c:v>
                </c:pt>
                <c:pt idx="629">
                  <c:v>4.7610906122448995</c:v>
                </c:pt>
                <c:pt idx="630">
                  <c:v>4.8808988571428555</c:v>
                </c:pt>
                <c:pt idx="631">
                  <c:v>3.8617945918367345</c:v>
                </c:pt>
                <c:pt idx="632">
                  <c:v>3.6965657551020401</c:v>
                </c:pt>
                <c:pt idx="633">
                  <c:v>3.8648752244897944</c:v>
                </c:pt>
                <c:pt idx="634">
                  <c:v>3.6345435714285719</c:v>
                </c:pt>
                <c:pt idx="635">
                  <c:v>4.1757636734693877</c:v>
                </c:pt>
                <c:pt idx="636">
                  <c:v>3.6859348163265304</c:v>
                </c:pt>
                <c:pt idx="637">
                  <c:v>3.8302128571428575</c:v>
                </c:pt>
                <c:pt idx="638">
                  <c:v>4.9132544285714292</c:v>
                </c:pt>
                <c:pt idx="639">
                  <c:v>4.7738542244897975</c:v>
                </c:pt>
                <c:pt idx="640">
                  <c:v>4.9177448775510229</c:v>
                </c:pt>
                <c:pt idx="641">
                  <c:v>4.7603831020408167</c:v>
                </c:pt>
                <c:pt idx="642">
                  <c:v>5.0081418163265274</c:v>
                </c:pt>
                <c:pt idx="643">
                  <c:v>4.7313085510204083</c:v>
                </c:pt>
                <c:pt idx="644">
                  <c:v>5.0994065306122449</c:v>
                </c:pt>
                <c:pt idx="645">
                  <c:v>5.105046979591835</c:v>
                </c:pt>
                <c:pt idx="646">
                  <c:v>4.6426710612244904</c:v>
                </c:pt>
                <c:pt idx="647">
                  <c:v>5.0700589795918365</c:v>
                </c:pt>
                <c:pt idx="648">
                  <c:v>4.2379187142857146</c:v>
                </c:pt>
                <c:pt idx="649">
                  <c:v>4.3305977142857133</c:v>
                </c:pt>
                <c:pt idx="650">
                  <c:v>4.1984909999999998</c:v>
                </c:pt>
                <c:pt idx="651">
                  <c:v>4.5159889591836722</c:v>
                </c:pt>
                <c:pt idx="652">
                  <c:v>4.4973781428571415</c:v>
                </c:pt>
                <c:pt idx="653">
                  <c:v>4.4713857959183674</c:v>
                </c:pt>
                <c:pt idx="654">
                  <c:v>4.1242099387755076</c:v>
                </c:pt>
                <c:pt idx="655">
                  <c:v>3.7313904489795902</c:v>
                </c:pt>
                <c:pt idx="656">
                  <c:v>4.8116305510204072</c:v>
                </c:pt>
                <c:pt idx="657">
                  <c:v>4.6555353877551022</c:v>
                </c:pt>
                <c:pt idx="658">
                  <c:v>4.909394693877549</c:v>
                </c:pt>
                <c:pt idx="659">
                  <c:v>5.0004921428571452</c:v>
                </c:pt>
                <c:pt idx="660">
                  <c:v>4.9150202244897949</c:v>
                </c:pt>
                <c:pt idx="661">
                  <c:v>4.8622132857142857</c:v>
                </c:pt>
                <c:pt idx="662">
                  <c:v>3.7707943061224478</c:v>
                </c:pt>
                <c:pt idx="663">
                  <c:v>3.8193134693877546</c:v>
                </c:pt>
                <c:pt idx="664">
                  <c:v>4.1304720816326537</c:v>
                </c:pt>
                <c:pt idx="665">
                  <c:v>3.5349491428571418</c:v>
                </c:pt>
                <c:pt idx="666">
                  <c:v>3.099470816326531</c:v>
                </c:pt>
                <c:pt idx="667">
                  <c:v>3.1301466938775504</c:v>
                </c:pt>
                <c:pt idx="668">
                  <c:v>3.4842069591836737</c:v>
                </c:pt>
                <c:pt idx="669">
                  <c:v>3.1423615102040818</c:v>
                </c:pt>
                <c:pt idx="670">
                  <c:v>3.2475959183673462</c:v>
                </c:pt>
                <c:pt idx="671">
                  <c:v>3.0456992857142855</c:v>
                </c:pt>
                <c:pt idx="672">
                  <c:v>3.0455462448979587</c:v>
                </c:pt>
                <c:pt idx="673">
                  <c:v>2.4605518367346937</c:v>
                </c:pt>
                <c:pt idx="674">
                  <c:v>2.6672238571428566</c:v>
                </c:pt>
                <c:pt idx="675">
                  <c:v>2.7795536326530605</c:v>
                </c:pt>
                <c:pt idx="676">
                  <c:v>2.6178064693877552</c:v>
                </c:pt>
                <c:pt idx="677">
                  <c:v>2.5247418979591827</c:v>
                </c:pt>
                <c:pt idx="678">
                  <c:v>2.6950564693877554</c:v>
                </c:pt>
                <c:pt idx="679">
                  <c:v>2.8571798367346934</c:v>
                </c:pt>
                <c:pt idx="680">
                  <c:v>2.7320346530612247</c:v>
                </c:pt>
                <c:pt idx="681">
                  <c:v>2.9296502857142865</c:v>
                </c:pt>
                <c:pt idx="682">
                  <c:v>2.7993735102040813</c:v>
                </c:pt>
                <c:pt idx="683">
                  <c:v>2.6665403265306122</c:v>
                </c:pt>
                <c:pt idx="684">
                  <c:v>2.753732448979592</c:v>
                </c:pt>
                <c:pt idx="685">
                  <c:v>2.8980524693877543</c:v>
                </c:pt>
                <c:pt idx="686">
                  <c:v>2.7925257142857136</c:v>
                </c:pt>
                <c:pt idx="687">
                  <c:v>2.0491732244897958</c:v>
                </c:pt>
                <c:pt idx="688">
                  <c:v>2.2470864489795912</c:v>
                </c:pt>
                <c:pt idx="689">
                  <c:v>2.2470864489795912</c:v>
                </c:pt>
              </c:numCache>
            </c:numRef>
          </c:val>
          <c:smooth val="0"/>
          <c:extLst>
            <c:ext xmlns:c16="http://schemas.microsoft.com/office/drawing/2014/chart" uri="{C3380CC4-5D6E-409C-BE32-E72D297353CC}">
              <c16:uniqueId val="{00000002-6DEA-45BC-805B-E74475C8FD70}"/>
            </c:ext>
          </c:extLst>
        </c:ser>
        <c:dLbls>
          <c:showLegendKey val="0"/>
          <c:showVal val="0"/>
          <c:showCatName val="0"/>
          <c:showSerName val="0"/>
          <c:showPercent val="0"/>
          <c:showBubbleSize val="0"/>
        </c:dLbls>
        <c:smooth val="0"/>
        <c:axId val="1497335824"/>
        <c:axId val="1497336304"/>
      </c:lineChart>
      <c:dateAx>
        <c:axId val="1497335824"/>
        <c:scaling>
          <c:orientation val="minMax"/>
          <c:max val="4471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409]d\-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497336304"/>
        <c:crosses val="autoZero"/>
        <c:auto val="1"/>
        <c:lblOffset val="100"/>
        <c:baseTimeUnit val="days"/>
      </c:dateAx>
      <c:valAx>
        <c:axId val="1497336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a:t>Actual Evapotranspiration
(mm)</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49733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331772717599488E-2"/>
          <c:y val="9.621458208813008E-2"/>
          <c:w val="0.89609680882088316"/>
          <c:h val="0.54234080888403802"/>
        </c:manualLayout>
      </c:layout>
      <c:scatterChart>
        <c:scatterStyle val="lineMarker"/>
        <c:varyColors val="0"/>
        <c:ser>
          <c:idx val="0"/>
          <c:order val="0"/>
          <c:tx>
            <c:strRef>
              <c:f>'WaPOR vs In-situ'!$B$1</c:f>
              <c:strCache>
                <c:ptCount val="1"/>
                <c:pt idx="0">
                  <c:v>WaPOR - ET</c:v>
                </c:pt>
              </c:strCache>
            </c:strRef>
          </c:tx>
          <c:spPr>
            <a:ln w="12700" cap="rnd">
              <a:solidFill>
                <a:schemeClr val="accent1">
                  <a:alpha val="60000"/>
                </a:schemeClr>
              </a:solidFill>
              <a:round/>
            </a:ln>
            <a:effectLst/>
          </c:spPr>
          <c:marker>
            <c:symbol val="circle"/>
            <c:size val="4"/>
            <c:spPr>
              <a:solidFill>
                <a:schemeClr val="lt1"/>
              </a:solidFill>
              <a:ln w="25400">
                <a:solidFill>
                  <a:schemeClr val="accent1">
                    <a:alpha val="60000"/>
                  </a:schemeClr>
                </a:solidFill>
              </a:ln>
              <a:effectLst/>
            </c:spPr>
          </c:marker>
          <c:xVal>
            <c:numRef>
              <c:f>'WaPOR vs In-situ'!$A$145:$A$159</c:f>
              <c:numCache>
                <c:formatCode>[$-409]d\-mmm\-yy;@</c:formatCode>
                <c:ptCount val="15"/>
                <c:pt idx="0">
                  <c:v>44551</c:v>
                </c:pt>
                <c:pt idx="1">
                  <c:v>44562</c:v>
                </c:pt>
                <c:pt idx="2">
                  <c:v>44572</c:v>
                </c:pt>
                <c:pt idx="3">
                  <c:v>44582</c:v>
                </c:pt>
                <c:pt idx="4">
                  <c:v>44593</c:v>
                </c:pt>
                <c:pt idx="5">
                  <c:v>44603</c:v>
                </c:pt>
                <c:pt idx="6">
                  <c:v>44613</c:v>
                </c:pt>
                <c:pt idx="7">
                  <c:v>44621</c:v>
                </c:pt>
                <c:pt idx="8">
                  <c:v>44631</c:v>
                </c:pt>
                <c:pt idx="9">
                  <c:v>44641</c:v>
                </c:pt>
                <c:pt idx="10">
                  <c:v>44652</c:v>
                </c:pt>
                <c:pt idx="11">
                  <c:v>44662</c:v>
                </c:pt>
                <c:pt idx="12">
                  <c:v>44672</c:v>
                </c:pt>
                <c:pt idx="13">
                  <c:v>44682</c:v>
                </c:pt>
                <c:pt idx="14">
                  <c:v>44692</c:v>
                </c:pt>
              </c:numCache>
            </c:numRef>
          </c:xVal>
          <c:yVal>
            <c:numRef>
              <c:f>'WaPOR vs In-situ'!$B$145:$B$159</c:f>
              <c:numCache>
                <c:formatCode>General</c:formatCode>
                <c:ptCount val="15"/>
                <c:pt idx="0">
                  <c:v>0.3</c:v>
                </c:pt>
                <c:pt idx="1">
                  <c:v>0.7</c:v>
                </c:pt>
                <c:pt idx="2">
                  <c:v>1.1000000000000001</c:v>
                </c:pt>
                <c:pt idx="3">
                  <c:v>1.1000000000000001</c:v>
                </c:pt>
                <c:pt idx="4">
                  <c:v>2.2000000000000002</c:v>
                </c:pt>
                <c:pt idx="5">
                  <c:v>2.2000000000000002</c:v>
                </c:pt>
                <c:pt idx="6">
                  <c:v>3.1</c:v>
                </c:pt>
                <c:pt idx="7">
                  <c:v>3.6</c:v>
                </c:pt>
                <c:pt idx="8">
                  <c:v>3.2</c:v>
                </c:pt>
                <c:pt idx="9">
                  <c:v>3.9</c:v>
                </c:pt>
                <c:pt idx="10">
                  <c:v>5.7</c:v>
                </c:pt>
                <c:pt idx="11">
                  <c:v>4.8</c:v>
                </c:pt>
                <c:pt idx="12">
                  <c:v>3.9</c:v>
                </c:pt>
                <c:pt idx="13">
                  <c:v>3</c:v>
                </c:pt>
                <c:pt idx="14">
                  <c:v>2</c:v>
                </c:pt>
              </c:numCache>
            </c:numRef>
          </c:yVal>
          <c:smooth val="0"/>
          <c:extLst>
            <c:ext xmlns:c16="http://schemas.microsoft.com/office/drawing/2014/chart" uri="{C3380CC4-5D6E-409C-BE32-E72D297353CC}">
              <c16:uniqueId val="{00000000-FB15-4177-A747-40086E53AD92}"/>
            </c:ext>
          </c:extLst>
        </c:ser>
        <c:ser>
          <c:idx val="1"/>
          <c:order val="1"/>
          <c:tx>
            <c:strRef>
              <c:f>'WaPOR vs In-situ'!$C$1</c:f>
              <c:strCache>
                <c:ptCount val="1"/>
                <c:pt idx="0">
                  <c:v>Measurment - ET</c:v>
                </c:pt>
              </c:strCache>
            </c:strRef>
          </c:tx>
          <c:spPr>
            <a:ln w="12700" cap="rnd">
              <a:solidFill>
                <a:schemeClr val="accent2">
                  <a:alpha val="60000"/>
                </a:schemeClr>
              </a:solidFill>
              <a:round/>
            </a:ln>
            <a:effectLst/>
          </c:spPr>
          <c:marker>
            <c:symbol val="circle"/>
            <c:size val="4"/>
            <c:spPr>
              <a:solidFill>
                <a:schemeClr val="lt1"/>
              </a:solidFill>
              <a:ln w="25400">
                <a:solidFill>
                  <a:schemeClr val="accent2">
                    <a:alpha val="60000"/>
                  </a:schemeClr>
                </a:solidFill>
              </a:ln>
              <a:effectLst/>
            </c:spPr>
          </c:marker>
          <c:xVal>
            <c:numRef>
              <c:f>'WaPOR vs In-situ'!$A$145:$A$159</c:f>
              <c:numCache>
                <c:formatCode>[$-409]d\-mmm\-yy;@</c:formatCode>
                <c:ptCount val="15"/>
                <c:pt idx="0">
                  <c:v>44551</c:v>
                </c:pt>
                <c:pt idx="1">
                  <c:v>44562</c:v>
                </c:pt>
                <c:pt idx="2">
                  <c:v>44572</c:v>
                </c:pt>
                <c:pt idx="3">
                  <c:v>44582</c:v>
                </c:pt>
                <c:pt idx="4">
                  <c:v>44593</c:v>
                </c:pt>
                <c:pt idx="5">
                  <c:v>44603</c:v>
                </c:pt>
                <c:pt idx="6">
                  <c:v>44613</c:v>
                </c:pt>
                <c:pt idx="7">
                  <c:v>44621</c:v>
                </c:pt>
                <c:pt idx="8">
                  <c:v>44631</c:v>
                </c:pt>
                <c:pt idx="9">
                  <c:v>44641</c:v>
                </c:pt>
                <c:pt idx="10">
                  <c:v>44652</c:v>
                </c:pt>
                <c:pt idx="11">
                  <c:v>44662</c:v>
                </c:pt>
                <c:pt idx="12">
                  <c:v>44672</c:v>
                </c:pt>
                <c:pt idx="13">
                  <c:v>44682</c:v>
                </c:pt>
                <c:pt idx="14">
                  <c:v>44692</c:v>
                </c:pt>
              </c:numCache>
            </c:numRef>
          </c:xVal>
          <c:yVal>
            <c:numRef>
              <c:f>'WaPOR vs In-situ'!$C$145:$C$159</c:f>
              <c:numCache>
                <c:formatCode>General</c:formatCode>
                <c:ptCount val="15"/>
                <c:pt idx="0">
                  <c:v>1.1888746970408159</c:v>
                </c:pt>
                <c:pt idx="1">
                  <c:v>0.87996163792516979</c:v>
                </c:pt>
                <c:pt idx="2">
                  <c:v>1.3213606212244897</c:v>
                </c:pt>
                <c:pt idx="3">
                  <c:v>1.2670128450102043</c:v>
                </c:pt>
                <c:pt idx="4">
                  <c:v>1.1999500748608531</c:v>
                </c:pt>
                <c:pt idx="5">
                  <c:v>1.9453</c:v>
                </c:pt>
                <c:pt idx="6">
                  <c:v>1.7228999999999999</c:v>
                </c:pt>
                <c:pt idx="7">
                  <c:v>2.6065000000000005</c:v>
                </c:pt>
                <c:pt idx="8">
                  <c:v>3.1763000000000003</c:v>
                </c:pt>
                <c:pt idx="9">
                  <c:v>2.7751000000000001</c:v>
                </c:pt>
                <c:pt idx="10">
                  <c:v>3.1016363636363633</c:v>
                </c:pt>
                <c:pt idx="11">
                  <c:v>3.9998000000000005</c:v>
                </c:pt>
                <c:pt idx="12">
                  <c:v>4.1362000000000005</c:v>
                </c:pt>
                <c:pt idx="13">
                  <c:v>3.8254000000000006</c:v>
                </c:pt>
                <c:pt idx="14">
                  <c:v>1.9014</c:v>
                </c:pt>
              </c:numCache>
            </c:numRef>
          </c:yVal>
          <c:smooth val="0"/>
          <c:extLst>
            <c:ext xmlns:c16="http://schemas.microsoft.com/office/drawing/2014/chart" uri="{C3380CC4-5D6E-409C-BE32-E72D297353CC}">
              <c16:uniqueId val="{00000001-FB15-4177-A747-40086E53AD92}"/>
            </c:ext>
          </c:extLst>
        </c:ser>
        <c:dLbls>
          <c:showLegendKey val="0"/>
          <c:showVal val="0"/>
          <c:showCatName val="0"/>
          <c:showSerName val="0"/>
          <c:showPercent val="0"/>
          <c:showBubbleSize val="0"/>
        </c:dLbls>
        <c:axId val="650555248"/>
        <c:axId val="650557648"/>
      </c:scatterChart>
      <c:valAx>
        <c:axId val="650555248"/>
        <c:scaling>
          <c:orientation val="minMax"/>
        </c:scaling>
        <c:delete val="0"/>
        <c:axPos val="b"/>
        <c:majorGridlines>
          <c:spPr>
            <a:ln w="9525" cap="flat" cmpd="sng" algn="ctr">
              <a:solidFill>
                <a:schemeClr val="tx1">
                  <a:lumMod val="15000"/>
                  <a:lumOff val="85000"/>
                </a:schemeClr>
              </a:solidFill>
              <a:round/>
            </a:ln>
            <a:effectLst/>
          </c:spPr>
        </c:majorGridlines>
        <c:numFmt formatCode="[$-409]d\-mmm\-yy;@" sourceLinked="1"/>
        <c:majorTickMark val="none"/>
        <c:minorTickMark val="none"/>
        <c:tickLblPos val="nextTo"/>
        <c:spPr>
          <a:noFill/>
          <a:ln>
            <a:solidFill>
              <a:schemeClr val="tx1">
                <a:lumMod val="25000"/>
                <a:lumOff val="75000"/>
              </a:schemeClr>
            </a:solidFill>
          </a:ln>
          <a:effectLst/>
        </c:spPr>
        <c:txPr>
          <a:bodyPr rot="-5400000" spcFirstLastPara="1" vertOverflow="ellipsis"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650557648"/>
        <c:crosses val="autoZero"/>
        <c:crossBetween val="midCat"/>
      </c:valAx>
      <c:valAx>
        <c:axId val="65055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650555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Comparative analysis of MODIS16A2 vs WaPOR data</a:t>
            </a:r>
            <a:r>
              <a:rPr lang="en-US"/>
              <a:t> </a:t>
            </a:r>
          </a:p>
          <a:p>
            <a:pPr>
              <a:defRPr/>
            </a:pPr>
            <a:r>
              <a:rPr lang="en-US" sz="1200"/>
              <a:t>R</a:t>
            </a:r>
            <a:r>
              <a:rPr lang="en-US" sz="1200" baseline="30000"/>
              <a:t>2</a:t>
            </a:r>
            <a:r>
              <a:rPr lang="en-US" sz="1200"/>
              <a:t>, Correlation,</a:t>
            </a:r>
            <a:r>
              <a:rPr lang="en-US" sz="1200" baseline="0"/>
              <a:t> RSME(mm), rRSME(%)</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Sheet1!$D$48</c:f>
              <c:strCache>
                <c:ptCount val="1"/>
                <c:pt idx="0">
                  <c:v>MODIS16A2</c:v>
                </c:pt>
              </c:strCache>
            </c:strRef>
          </c:tx>
          <c:spPr>
            <a:solidFill>
              <a:schemeClr val="accent1"/>
            </a:solidFill>
            <a:ln>
              <a:noFill/>
            </a:ln>
            <a:effectLst/>
          </c:spPr>
          <c:invertIfNegative val="0"/>
          <c:cat>
            <c:multiLvlStrRef>
              <c:f>Sheet1!$B$49:$C$64</c:f>
              <c:multiLvlStrCache>
                <c:ptCount val="16"/>
                <c:lvl>
                  <c:pt idx="0">
                    <c:v>R2</c:v>
                  </c:pt>
                  <c:pt idx="1">
                    <c:v>Correlation</c:v>
                  </c:pt>
                  <c:pt idx="2">
                    <c:v>RSME (mm)</c:v>
                  </c:pt>
                  <c:pt idx="3">
                    <c:v>rRSME (%)</c:v>
                  </c:pt>
                  <c:pt idx="4">
                    <c:v>R2</c:v>
                  </c:pt>
                  <c:pt idx="5">
                    <c:v>Correlation</c:v>
                  </c:pt>
                  <c:pt idx="6">
                    <c:v>RSME (mm)</c:v>
                  </c:pt>
                  <c:pt idx="7">
                    <c:v>rRSME (%)</c:v>
                  </c:pt>
                  <c:pt idx="8">
                    <c:v>R2</c:v>
                  </c:pt>
                  <c:pt idx="9">
                    <c:v>Correlation</c:v>
                  </c:pt>
                  <c:pt idx="10">
                    <c:v>RSME (mm)</c:v>
                  </c:pt>
                  <c:pt idx="11">
                    <c:v>rRSME (%)</c:v>
                  </c:pt>
                  <c:pt idx="12">
                    <c:v>R2</c:v>
                  </c:pt>
                  <c:pt idx="13">
                    <c:v>Correlation</c:v>
                  </c:pt>
                  <c:pt idx="14">
                    <c:v>RSME (mm)</c:v>
                  </c:pt>
                  <c:pt idx="15">
                    <c:v>rRSME (%)</c:v>
                  </c:pt>
                </c:lvl>
                <c:lvl>
                  <c:pt idx="0">
                    <c:v>Winter 2019/2020 - Wheat</c:v>
                  </c:pt>
                  <c:pt idx="4">
                    <c:v>Winter 2020/2021- Wheat</c:v>
                  </c:pt>
                  <c:pt idx="8">
                    <c:v>Summer 2021 - Rice</c:v>
                  </c:pt>
                  <c:pt idx="12">
                    <c:v>Winter 2021/2022 - Wheat</c:v>
                  </c:pt>
                </c:lvl>
              </c:multiLvlStrCache>
            </c:multiLvlStrRef>
          </c:cat>
          <c:val>
            <c:numRef>
              <c:f>Sheet1!$D$49:$D$64</c:f>
              <c:numCache>
                <c:formatCode>General</c:formatCode>
                <c:ptCount val="16"/>
                <c:pt idx="0">
                  <c:v>0.76115352661048286</c:v>
                </c:pt>
                <c:pt idx="1">
                  <c:v>0.8724411307420592</c:v>
                </c:pt>
                <c:pt idx="2">
                  <c:v>1.9641879880922712</c:v>
                </c:pt>
                <c:pt idx="3">
                  <c:v>0.10763652712786725</c:v>
                </c:pt>
                <c:pt idx="4">
                  <c:v>0.58970943865100522</c:v>
                </c:pt>
                <c:pt idx="5">
                  <c:v>0.7679254121664455</c:v>
                </c:pt>
                <c:pt idx="6">
                  <c:v>1.4565665938223309</c:v>
                </c:pt>
                <c:pt idx="7">
                  <c:v>9.0225327242004882E-2</c:v>
                </c:pt>
                <c:pt idx="8">
                  <c:v>0.34966216869779848</c:v>
                </c:pt>
                <c:pt idx="9">
                  <c:v>0.59132238981607865</c:v>
                </c:pt>
                <c:pt idx="10">
                  <c:v>6.7356929160354237</c:v>
                </c:pt>
                <c:pt idx="11">
                  <c:v>0.19759194060626245</c:v>
                </c:pt>
                <c:pt idx="12">
                  <c:v>0.54032204043234189</c:v>
                </c:pt>
                <c:pt idx="13">
                  <c:v>0.73506601093530499</c:v>
                </c:pt>
                <c:pt idx="14">
                  <c:v>1.8277719357025159</c:v>
                </c:pt>
                <c:pt idx="15">
                  <c:v>0.12441841298294798</c:v>
                </c:pt>
              </c:numCache>
            </c:numRef>
          </c:val>
          <c:extLst>
            <c:ext xmlns:c16="http://schemas.microsoft.com/office/drawing/2014/chart" uri="{C3380CC4-5D6E-409C-BE32-E72D297353CC}">
              <c16:uniqueId val="{00000000-133A-4D1F-ADE0-5E13EA1D811C}"/>
            </c:ext>
          </c:extLst>
        </c:ser>
        <c:ser>
          <c:idx val="1"/>
          <c:order val="1"/>
          <c:tx>
            <c:strRef>
              <c:f>Sheet1!$E$48</c:f>
              <c:strCache>
                <c:ptCount val="1"/>
                <c:pt idx="0">
                  <c:v>WaPOR </c:v>
                </c:pt>
              </c:strCache>
            </c:strRef>
          </c:tx>
          <c:spPr>
            <a:solidFill>
              <a:schemeClr val="accent2"/>
            </a:solidFill>
            <a:ln>
              <a:noFill/>
            </a:ln>
            <a:effectLst/>
          </c:spPr>
          <c:invertIfNegative val="0"/>
          <c:cat>
            <c:multiLvlStrRef>
              <c:f>Sheet1!$B$49:$C$64</c:f>
              <c:multiLvlStrCache>
                <c:ptCount val="16"/>
                <c:lvl>
                  <c:pt idx="0">
                    <c:v>R2</c:v>
                  </c:pt>
                  <c:pt idx="1">
                    <c:v>Correlation</c:v>
                  </c:pt>
                  <c:pt idx="2">
                    <c:v>RSME (mm)</c:v>
                  </c:pt>
                  <c:pt idx="3">
                    <c:v>rRSME (%)</c:v>
                  </c:pt>
                  <c:pt idx="4">
                    <c:v>R2</c:v>
                  </c:pt>
                  <c:pt idx="5">
                    <c:v>Correlation</c:v>
                  </c:pt>
                  <c:pt idx="6">
                    <c:v>RSME (mm)</c:v>
                  </c:pt>
                  <c:pt idx="7">
                    <c:v>rRSME (%)</c:v>
                  </c:pt>
                  <c:pt idx="8">
                    <c:v>R2</c:v>
                  </c:pt>
                  <c:pt idx="9">
                    <c:v>Correlation</c:v>
                  </c:pt>
                  <c:pt idx="10">
                    <c:v>RSME (mm)</c:v>
                  </c:pt>
                  <c:pt idx="11">
                    <c:v>rRSME (%)</c:v>
                  </c:pt>
                  <c:pt idx="12">
                    <c:v>R2</c:v>
                  </c:pt>
                  <c:pt idx="13">
                    <c:v>Correlation</c:v>
                  </c:pt>
                  <c:pt idx="14">
                    <c:v>RSME (mm)</c:v>
                  </c:pt>
                  <c:pt idx="15">
                    <c:v>rRSME (%)</c:v>
                  </c:pt>
                </c:lvl>
                <c:lvl>
                  <c:pt idx="0">
                    <c:v>Winter 2019/2020 - Wheat</c:v>
                  </c:pt>
                  <c:pt idx="4">
                    <c:v>Winter 2020/2021- Wheat</c:v>
                  </c:pt>
                  <c:pt idx="8">
                    <c:v>Summer 2021 - Rice</c:v>
                  </c:pt>
                  <c:pt idx="12">
                    <c:v>Winter 2021/2022 - Wheat</c:v>
                  </c:pt>
                </c:lvl>
              </c:multiLvlStrCache>
            </c:multiLvlStrRef>
          </c:cat>
          <c:val>
            <c:numRef>
              <c:f>Sheet1!$E$49:$E$64</c:f>
              <c:numCache>
                <c:formatCode>General</c:formatCode>
                <c:ptCount val="16"/>
                <c:pt idx="0">
                  <c:v>0.86475553657274051</c:v>
                </c:pt>
                <c:pt idx="1">
                  <c:v>0.92992232824722543</c:v>
                </c:pt>
                <c:pt idx="2">
                  <c:v>0.12473601034883645</c:v>
                </c:pt>
                <c:pt idx="3">
                  <c:v>5.4294221205893306E-2</c:v>
                </c:pt>
                <c:pt idx="4">
                  <c:v>0.73107051891159569</c:v>
                </c:pt>
                <c:pt idx="5">
                  <c:v>0.85502661883218334</c:v>
                </c:pt>
                <c:pt idx="6">
                  <c:v>0.15893388269833267</c:v>
                </c:pt>
                <c:pt idx="7">
                  <c:v>7.6728960546367506E-2</c:v>
                </c:pt>
                <c:pt idx="8">
                  <c:v>9.099927099841934E-3</c:v>
                </c:pt>
                <c:pt idx="9">
                  <c:v>-9.5393538040277837E-2</c:v>
                </c:pt>
                <c:pt idx="10">
                  <c:v>0.51737822175600812</c:v>
                </c:pt>
                <c:pt idx="11">
                  <c:v>0.11904129555140466</c:v>
                </c:pt>
                <c:pt idx="12">
                  <c:v>0.64694143672917992</c:v>
                </c:pt>
                <c:pt idx="13">
                  <c:v>0.80432669775979704</c:v>
                </c:pt>
                <c:pt idx="14">
                  <c:v>0.25168207213545413</c:v>
                </c:pt>
                <c:pt idx="15">
                  <c:v>0.10771695395361465</c:v>
                </c:pt>
              </c:numCache>
            </c:numRef>
          </c:val>
          <c:extLst>
            <c:ext xmlns:c16="http://schemas.microsoft.com/office/drawing/2014/chart" uri="{C3380CC4-5D6E-409C-BE32-E72D297353CC}">
              <c16:uniqueId val="{00000001-133A-4D1F-ADE0-5E13EA1D811C}"/>
            </c:ext>
          </c:extLst>
        </c:ser>
        <c:dLbls>
          <c:showLegendKey val="0"/>
          <c:showVal val="0"/>
          <c:showCatName val="0"/>
          <c:showSerName val="0"/>
          <c:showPercent val="0"/>
          <c:showBubbleSize val="0"/>
        </c:dLbls>
        <c:gapWidth val="219"/>
        <c:overlap val="-27"/>
        <c:axId val="1812614511"/>
        <c:axId val="1812621711"/>
      </c:barChart>
      <c:catAx>
        <c:axId val="1812614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2621711"/>
        <c:crosses val="autoZero"/>
        <c:auto val="1"/>
        <c:lblAlgn val="ctr"/>
        <c:lblOffset val="100"/>
        <c:noMultiLvlLbl val="0"/>
      </c:catAx>
      <c:valAx>
        <c:axId val="1812621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812614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effectLst/>
              </a:rPr>
              <a:t>Comparative analysis of MODIS16A2 vs WaPOR data</a:t>
            </a:r>
            <a:r>
              <a:rPr lang="en-US" sz="1400" b="0" i="0" u="none" strike="noStrike" kern="1200" spc="0" baseline="0">
                <a:solidFill>
                  <a:sysClr val="windowText" lastClr="000000">
                    <a:lumMod val="65000"/>
                    <a:lumOff val="35000"/>
                  </a:sysClr>
                </a:solidFill>
              </a:rPr>
              <a:t> </a:t>
            </a:r>
          </a:p>
          <a:p>
            <a:pPr>
              <a:defRPr/>
            </a:pPr>
            <a:r>
              <a:rPr lang="en-US" sz="1200" b="0" i="0" u="none" strike="noStrike" kern="1200" spc="0" baseline="0">
                <a:solidFill>
                  <a:sysClr val="windowText" lastClr="000000">
                    <a:lumMod val="65000"/>
                    <a:lumOff val="35000"/>
                  </a:sysClr>
                </a:solidFill>
              </a:rPr>
              <a:t>MBE(mm), EFF, KGE</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955115702280331E-2"/>
          <c:y val="0.21632251720747295"/>
          <c:w val="0.92161878847712841"/>
          <c:h val="0.61713314596737356"/>
        </c:manualLayout>
      </c:layout>
      <c:barChart>
        <c:barDir val="col"/>
        <c:grouping val="clustered"/>
        <c:varyColors val="0"/>
        <c:ser>
          <c:idx val="0"/>
          <c:order val="0"/>
          <c:tx>
            <c:strRef>
              <c:f>Sheet1!$D$48</c:f>
              <c:strCache>
                <c:ptCount val="1"/>
                <c:pt idx="0">
                  <c:v>MODIS16A2</c:v>
                </c:pt>
              </c:strCache>
            </c:strRef>
          </c:tx>
          <c:spPr>
            <a:solidFill>
              <a:schemeClr val="accent1"/>
            </a:solidFill>
            <a:ln>
              <a:noFill/>
            </a:ln>
            <a:effectLst/>
          </c:spPr>
          <c:invertIfNegative val="0"/>
          <c:cat>
            <c:multiLvlStrRef>
              <c:f>Sheet1!$B$67:$C$78</c:f>
              <c:multiLvlStrCache>
                <c:ptCount val="12"/>
                <c:lvl>
                  <c:pt idx="0">
                    <c:v>MBE(mm)</c:v>
                  </c:pt>
                  <c:pt idx="1">
                    <c:v>EFF</c:v>
                  </c:pt>
                  <c:pt idx="2">
                    <c:v>KGE</c:v>
                  </c:pt>
                  <c:pt idx="3">
                    <c:v>MBE(mm)</c:v>
                  </c:pt>
                  <c:pt idx="4">
                    <c:v>EFF</c:v>
                  </c:pt>
                  <c:pt idx="5">
                    <c:v>KGE</c:v>
                  </c:pt>
                  <c:pt idx="6">
                    <c:v>MBE(mm)</c:v>
                  </c:pt>
                  <c:pt idx="7">
                    <c:v>EFF</c:v>
                  </c:pt>
                  <c:pt idx="8">
                    <c:v>KGE</c:v>
                  </c:pt>
                  <c:pt idx="9">
                    <c:v>MBE(mm)</c:v>
                  </c:pt>
                  <c:pt idx="10">
                    <c:v>EFF</c:v>
                  </c:pt>
                  <c:pt idx="11">
                    <c:v>KGE</c:v>
                  </c:pt>
                </c:lvl>
                <c:lvl>
                  <c:pt idx="0">
                    <c:v>Winter 2019/2020 - Wheat</c:v>
                  </c:pt>
                  <c:pt idx="3">
                    <c:v>Winter 2020/2021- Wheat</c:v>
                  </c:pt>
                  <c:pt idx="6">
                    <c:v>Summer 2021 - Rice</c:v>
                  </c:pt>
                  <c:pt idx="9">
                    <c:v>Winter 2021/2022 - Wheat</c:v>
                  </c:pt>
                </c:lvl>
              </c:multiLvlStrCache>
            </c:multiLvlStrRef>
          </c:cat>
          <c:val>
            <c:numRef>
              <c:f>Sheet1!$D$67:$D$78</c:f>
              <c:numCache>
                <c:formatCode>General</c:formatCode>
                <c:ptCount val="12"/>
                <c:pt idx="0">
                  <c:v>0.40645934616889984</c:v>
                </c:pt>
                <c:pt idx="1">
                  <c:v>-0.51462565804629667</c:v>
                </c:pt>
                <c:pt idx="2">
                  <c:v>0.43511048409900754</c:v>
                </c:pt>
                <c:pt idx="3">
                  <c:v>0.26656428445471125</c:v>
                </c:pt>
                <c:pt idx="4">
                  <c:v>0.79855443200216936</c:v>
                </c:pt>
                <c:pt idx="5">
                  <c:v>0.79855443200216936</c:v>
                </c:pt>
                <c:pt idx="6">
                  <c:v>1.639737635204173</c:v>
                </c:pt>
                <c:pt idx="7">
                  <c:v>-1.3796986705893577</c:v>
                </c:pt>
                <c:pt idx="8">
                  <c:v>0</c:v>
                </c:pt>
                <c:pt idx="9">
                  <c:v>0.33572213792963268</c:v>
                </c:pt>
                <c:pt idx="10">
                  <c:v>9.2033931395374857E-2</c:v>
                </c:pt>
                <c:pt idx="11">
                  <c:v>0</c:v>
                </c:pt>
              </c:numCache>
            </c:numRef>
          </c:val>
          <c:extLst>
            <c:ext xmlns:c16="http://schemas.microsoft.com/office/drawing/2014/chart" uri="{C3380CC4-5D6E-409C-BE32-E72D297353CC}">
              <c16:uniqueId val="{00000000-98B6-44D9-9251-FEB2339E224A}"/>
            </c:ext>
          </c:extLst>
        </c:ser>
        <c:ser>
          <c:idx val="1"/>
          <c:order val="1"/>
          <c:tx>
            <c:strRef>
              <c:f>Sheet1!$E$48</c:f>
              <c:strCache>
                <c:ptCount val="1"/>
                <c:pt idx="0">
                  <c:v>WaPOR </c:v>
                </c:pt>
              </c:strCache>
            </c:strRef>
          </c:tx>
          <c:spPr>
            <a:solidFill>
              <a:schemeClr val="accent2"/>
            </a:solidFill>
            <a:ln>
              <a:noFill/>
            </a:ln>
            <a:effectLst/>
          </c:spPr>
          <c:invertIfNegative val="0"/>
          <c:cat>
            <c:multiLvlStrRef>
              <c:f>Sheet1!$B$67:$C$78</c:f>
              <c:multiLvlStrCache>
                <c:ptCount val="12"/>
                <c:lvl>
                  <c:pt idx="0">
                    <c:v>MBE(mm)</c:v>
                  </c:pt>
                  <c:pt idx="1">
                    <c:v>EFF</c:v>
                  </c:pt>
                  <c:pt idx="2">
                    <c:v>KGE</c:v>
                  </c:pt>
                  <c:pt idx="3">
                    <c:v>MBE(mm)</c:v>
                  </c:pt>
                  <c:pt idx="4">
                    <c:v>EFF</c:v>
                  </c:pt>
                  <c:pt idx="5">
                    <c:v>KGE</c:v>
                  </c:pt>
                  <c:pt idx="6">
                    <c:v>MBE(mm)</c:v>
                  </c:pt>
                  <c:pt idx="7">
                    <c:v>EFF</c:v>
                  </c:pt>
                  <c:pt idx="8">
                    <c:v>KGE</c:v>
                  </c:pt>
                  <c:pt idx="9">
                    <c:v>MBE(mm)</c:v>
                  </c:pt>
                  <c:pt idx="10">
                    <c:v>EFF</c:v>
                  </c:pt>
                  <c:pt idx="11">
                    <c:v>KGE</c:v>
                  </c:pt>
                </c:lvl>
                <c:lvl>
                  <c:pt idx="0">
                    <c:v>Winter 2019/2020 - Wheat</c:v>
                  </c:pt>
                  <c:pt idx="3">
                    <c:v>Winter 2020/2021- Wheat</c:v>
                  </c:pt>
                  <c:pt idx="6">
                    <c:v>Summer 2021 - Rice</c:v>
                  </c:pt>
                  <c:pt idx="9">
                    <c:v>Winter 2021/2022 - Wheat</c:v>
                  </c:pt>
                </c:lvl>
              </c:multiLvlStrCache>
            </c:multiLvlStrRef>
          </c:cat>
          <c:val>
            <c:numRef>
              <c:f>Sheet1!$E$67:$E$78</c:f>
              <c:numCache>
                <c:formatCode>General</c:formatCode>
                <c:ptCount val="12"/>
                <c:pt idx="0">
                  <c:v>2.9383506446585082E-3</c:v>
                </c:pt>
                <c:pt idx="1">
                  <c:v>0.65652127069285626</c:v>
                </c:pt>
                <c:pt idx="2">
                  <c:v>0.95811390712947853</c:v>
                </c:pt>
                <c:pt idx="3">
                  <c:v>-2.0575493471561242E-2</c:v>
                </c:pt>
                <c:pt idx="4">
                  <c:v>0.33957687981686147</c:v>
                </c:pt>
                <c:pt idx="5">
                  <c:v>0.94154091325732792</c:v>
                </c:pt>
                <c:pt idx="6">
                  <c:v>-2.0575493471561242E-2</c:v>
                </c:pt>
                <c:pt idx="7">
                  <c:v>0.33960786834336165</c:v>
                </c:pt>
                <c:pt idx="8">
                  <c:v>0</c:v>
                </c:pt>
                <c:pt idx="9">
                  <c:v>-2.5565794490231566E-2</c:v>
                </c:pt>
                <c:pt idx="10">
                  <c:v>0.18192016904248409</c:v>
                </c:pt>
                <c:pt idx="11">
                  <c:v>0.92954837156868797</c:v>
                </c:pt>
              </c:numCache>
            </c:numRef>
          </c:val>
          <c:extLst>
            <c:ext xmlns:c16="http://schemas.microsoft.com/office/drawing/2014/chart" uri="{C3380CC4-5D6E-409C-BE32-E72D297353CC}">
              <c16:uniqueId val="{00000001-98B6-44D9-9251-FEB2339E224A}"/>
            </c:ext>
          </c:extLst>
        </c:ser>
        <c:dLbls>
          <c:showLegendKey val="0"/>
          <c:showVal val="0"/>
          <c:showCatName val="0"/>
          <c:showSerName val="0"/>
          <c:showPercent val="0"/>
          <c:showBubbleSize val="0"/>
        </c:dLbls>
        <c:gapWidth val="219"/>
        <c:overlap val="-27"/>
        <c:axId val="1812614511"/>
        <c:axId val="1812621711"/>
      </c:barChart>
      <c:catAx>
        <c:axId val="1812614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2621711"/>
        <c:crosses val="autoZero"/>
        <c:auto val="1"/>
        <c:lblAlgn val="ctr"/>
        <c:lblOffset val="100"/>
        <c:noMultiLvlLbl val="0"/>
      </c:catAx>
      <c:valAx>
        <c:axId val="1812621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2614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effectLst/>
              </a:rPr>
              <a:t>Comparative analysis of MODIS16A2 vs WaPOR data</a:t>
            </a:r>
            <a:r>
              <a:rPr lang="en-US" sz="1400" b="0" i="0" u="none" strike="noStrike" kern="1200" spc="0" baseline="0">
                <a:solidFill>
                  <a:sysClr val="windowText" lastClr="000000">
                    <a:lumMod val="65000"/>
                    <a:lumOff val="35000"/>
                  </a:sysClr>
                </a:solidFill>
              </a:rPr>
              <a:t> </a:t>
            </a:r>
          </a:p>
          <a:p>
            <a:pPr>
              <a:defRPr/>
            </a:pPr>
            <a:r>
              <a:rPr lang="en-US" sz="1200" b="0" i="0" u="none" strike="noStrike" kern="1200" spc="0" baseline="0">
                <a:solidFill>
                  <a:sysClr val="windowText" lastClr="000000">
                    <a:lumMod val="65000"/>
                    <a:lumOff val="35000"/>
                  </a:sysClr>
                </a:solidFill>
              </a:rPr>
              <a:t>PB (%)</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4150834356714588E-2"/>
          <c:y val="0.25995861094286293"/>
          <c:w val="0.93342306982269418"/>
          <c:h val="0.53622005182044552"/>
        </c:manualLayout>
      </c:layout>
      <c:barChart>
        <c:barDir val="col"/>
        <c:grouping val="clustered"/>
        <c:varyColors val="0"/>
        <c:ser>
          <c:idx val="0"/>
          <c:order val="0"/>
          <c:tx>
            <c:strRef>
              <c:f>Sheet1!$D$48</c:f>
              <c:strCache>
                <c:ptCount val="1"/>
                <c:pt idx="0">
                  <c:v>MODIS16A2</c:v>
                </c:pt>
              </c:strCache>
            </c:strRef>
          </c:tx>
          <c:spPr>
            <a:solidFill>
              <a:schemeClr val="accent1"/>
            </a:solidFill>
            <a:ln>
              <a:noFill/>
            </a:ln>
            <a:effectLst/>
          </c:spPr>
          <c:invertIfNegative val="0"/>
          <c:cat>
            <c:multiLvlStrRef>
              <c:f>Sheet1!$B$81:$C$84</c:f>
              <c:multiLvlStrCache>
                <c:ptCount val="4"/>
                <c:lvl>
                  <c:pt idx="0">
                    <c:v>PB(%)</c:v>
                  </c:pt>
                  <c:pt idx="1">
                    <c:v>PB(%)</c:v>
                  </c:pt>
                  <c:pt idx="2">
                    <c:v>PB(%)</c:v>
                  </c:pt>
                  <c:pt idx="3">
                    <c:v>PB(%)</c:v>
                  </c:pt>
                </c:lvl>
                <c:lvl>
                  <c:pt idx="0">
                    <c:v>Winter 2019/2020 - Wheat</c:v>
                  </c:pt>
                  <c:pt idx="1">
                    <c:v>Winter 2020/2021- Wheat</c:v>
                  </c:pt>
                  <c:pt idx="2">
                    <c:v>Summer 2021 - Rice</c:v>
                  </c:pt>
                  <c:pt idx="3">
                    <c:v>Winter 2021/2022 - Wheat</c:v>
                  </c:pt>
                </c:lvl>
              </c:multiLvlStrCache>
            </c:multiLvlStrRef>
          </c:cat>
          <c:val>
            <c:numRef>
              <c:f>Sheet1!$D$81:$D$84</c:f>
              <c:numCache>
                <c:formatCode>General</c:formatCode>
                <c:ptCount val="4"/>
                <c:pt idx="0">
                  <c:v>42.320163925488089</c:v>
                </c:pt>
                <c:pt idx="1">
                  <c:v>33.024030480944667</c:v>
                </c:pt>
                <c:pt idx="2">
                  <c:v>76.962877129694192</c:v>
                </c:pt>
                <c:pt idx="3">
                  <c:v>34.279453679536353</c:v>
                </c:pt>
              </c:numCache>
            </c:numRef>
          </c:val>
          <c:extLst>
            <c:ext xmlns:c16="http://schemas.microsoft.com/office/drawing/2014/chart" uri="{C3380CC4-5D6E-409C-BE32-E72D297353CC}">
              <c16:uniqueId val="{00000000-B5AD-439F-AD08-CC34064C9425}"/>
            </c:ext>
          </c:extLst>
        </c:ser>
        <c:ser>
          <c:idx val="1"/>
          <c:order val="1"/>
          <c:tx>
            <c:strRef>
              <c:f>Sheet1!$E$48</c:f>
              <c:strCache>
                <c:ptCount val="1"/>
                <c:pt idx="0">
                  <c:v>WaPOR </c:v>
                </c:pt>
              </c:strCache>
            </c:strRef>
          </c:tx>
          <c:spPr>
            <a:solidFill>
              <a:schemeClr val="accent2"/>
            </a:solidFill>
            <a:ln>
              <a:noFill/>
            </a:ln>
            <a:effectLst/>
          </c:spPr>
          <c:invertIfNegative val="0"/>
          <c:cat>
            <c:multiLvlStrRef>
              <c:f>Sheet1!$B$81:$C$84</c:f>
              <c:multiLvlStrCache>
                <c:ptCount val="4"/>
                <c:lvl>
                  <c:pt idx="0">
                    <c:v>PB(%)</c:v>
                  </c:pt>
                  <c:pt idx="1">
                    <c:v>PB(%)</c:v>
                  </c:pt>
                  <c:pt idx="2">
                    <c:v>PB(%)</c:v>
                  </c:pt>
                  <c:pt idx="3">
                    <c:v>PB(%)</c:v>
                  </c:pt>
                </c:lvl>
                <c:lvl>
                  <c:pt idx="0">
                    <c:v>Winter 2019/2020 - Wheat</c:v>
                  </c:pt>
                  <c:pt idx="1">
                    <c:v>Winter 2020/2021- Wheat</c:v>
                  </c:pt>
                  <c:pt idx="2">
                    <c:v>Summer 2021 - Rice</c:v>
                  </c:pt>
                  <c:pt idx="3">
                    <c:v>Winter 2021/2022 - Wheat</c:v>
                  </c:pt>
                </c:lvl>
              </c:multiLvlStrCache>
            </c:multiLvlStrRef>
          </c:cat>
          <c:val>
            <c:numRef>
              <c:f>Sheet1!$E$81:$E$84</c:f>
              <c:numCache>
                <c:formatCode>General</c:formatCode>
                <c:ptCount val="4"/>
                <c:pt idx="0">
                  <c:v>1.9184771835584413</c:v>
                </c:pt>
                <c:pt idx="1">
                  <c:v>-14.899933859270401</c:v>
                </c:pt>
                <c:pt idx="2">
                  <c:v>31.741262268338598</c:v>
                </c:pt>
                <c:pt idx="3">
                  <c:v>-16.412787080100777</c:v>
                </c:pt>
              </c:numCache>
            </c:numRef>
          </c:val>
          <c:extLst>
            <c:ext xmlns:c16="http://schemas.microsoft.com/office/drawing/2014/chart" uri="{C3380CC4-5D6E-409C-BE32-E72D297353CC}">
              <c16:uniqueId val="{00000001-B5AD-439F-AD08-CC34064C9425}"/>
            </c:ext>
          </c:extLst>
        </c:ser>
        <c:dLbls>
          <c:showLegendKey val="0"/>
          <c:showVal val="0"/>
          <c:showCatName val="0"/>
          <c:showSerName val="0"/>
          <c:showPercent val="0"/>
          <c:showBubbleSize val="0"/>
        </c:dLbls>
        <c:gapWidth val="219"/>
        <c:overlap val="-27"/>
        <c:axId val="1812614511"/>
        <c:axId val="1812621711"/>
      </c:barChart>
      <c:catAx>
        <c:axId val="1812614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812621711"/>
        <c:crosses val="autoZero"/>
        <c:auto val="1"/>
        <c:lblAlgn val="ctr"/>
        <c:lblOffset val="100"/>
        <c:noMultiLvlLbl val="0"/>
      </c:catAx>
      <c:valAx>
        <c:axId val="1812621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812614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24745667122195E-2"/>
          <c:y val="7.0201885959671598E-2"/>
          <c:w val="0.90297462817147855"/>
          <c:h val="0.6327938490500703"/>
        </c:manualLayout>
      </c:layout>
      <c:scatterChart>
        <c:scatterStyle val="lineMarker"/>
        <c:varyColors val="0"/>
        <c:ser>
          <c:idx val="0"/>
          <c:order val="0"/>
          <c:tx>
            <c:strRef>
              <c:f>'MODIS vs In-Situ'!$C$1</c:f>
              <c:strCache>
                <c:ptCount val="1"/>
                <c:pt idx="0">
                  <c:v>MODIS16A2 - ET</c:v>
                </c:pt>
              </c:strCache>
            </c:strRef>
          </c:tx>
          <c:spPr>
            <a:ln w="12700" cap="rnd">
              <a:solidFill>
                <a:schemeClr val="accent1">
                  <a:alpha val="60000"/>
                </a:schemeClr>
              </a:solidFill>
              <a:round/>
            </a:ln>
            <a:effectLst/>
          </c:spPr>
          <c:marker>
            <c:symbol val="circle"/>
            <c:size val="4"/>
            <c:spPr>
              <a:solidFill>
                <a:schemeClr val="lt1"/>
              </a:solidFill>
              <a:ln w="25400">
                <a:solidFill>
                  <a:schemeClr val="accent1">
                    <a:alpha val="61000"/>
                  </a:schemeClr>
                </a:solidFill>
              </a:ln>
              <a:effectLst/>
            </c:spPr>
          </c:marker>
          <c:xVal>
            <c:numRef>
              <c:f>'MODIS vs In-Situ'!$A$91:$A$109</c:f>
              <c:numCache>
                <c:formatCode>[$-409]d\-mmm\-yy;@</c:formatCode>
                <c:ptCount val="19"/>
                <c:pt idx="0">
                  <c:v>43810</c:v>
                </c:pt>
                <c:pt idx="1">
                  <c:v>43818</c:v>
                </c:pt>
                <c:pt idx="2">
                  <c:v>43826</c:v>
                </c:pt>
                <c:pt idx="3">
                  <c:v>43831</c:v>
                </c:pt>
                <c:pt idx="4">
                  <c:v>43839</c:v>
                </c:pt>
                <c:pt idx="5">
                  <c:v>43847</c:v>
                </c:pt>
                <c:pt idx="6">
                  <c:v>43855</c:v>
                </c:pt>
                <c:pt idx="7">
                  <c:v>43863</c:v>
                </c:pt>
                <c:pt idx="8">
                  <c:v>43871</c:v>
                </c:pt>
                <c:pt idx="9">
                  <c:v>43879</c:v>
                </c:pt>
                <c:pt idx="10">
                  <c:v>43887</c:v>
                </c:pt>
                <c:pt idx="11">
                  <c:v>43895</c:v>
                </c:pt>
                <c:pt idx="12">
                  <c:v>43903</c:v>
                </c:pt>
                <c:pt idx="13">
                  <c:v>43911</c:v>
                </c:pt>
                <c:pt idx="14">
                  <c:v>43919</c:v>
                </c:pt>
                <c:pt idx="15">
                  <c:v>43927</c:v>
                </c:pt>
                <c:pt idx="16">
                  <c:v>43935</c:v>
                </c:pt>
                <c:pt idx="17">
                  <c:v>43943</c:v>
                </c:pt>
                <c:pt idx="18">
                  <c:v>43951</c:v>
                </c:pt>
              </c:numCache>
            </c:numRef>
          </c:xVal>
          <c:yVal>
            <c:numRef>
              <c:f>'MODIS vs In-Situ'!$C$91:$C$109</c:f>
              <c:numCache>
                <c:formatCode>General</c:formatCode>
                <c:ptCount val="19"/>
                <c:pt idx="0">
                  <c:v>6.3497610921501701</c:v>
                </c:pt>
                <c:pt idx="1">
                  <c:v>4.8224345847554</c:v>
                </c:pt>
                <c:pt idx="2">
                  <c:v>2.9390216154721203</c:v>
                </c:pt>
                <c:pt idx="3">
                  <c:v>6.2390216154721205</c:v>
                </c:pt>
                <c:pt idx="4">
                  <c:v>6.7112172923776994</c:v>
                </c:pt>
                <c:pt idx="5">
                  <c:v>8.7112172923777003</c:v>
                </c:pt>
                <c:pt idx="6">
                  <c:v>9.7556086461888505</c:v>
                </c:pt>
                <c:pt idx="7">
                  <c:v>9.9</c:v>
                </c:pt>
                <c:pt idx="8">
                  <c:v>9.6170648464163797</c:v>
                </c:pt>
                <c:pt idx="9">
                  <c:v>14.178521046643899</c:v>
                </c:pt>
                <c:pt idx="10">
                  <c:v>14.157042093287799</c:v>
                </c:pt>
                <c:pt idx="11">
                  <c:v>19.778043230944199</c:v>
                </c:pt>
                <c:pt idx="12">
                  <c:v>16.7009556313993</c:v>
                </c:pt>
                <c:pt idx="13">
                  <c:v>18.229237770193301</c:v>
                </c:pt>
                <c:pt idx="14">
                  <c:v>14.167781569965801</c:v>
                </c:pt>
                <c:pt idx="15">
                  <c:v>13.796541524459599</c:v>
                </c:pt>
                <c:pt idx="16">
                  <c:v>7.9673037542662097</c:v>
                </c:pt>
                <c:pt idx="17">
                  <c:v>9.8268486916951012</c:v>
                </c:pt>
                <c:pt idx="18">
                  <c:v>6.13902161547212</c:v>
                </c:pt>
              </c:numCache>
            </c:numRef>
          </c:yVal>
          <c:smooth val="0"/>
          <c:extLst>
            <c:ext xmlns:c16="http://schemas.microsoft.com/office/drawing/2014/chart" uri="{C3380CC4-5D6E-409C-BE32-E72D297353CC}">
              <c16:uniqueId val="{00000000-4EE7-41F8-8EE8-E667CF7DB01D}"/>
            </c:ext>
          </c:extLst>
        </c:ser>
        <c:ser>
          <c:idx val="1"/>
          <c:order val="1"/>
          <c:tx>
            <c:strRef>
              <c:f>'MODIS vs In-Situ'!$D$1</c:f>
              <c:strCache>
                <c:ptCount val="1"/>
                <c:pt idx="0">
                  <c:v>In-Situ</c:v>
                </c:pt>
              </c:strCache>
            </c:strRef>
          </c:tx>
          <c:spPr>
            <a:ln w="12700" cap="rnd">
              <a:solidFill>
                <a:schemeClr val="accent2">
                  <a:alpha val="60000"/>
                </a:schemeClr>
              </a:solidFill>
              <a:round/>
            </a:ln>
            <a:effectLst/>
          </c:spPr>
          <c:marker>
            <c:symbol val="circle"/>
            <c:size val="4"/>
            <c:spPr>
              <a:solidFill>
                <a:schemeClr val="lt1"/>
              </a:solidFill>
              <a:ln w="25400">
                <a:solidFill>
                  <a:schemeClr val="accent2">
                    <a:alpha val="60000"/>
                  </a:schemeClr>
                </a:solidFill>
              </a:ln>
              <a:effectLst/>
            </c:spPr>
          </c:marker>
          <c:xVal>
            <c:numRef>
              <c:f>'MODIS vs In-Situ'!$A$91:$A$109</c:f>
              <c:numCache>
                <c:formatCode>[$-409]d\-mmm\-yy;@</c:formatCode>
                <c:ptCount val="19"/>
                <c:pt idx="0">
                  <c:v>43810</c:v>
                </c:pt>
                <c:pt idx="1">
                  <c:v>43818</c:v>
                </c:pt>
                <c:pt idx="2">
                  <c:v>43826</c:v>
                </c:pt>
                <c:pt idx="3">
                  <c:v>43831</c:v>
                </c:pt>
                <c:pt idx="4">
                  <c:v>43839</c:v>
                </c:pt>
                <c:pt idx="5">
                  <c:v>43847</c:v>
                </c:pt>
                <c:pt idx="6">
                  <c:v>43855</c:v>
                </c:pt>
                <c:pt idx="7">
                  <c:v>43863</c:v>
                </c:pt>
                <c:pt idx="8">
                  <c:v>43871</c:v>
                </c:pt>
                <c:pt idx="9">
                  <c:v>43879</c:v>
                </c:pt>
                <c:pt idx="10">
                  <c:v>43887</c:v>
                </c:pt>
                <c:pt idx="11">
                  <c:v>43895</c:v>
                </c:pt>
                <c:pt idx="12">
                  <c:v>43903</c:v>
                </c:pt>
                <c:pt idx="13">
                  <c:v>43911</c:v>
                </c:pt>
                <c:pt idx="14">
                  <c:v>43919</c:v>
                </c:pt>
                <c:pt idx="15">
                  <c:v>43927</c:v>
                </c:pt>
                <c:pt idx="16">
                  <c:v>43935</c:v>
                </c:pt>
                <c:pt idx="17">
                  <c:v>43943</c:v>
                </c:pt>
                <c:pt idx="18">
                  <c:v>43951</c:v>
                </c:pt>
              </c:numCache>
            </c:numRef>
          </c:xVal>
          <c:yVal>
            <c:numRef>
              <c:f>'MODIS vs In-Situ'!$D$91:$D$109</c:f>
              <c:numCache>
                <c:formatCode>0.00</c:formatCode>
                <c:ptCount val="19"/>
                <c:pt idx="0" formatCode="General">
                  <c:v>5.7524825681632628</c:v>
                </c:pt>
                <c:pt idx="1">
                  <c:v>8.592439915102041</c:v>
                </c:pt>
                <c:pt idx="2">
                  <c:v>12.48087137142857</c:v>
                </c:pt>
                <c:pt idx="3">
                  <c:v>6.4618387346938775</c:v>
                </c:pt>
                <c:pt idx="4">
                  <c:v>17.662208341224488</c:v>
                </c:pt>
                <c:pt idx="5">
                  <c:v>14.78021820244898</c:v>
                </c:pt>
                <c:pt idx="6">
                  <c:v>18.834071216326524</c:v>
                </c:pt>
                <c:pt idx="7">
                  <c:v>18.178839330612245</c:v>
                </c:pt>
                <c:pt idx="8">
                  <c:v>20.681535441588242</c:v>
                </c:pt>
                <c:pt idx="9">
                  <c:v>21.167942305418446</c:v>
                </c:pt>
                <c:pt idx="10">
                  <c:v>20.8085548783151</c:v>
                </c:pt>
                <c:pt idx="11">
                  <c:v>28.363603407540239</c:v>
                </c:pt>
                <c:pt idx="12">
                  <c:v>24.457819487286862</c:v>
                </c:pt>
                <c:pt idx="13">
                  <c:v>29.172758634067581</c:v>
                </c:pt>
                <c:pt idx="14">
                  <c:v>27.993806870188408</c:v>
                </c:pt>
                <c:pt idx="15">
                  <c:v>25.682865610375831</c:v>
                </c:pt>
                <c:pt idx="16">
                  <c:v>18.907732520299088</c:v>
                </c:pt>
                <c:pt idx="17">
                  <c:v>15.062548249022695</c:v>
                </c:pt>
                <c:pt idx="18">
                  <c:v>11.676330796408157</c:v>
                </c:pt>
              </c:numCache>
            </c:numRef>
          </c:yVal>
          <c:smooth val="0"/>
          <c:extLst>
            <c:ext xmlns:c16="http://schemas.microsoft.com/office/drawing/2014/chart" uri="{C3380CC4-5D6E-409C-BE32-E72D297353CC}">
              <c16:uniqueId val="{00000001-4EE7-41F8-8EE8-E667CF7DB01D}"/>
            </c:ext>
          </c:extLst>
        </c:ser>
        <c:dLbls>
          <c:showLegendKey val="0"/>
          <c:showVal val="0"/>
          <c:showCatName val="0"/>
          <c:showSerName val="0"/>
          <c:showPercent val="0"/>
          <c:showBubbleSize val="0"/>
        </c:dLbls>
        <c:axId val="1125916479"/>
        <c:axId val="1125912159"/>
      </c:scatterChart>
      <c:valAx>
        <c:axId val="1125916479"/>
        <c:scaling>
          <c:orientation val="minMax"/>
        </c:scaling>
        <c:delete val="0"/>
        <c:axPos val="b"/>
        <c:majorGridlines>
          <c:spPr>
            <a:ln w="9525" cap="flat" cmpd="sng" algn="ctr">
              <a:solidFill>
                <a:schemeClr val="tx1">
                  <a:lumMod val="15000"/>
                  <a:lumOff val="85000"/>
                </a:schemeClr>
              </a:solidFill>
              <a:round/>
            </a:ln>
            <a:effectLst/>
          </c:spPr>
        </c:majorGridlines>
        <c:numFmt formatCode="[$-409]d\-mmm\-yy;@" sourceLinked="1"/>
        <c:majorTickMark val="none"/>
        <c:minorTickMark val="none"/>
        <c:tickLblPos val="nextTo"/>
        <c:spPr>
          <a:noFill/>
          <a:ln>
            <a:solidFill>
              <a:schemeClr val="tx1">
                <a:lumMod val="25000"/>
                <a:lumOff val="75000"/>
              </a:schemeClr>
            </a:solidFill>
          </a:ln>
          <a:effectLst/>
        </c:spPr>
        <c:txPr>
          <a:bodyPr rot="-5400000" spcFirstLastPara="1" vertOverflow="ellipsis"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1125912159"/>
        <c:crosses val="autoZero"/>
        <c:crossBetween val="midCat"/>
      </c:valAx>
      <c:valAx>
        <c:axId val="1125912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112591647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6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24745667122195E-2"/>
          <c:y val="6.9640337926509185E-2"/>
          <c:w val="0.90297462817147855"/>
          <c:h val="0.59748851706036732"/>
        </c:manualLayout>
      </c:layout>
      <c:scatterChart>
        <c:scatterStyle val="lineMarker"/>
        <c:varyColors val="0"/>
        <c:ser>
          <c:idx val="0"/>
          <c:order val="0"/>
          <c:tx>
            <c:strRef>
              <c:f>'MODIS vs In-Situ'!$C$1</c:f>
              <c:strCache>
                <c:ptCount val="1"/>
                <c:pt idx="0">
                  <c:v>MODIS16A2 - ET</c:v>
                </c:pt>
              </c:strCache>
            </c:strRef>
          </c:tx>
          <c:spPr>
            <a:ln w="12700" cap="rnd">
              <a:solidFill>
                <a:schemeClr val="accent1">
                  <a:alpha val="60000"/>
                </a:schemeClr>
              </a:solidFill>
              <a:round/>
            </a:ln>
            <a:effectLst/>
          </c:spPr>
          <c:marker>
            <c:symbol val="circle"/>
            <c:size val="4"/>
            <c:spPr>
              <a:solidFill>
                <a:schemeClr val="lt1"/>
              </a:solidFill>
              <a:ln w="25400">
                <a:solidFill>
                  <a:schemeClr val="accent1">
                    <a:alpha val="60000"/>
                  </a:schemeClr>
                </a:solidFill>
              </a:ln>
              <a:effectLst/>
            </c:spPr>
          </c:marker>
          <c:xVal>
            <c:numRef>
              <c:f>'MODIS vs In-Situ'!$A$136:$A$155</c:f>
              <c:numCache>
                <c:formatCode>[$-409]d\-mmm\-yy;@</c:formatCode>
                <c:ptCount val="20"/>
                <c:pt idx="0">
                  <c:v>44167</c:v>
                </c:pt>
                <c:pt idx="1">
                  <c:v>44175</c:v>
                </c:pt>
                <c:pt idx="2">
                  <c:v>44183</c:v>
                </c:pt>
                <c:pt idx="3">
                  <c:v>44191</c:v>
                </c:pt>
                <c:pt idx="4">
                  <c:v>44197</c:v>
                </c:pt>
                <c:pt idx="5">
                  <c:v>44205</c:v>
                </c:pt>
                <c:pt idx="6">
                  <c:v>44213</c:v>
                </c:pt>
                <c:pt idx="7">
                  <c:v>44221</c:v>
                </c:pt>
                <c:pt idx="8">
                  <c:v>44229</c:v>
                </c:pt>
                <c:pt idx="9">
                  <c:v>44237</c:v>
                </c:pt>
                <c:pt idx="10">
                  <c:v>44245</c:v>
                </c:pt>
                <c:pt idx="11">
                  <c:v>44253</c:v>
                </c:pt>
                <c:pt idx="12">
                  <c:v>44261</c:v>
                </c:pt>
                <c:pt idx="13">
                  <c:v>44269</c:v>
                </c:pt>
                <c:pt idx="14">
                  <c:v>44277</c:v>
                </c:pt>
                <c:pt idx="15">
                  <c:v>44285</c:v>
                </c:pt>
                <c:pt idx="16">
                  <c:v>44293</c:v>
                </c:pt>
                <c:pt idx="17">
                  <c:v>44301</c:v>
                </c:pt>
                <c:pt idx="18">
                  <c:v>44309</c:v>
                </c:pt>
                <c:pt idx="19">
                  <c:v>44317</c:v>
                </c:pt>
              </c:numCache>
            </c:numRef>
          </c:xVal>
          <c:yVal>
            <c:numRef>
              <c:f>'MODIS vs In-Situ'!$C$136:$C$155</c:f>
              <c:numCache>
                <c:formatCode>General</c:formatCode>
                <c:ptCount val="20"/>
                <c:pt idx="0">
                  <c:v>5.9229124004550595</c:v>
                </c:pt>
                <c:pt idx="1">
                  <c:v>6.1063253697383306</c:v>
                </c:pt>
                <c:pt idx="2">
                  <c:v>7.4175426621160394</c:v>
                </c:pt>
                <c:pt idx="3">
                  <c:v>5.67852104664391</c:v>
                </c:pt>
                <c:pt idx="4">
                  <c:v>8.2126507394766701</c:v>
                </c:pt>
                <c:pt idx="5">
                  <c:v>6.4448691695107998</c:v>
                </c:pt>
                <c:pt idx="6">
                  <c:v>10.757042093287799</c:v>
                </c:pt>
                <c:pt idx="7">
                  <c:v>11.5960637087599</c:v>
                </c:pt>
                <c:pt idx="8">
                  <c:v>13.050716723549399</c:v>
                </c:pt>
                <c:pt idx="9">
                  <c:v>13.883890784982901</c:v>
                </c:pt>
                <c:pt idx="10">
                  <c:v>13.2278043230944</c:v>
                </c:pt>
                <c:pt idx="11">
                  <c:v>12.6233902161547</c:v>
                </c:pt>
                <c:pt idx="12">
                  <c:v>20.051672354948799</c:v>
                </c:pt>
                <c:pt idx="13">
                  <c:v>23.614562002275299</c:v>
                </c:pt>
                <c:pt idx="14">
                  <c:v>13.0965415244596</c:v>
                </c:pt>
                <c:pt idx="15">
                  <c:v>10.155608646188799</c:v>
                </c:pt>
                <c:pt idx="16">
                  <c:v>11.462411831626799</c:v>
                </c:pt>
                <c:pt idx="17">
                  <c:v>9.2838907849829297</c:v>
                </c:pt>
                <c:pt idx="18">
                  <c:v>8.9492832764505099</c:v>
                </c:pt>
                <c:pt idx="19">
                  <c:v>4.7116951080773601</c:v>
                </c:pt>
              </c:numCache>
            </c:numRef>
          </c:yVal>
          <c:smooth val="0"/>
          <c:extLst>
            <c:ext xmlns:c16="http://schemas.microsoft.com/office/drawing/2014/chart" uri="{C3380CC4-5D6E-409C-BE32-E72D297353CC}">
              <c16:uniqueId val="{00000000-F32A-4134-A759-30EC4F973812}"/>
            </c:ext>
          </c:extLst>
        </c:ser>
        <c:ser>
          <c:idx val="1"/>
          <c:order val="1"/>
          <c:tx>
            <c:strRef>
              <c:f>'MODIS vs In-Situ'!$D$1</c:f>
              <c:strCache>
                <c:ptCount val="1"/>
                <c:pt idx="0">
                  <c:v>In-Situ</c:v>
                </c:pt>
              </c:strCache>
            </c:strRef>
          </c:tx>
          <c:spPr>
            <a:ln w="12700" cap="rnd">
              <a:solidFill>
                <a:schemeClr val="accent2">
                  <a:alpha val="60000"/>
                </a:schemeClr>
              </a:solidFill>
              <a:round/>
            </a:ln>
            <a:effectLst/>
          </c:spPr>
          <c:marker>
            <c:symbol val="circle"/>
            <c:size val="4"/>
            <c:spPr>
              <a:solidFill>
                <a:schemeClr val="lt1"/>
              </a:solidFill>
              <a:ln w="25400">
                <a:solidFill>
                  <a:schemeClr val="accent2">
                    <a:alpha val="60000"/>
                  </a:schemeClr>
                </a:solidFill>
              </a:ln>
              <a:effectLst/>
            </c:spPr>
          </c:marker>
          <c:xVal>
            <c:numRef>
              <c:f>'MODIS vs In-Situ'!$A$136:$A$155</c:f>
              <c:numCache>
                <c:formatCode>[$-409]d\-mmm\-yy;@</c:formatCode>
                <c:ptCount val="20"/>
                <c:pt idx="0">
                  <c:v>44167</c:v>
                </c:pt>
                <c:pt idx="1">
                  <c:v>44175</c:v>
                </c:pt>
                <c:pt idx="2">
                  <c:v>44183</c:v>
                </c:pt>
                <c:pt idx="3">
                  <c:v>44191</c:v>
                </c:pt>
                <c:pt idx="4">
                  <c:v>44197</c:v>
                </c:pt>
                <c:pt idx="5">
                  <c:v>44205</c:v>
                </c:pt>
                <c:pt idx="6">
                  <c:v>44213</c:v>
                </c:pt>
                <c:pt idx="7">
                  <c:v>44221</c:v>
                </c:pt>
                <c:pt idx="8">
                  <c:v>44229</c:v>
                </c:pt>
                <c:pt idx="9">
                  <c:v>44237</c:v>
                </c:pt>
                <c:pt idx="10">
                  <c:v>44245</c:v>
                </c:pt>
                <c:pt idx="11">
                  <c:v>44253</c:v>
                </c:pt>
                <c:pt idx="12">
                  <c:v>44261</c:v>
                </c:pt>
                <c:pt idx="13">
                  <c:v>44269</c:v>
                </c:pt>
                <c:pt idx="14">
                  <c:v>44277</c:v>
                </c:pt>
                <c:pt idx="15">
                  <c:v>44285</c:v>
                </c:pt>
                <c:pt idx="16">
                  <c:v>44293</c:v>
                </c:pt>
                <c:pt idx="17">
                  <c:v>44301</c:v>
                </c:pt>
                <c:pt idx="18">
                  <c:v>44309</c:v>
                </c:pt>
                <c:pt idx="19">
                  <c:v>44317</c:v>
                </c:pt>
              </c:numCache>
            </c:numRef>
          </c:xVal>
          <c:yVal>
            <c:numRef>
              <c:f>'MODIS vs In-Situ'!$D$136:$D$155</c:f>
              <c:numCache>
                <c:formatCode>0.00</c:formatCode>
                <c:ptCount val="20"/>
                <c:pt idx="0">
                  <c:v>13.973386785763891</c:v>
                </c:pt>
                <c:pt idx="1">
                  <c:v>12.647654495138893</c:v>
                </c:pt>
                <c:pt idx="2">
                  <c:v>10.754886689236113</c:v>
                </c:pt>
                <c:pt idx="3">
                  <c:v>8.0828518124131961</c:v>
                </c:pt>
                <c:pt idx="4">
                  <c:v>7.0387870811631963</c:v>
                </c:pt>
                <c:pt idx="5">
                  <c:v>8.4312232370659732</c:v>
                </c:pt>
                <c:pt idx="6">
                  <c:v>11.936318948437503</c:v>
                </c:pt>
                <c:pt idx="7">
                  <c:v>12.919025453446183</c:v>
                </c:pt>
                <c:pt idx="8">
                  <c:v>14.978791963020839</c:v>
                </c:pt>
                <c:pt idx="9">
                  <c:v>17.143012992361118</c:v>
                </c:pt>
                <c:pt idx="10">
                  <c:v>18.9328510046007</c:v>
                </c:pt>
                <c:pt idx="11">
                  <c:v>18.341328894704866</c:v>
                </c:pt>
                <c:pt idx="12">
                  <c:v>24.654799239079868</c:v>
                </c:pt>
                <c:pt idx="13">
                  <c:v>26.921744055555557</c:v>
                </c:pt>
                <c:pt idx="14">
                  <c:v>26.056429312760425</c:v>
                </c:pt>
                <c:pt idx="15">
                  <c:v>19.665356813454864</c:v>
                </c:pt>
                <c:pt idx="16">
                  <c:v>23.237058540277786</c:v>
                </c:pt>
                <c:pt idx="17">
                  <c:v>20.093926718489588</c:v>
                </c:pt>
                <c:pt idx="18">
                  <c:v>15.307890204253475</c:v>
                </c:pt>
                <c:pt idx="19">
                  <c:v>11.755784307440479</c:v>
                </c:pt>
              </c:numCache>
            </c:numRef>
          </c:yVal>
          <c:smooth val="0"/>
          <c:extLst>
            <c:ext xmlns:c16="http://schemas.microsoft.com/office/drawing/2014/chart" uri="{C3380CC4-5D6E-409C-BE32-E72D297353CC}">
              <c16:uniqueId val="{00000001-F32A-4134-A759-30EC4F973812}"/>
            </c:ext>
          </c:extLst>
        </c:ser>
        <c:dLbls>
          <c:showLegendKey val="0"/>
          <c:showVal val="0"/>
          <c:showCatName val="0"/>
          <c:showSerName val="0"/>
          <c:showPercent val="0"/>
          <c:showBubbleSize val="0"/>
        </c:dLbls>
        <c:axId val="1125916479"/>
        <c:axId val="1125912159"/>
      </c:scatterChart>
      <c:valAx>
        <c:axId val="1125916479"/>
        <c:scaling>
          <c:orientation val="minMax"/>
        </c:scaling>
        <c:delete val="0"/>
        <c:axPos val="b"/>
        <c:majorGridlines>
          <c:spPr>
            <a:ln w="9525" cap="flat" cmpd="sng" algn="ctr">
              <a:solidFill>
                <a:schemeClr val="tx1">
                  <a:lumMod val="15000"/>
                  <a:lumOff val="85000"/>
                </a:schemeClr>
              </a:solidFill>
              <a:round/>
            </a:ln>
            <a:effectLst/>
          </c:spPr>
        </c:majorGridlines>
        <c:numFmt formatCode="[$-409]d\-mmm\-yy;@" sourceLinked="1"/>
        <c:majorTickMark val="none"/>
        <c:minorTickMark val="none"/>
        <c:tickLblPos val="nextTo"/>
        <c:spPr>
          <a:noFill/>
          <a:ln>
            <a:solidFill>
              <a:schemeClr val="tx1">
                <a:lumMod val="25000"/>
                <a:lumOff val="75000"/>
              </a:schemeClr>
            </a:solidFill>
          </a:ln>
          <a:effectLst/>
        </c:spPr>
        <c:txPr>
          <a:bodyPr rot="-5400000" spcFirstLastPara="1" vertOverflow="ellipsis"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1125912159"/>
        <c:crosses val="autoZero"/>
        <c:crossBetween val="midCat"/>
      </c:valAx>
      <c:valAx>
        <c:axId val="1125912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112591647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6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24745667122195E-2"/>
          <c:y val="6.1155554313474803E-2"/>
          <c:w val="0.90297462817147855"/>
          <c:h val="0.64924759405074361"/>
        </c:manualLayout>
      </c:layout>
      <c:scatterChart>
        <c:scatterStyle val="lineMarker"/>
        <c:varyColors val="0"/>
        <c:ser>
          <c:idx val="0"/>
          <c:order val="0"/>
          <c:spPr>
            <a:ln w="12700" cap="rnd">
              <a:solidFill>
                <a:schemeClr val="accent1">
                  <a:alpha val="60000"/>
                </a:schemeClr>
              </a:solidFill>
              <a:round/>
            </a:ln>
            <a:effectLst/>
          </c:spPr>
          <c:marker>
            <c:symbol val="circle"/>
            <c:size val="4"/>
            <c:spPr>
              <a:solidFill>
                <a:schemeClr val="lt1"/>
              </a:solidFill>
              <a:ln w="25400">
                <a:solidFill>
                  <a:schemeClr val="accent1">
                    <a:alpha val="60000"/>
                  </a:schemeClr>
                </a:solidFill>
              </a:ln>
              <a:effectLst/>
            </c:spPr>
          </c:marker>
          <c:xVal>
            <c:numRef>
              <c:f>'MODIS vs In-Situ'!$A$162:$A$177</c:f>
              <c:numCache>
                <c:formatCode>[$-409]d\-mmm\-yy;@</c:formatCode>
                <c:ptCount val="16"/>
                <c:pt idx="0">
                  <c:v>44373</c:v>
                </c:pt>
                <c:pt idx="1">
                  <c:v>44381</c:v>
                </c:pt>
                <c:pt idx="2">
                  <c:v>44389</c:v>
                </c:pt>
                <c:pt idx="3">
                  <c:v>44397</c:v>
                </c:pt>
                <c:pt idx="4">
                  <c:v>44405</c:v>
                </c:pt>
                <c:pt idx="5">
                  <c:v>44413</c:v>
                </c:pt>
                <c:pt idx="6">
                  <c:v>44421</c:v>
                </c:pt>
                <c:pt idx="7">
                  <c:v>44429</c:v>
                </c:pt>
                <c:pt idx="8">
                  <c:v>44437</c:v>
                </c:pt>
                <c:pt idx="9">
                  <c:v>44445</c:v>
                </c:pt>
                <c:pt idx="10">
                  <c:v>44453</c:v>
                </c:pt>
                <c:pt idx="11">
                  <c:v>44461</c:v>
                </c:pt>
                <c:pt idx="12">
                  <c:v>44469</c:v>
                </c:pt>
                <c:pt idx="13">
                  <c:v>44477</c:v>
                </c:pt>
                <c:pt idx="14">
                  <c:v>44485</c:v>
                </c:pt>
                <c:pt idx="15">
                  <c:v>44493</c:v>
                </c:pt>
              </c:numCache>
            </c:numRef>
          </c:xVal>
          <c:yVal>
            <c:numRef>
              <c:f>'MODIS vs In-Situ'!$C$162:$C$177</c:f>
              <c:numCache>
                <c:formatCode>General</c:formatCode>
                <c:ptCount val="16"/>
                <c:pt idx="0">
                  <c:v>4.4224345847553996</c:v>
                </c:pt>
                <c:pt idx="1">
                  <c:v>8.7502389078498197</c:v>
                </c:pt>
                <c:pt idx="2">
                  <c:v>9.9897383390216099</c:v>
                </c:pt>
                <c:pt idx="3">
                  <c:v>11.3668259385665</c:v>
                </c:pt>
                <c:pt idx="4">
                  <c:v>6.5560864618885102</c:v>
                </c:pt>
                <c:pt idx="5">
                  <c:v>9.1112172923776988</c:v>
                </c:pt>
                <c:pt idx="6">
                  <c:v>12.711695108077301</c:v>
                </c:pt>
                <c:pt idx="7">
                  <c:v>11.5838907849829</c:v>
                </c:pt>
                <c:pt idx="8">
                  <c:v>9.6282821387940807</c:v>
                </c:pt>
                <c:pt idx="9">
                  <c:v>7.7165870307167195</c:v>
                </c:pt>
                <c:pt idx="10">
                  <c:v>7.9955858930602899</c:v>
                </c:pt>
                <c:pt idx="11">
                  <c:v>6.5721956769055696</c:v>
                </c:pt>
                <c:pt idx="12">
                  <c:v>4.9614562002275298</c:v>
                </c:pt>
                <c:pt idx="13">
                  <c:v>5.28878270762229</c:v>
                </c:pt>
                <c:pt idx="14">
                  <c:v>4.1946302616609703</c:v>
                </c:pt>
                <c:pt idx="15">
                  <c:v>4.8</c:v>
                </c:pt>
              </c:numCache>
            </c:numRef>
          </c:yVal>
          <c:smooth val="0"/>
          <c:extLst>
            <c:ext xmlns:c16="http://schemas.microsoft.com/office/drawing/2014/chart" uri="{C3380CC4-5D6E-409C-BE32-E72D297353CC}">
              <c16:uniqueId val="{00000000-DB6C-4BCC-AD44-000CD74E1F22}"/>
            </c:ext>
          </c:extLst>
        </c:ser>
        <c:ser>
          <c:idx val="1"/>
          <c:order val="1"/>
          <c:spPr>
            <a:ln w="12700" cap="rnd">
              <a:solidFill>
                <a:schemeClr val="accent2">
                  <a:alpha val="60000"/>
                </a:schemeClr>
              </a:solidFill>
              <a:round/>
            </a:ln>
            <a:effectLst/>
          </c:spPr>
          <c:marker>
            <c:symbol val="circle"/>
            <c:size val="4"/>
            <c:spPr>
              <a:solidFill>
                <a:schemeClr val="lt1"/>
              </a:solidFill>
              <a:ln w="25400">
                <a:solidFill>
                  <a:schemeClr val="accent2">
                    <a:alpha val="60000"/>
                  </a:schemeClr>
                </a:solidFill>
              </a:ln>
              <a:effectLst/>
            </c:spPr>
          </c:marker>
          <c:xVal>
            <c:numRef>
              <c:f>'MODIS vs In-Situ'!$A$162:$A$177</c:f>
              <c:numCache>
                <c:formatCode>[$-409]d\-mmm\-yy;@</c:formatCode>
                <c:ptCount val="16"/>
                <c:pt idx="0">
                  <c:v>44373</c:v>
                </c:pt>
                <c:pt idx="1">
                  <c:v>44381</c:v>
                </c:pt>
                <c:pt idx="2">
                  <c:v>44389</c:v>
                </c:pt>
                <c:pt idx="3">
                  <c:v>44397</c:v>
                </c:pt>
                <c:pt idx="4">
                  <c:v>44405</c:v>
                </c:pt>
                <c:pt idx="5">
                  <c:v>44413</c:v>
                </c:pt>
                <c:pt idx="6">
                  <c:v>44421</c:v>
                </c:pt>
                <c:pt idx="7">
                  <c:v>44429</c:v>
                </c:pt>
                <c:pt idx="8">
                  <c:v>44437</c:v>
                </c:pt>
                <c:pt idx="9">
                  <c:v>44445</c:v>
                </c:pt>
                <c:pt idx="10">
                  <c:v>44453</c:v>
                </c:pt>
                <c:pt idx="11">
                  <c:v>44461</c:v>
                </c:pt>
                <c:pt idx="12">
                  <c:v>44469</c:v>
                </c:pt>
                <c:pt idx="13">
                  <c:v>44477</c:v>
                </c:pt>
                <c:pt idx="14">
                  <c:v>44485</c:v>
                </c:pt>
                <c:pt idx="15">
                  <c:v>44493</c:v>
                </c:pt>
              </c:numCache>
            </c:numRef>
          </c:xVal>
          <c:yVal>
            <c:numRef>
              <c:f>'MODIS vs In-Situ'!$D$162:$D$177</c:f>
              <c:numCache>
                <c:formatCode>0.00</c:formatCode>
                <c:ptCount val="16"/>
                <c:pt idx="0">
                  <c:v>42.035181795918362</c:v>
                </c:pt>
                <c:pt idx="1">
                  <c:v>31.056705551020411</c:v>
                </c:pt>
                <c:pt idx="2">
                  <c:v>40.20494326530612</c:v>
                </c:pt>
                <c:pt idx="3">
                  <c:v>40.673434775510209</c:v>
                </c:pt>
                <c:pt idx="4">
                  <c:v>39.479390448979586</c:v>
                </c:pt>
                <c:pt idx="5">
                  <c:v>36.010392632653058</c:v>
                </c:pt>
                <c:pt idx="6">
                  <c:v>40.405452367346932</c:v>
                </c:pt>
                <c:pt idx="7">
                  <c:v>40.13907640816327</c:v>
                </c:pt>
                <c:pt idx="8">
                  <c:v>31.63058934693877</c:v>
                </c:pt>
                <c:pt idx="9">
                  <c:v>39.309140510204081</c:v>
                </c:pt>
                <c:pt idx="10">
                  <c:v>35.964490367346933</c:v>
                </c:pt>
                <c:pt idx="11">
                  <c:v>37.009886673469381</c:v>
                </c:pt>
                <c:pt idx="12">
                  <c:v>28.111714979591834</c:v>
                </c:pt>
                <c:pt idx="13">
                  <c:v>22.388719142857138</c:v>
                </c:pt>
                <c:pt idx="14">
                  <c:v>22.331619999999997</c:v>
                </c:pt>
                <c:pt idx="15">
                  <c:v>18.671743673469383</c:v>
                </c:pt>
              </c:numCache>
            </c:numRef>
          </c:yVal>
          <c:smooth val="0"/>
          <c:extLst>
            <c:ext xmlns:c16="http://schemas.microsoft.com/office/drawing/2014/chart" uri="{C3380CC4-5D6E-409C-BE32-E72D297353CC}">
              <c16:uniqueId val="{00000001-DB6C-4BCC-AD44-000CD74E1F22}"/>
            </c:ext>
          </c:extLst>
        </c:ser>
        <c:dLbls>
          <c:showLegendKey val="0"/>
          <c:showVal val="0"/>
          <c:showCatName val="0"/>
          <c:showSerName val="0"/>
          <c:showPercent val="0"/>
          <c:showBubbleSize val="0"/>
        </c:dLbls>
        <c:axId val="1125916479"/>
        <c:axId val="1125912159"/>
      </c:scatterChart>
      <c:valAx>
        <c:axId val="1125916479"/>
        <c:scaling>
          <c:orientation val="minMax"/>
        </c:scaling>
        <c:delete val="0"/>
        <c:axPos val="b"/>
        <c:majorGridlines>
          <c:spPr>
            <a:ln w="9525" cap="flat" cmpd="sng" algn="ctr">
              <a:solidFill>
                <a:schemeClr val="tx1">
                  <a:lumMod val="15000"/>
                  <a:lumOff val="85000"/>
                </a:schemeClr>
              </a:solidFill>
              <a:round/>
            </a:ln>
            <a:effectLst/>
          </c:spPr>
        </c:majorGridlines>
        <c:numFmt formatCode="[$-409]d\-mmm\-yy;@" sourceLinked="1"/>
        <c:majorTickMark val="none"/>
        <c:minorTickMark val="none"/>
        <c:tickLblPos val="nextTo"/>
        <c:spPr>
          <a:noFill/>
          <a:ln>
            <a:solidFill>
              <a:schemeClr val="tx1">
                <a:lumMod val="25000"/>
                <a:lumOff val="75000"/>
              </a:schemeClr>
            </a:solidFill>
          </a:ln>
          <a:effectLst/>
        </c:spPr>
        <c:txPr>
          <a:bodyPr rot="-5400000" spcFirstLastPara="1" vertOverflow="ellipsis"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1125912159"/>
        <c:crosses val="autoZero"/>
        <c:crossBetween val="midCat"/>
      </c:valAx>
      <c:valAx>
        <c:axId val="1125912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112591647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6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06568409718016E-2"/>
          <c:y val="6.3191640518619377E-2"/>
          <c:w val="0.90297462817147855"/>
          <c:h val="0.55751524480492576"/>
        </c:manualLayout>
      </c:layout>
      <c:scatterChart>
        <c:scatterStyle val="lineMarker"/>
        <c:varyColors val="0"/>
        <c:ser>
          <c:idx val="0"/>
          <c:order val="0"/>
          <c:tx>
            <c:strRef>
              <c:f>'MODIS vs In-Situ'!$C$1</c:f>
              <c:strCache>
                <c:ptCount val="1"/>
                <c:pt idx="0">
                  <c:v>MODIS16A2 - ET</c:v>
                </c:pt>
              </c:strCache>
            </c:strRef>
          </c:tx>
          <c:spPr>
            <a:ln w="12700" cap="rnd">
              <a:solidFill>
                <a:schemeClr val="accent1">
                  <a:alpha val="60000"/>
                </a:schemeClr>
              </a:solidFill>
              <a:round/>
            </a:ln>
            <a:effectLst/>
          </c:spPr>
          <c:marker>
            <c:symbol val="circle"/>
            <c:size val="4"/>
            <c:spPr>
              <a:solidFill>
                <a:schemeClr val="lt1"/>
              </a:solidFill>
              <a:ln w="25400">
                <a:solidFill>
                  <a:schemeClr val="accent1">
                    <a:alpha val="60000"/>
                  </a:schemeClr>
                </a:solidFill>
              </a:ln>
              <a:effectLst/>
            </c:spPr>
          </c:marker>
          <c:xVal>
            <c:numRef>
              <c:f>'MODIS vs In-Situ'!$A$183:$A$203</c:f>
              <c:numCache>
                <c:formatCode>[$-409]d\-mmm\-yy;@</c:formatCode>
                <c:ptCount val="21"/>
                <c:pt idx="0">
                  <c:v>44541</c:v>
                </c:pt>
                <c:pt idx="1">
                  <c:v>44549</c:v>
                </c:pt>
                <c:pt idx="2">
                  <c:v>44557</c:v>
                </c:pt>
                <c:pt idx="3">
                  <c:v>44562</c:v>
                </c:pt>
                <c:pt idx="4">
                  <c:v>44570</c:v>
                </c:pt>
                <c:pt idx="5">
                  <c:v>44578</c:v>
                </c:pt>
                <c:pt idx="6">
                  <c:v>44586</c:v>
                </c:pt>
                <c:pt idx="7">
                  <c:v>44594</c:v>
                </c:pt>
                <c:pt idx="8">
                  <c:v>44602</c:v>
                </c:pt>
                <c:pt idx="9">
                  <c:v>44610</c:v>
                </c:pt>
                <c:pt idx="10">
                  <c:v>44618</c:v>
                </c:pt>
                <c:pt idx="11">
                  <c:v>44626</c:v>
                </c:pt>
                <c:pt idx="12">
                  <c:v>44634</c:v>
                </c:pt>
                <c:pt idx="13">
                  <c:v>44642</c:v>
                </c:pt>
                <c:pt idx="14">
                  <c:v>44650</c:v>
                </c:pt>
                <c:pt idx="15">
                  <c:v>44658</c:v>
                </c:pt>
                <c:pt idx="16">
                  <c:v>44666</c:v>
                </c:pt>
                <c:pt idx="17">
                  <c:v>44674</c:v>
                </c:pt>
                <c:pt idx="18">
                  <c:v>44682</c:v>
                </c:pt>
                <c:pt idx="19">
                  <c:v>44690</c:v>
                </c:pt>
                <c:pt idx="20">
                  <c:v>44698</c:v>
                </c:pt>
              </c:numCache>
            </c:numRef>
          </c:xVal>
          <c:yVal>
            <c:numRef>
              <c:f>'MODIS vs In-Situ'!$C$183:$C$203</c:f>
              <c:numCache>
                <c:formatCode>General</c:formatCode>
                <c:ptCount val="21"/>
                <c:pt idx="0">
                  <c:v>6.8</c:v>
                </c:pt>
                <c:pt idx="1">
                  <c:v>7.1721956769055693</c:v>
                </c:pt>
                <c:pt idx="2">
                  <c:v>4.4502389078498199</c:v>
                </c:pt>
                <c:pt idx="3">
                  <c:v>6.7834129692832708</c:v>
                </c:pt>
                <c:pt idx="4">
                  <c:v>7.6838907849829301</c:v>
                </c:pt>
                <c:pt idx="5">
                  <c:v>8.9619340159271896</c:v>
                </c:pt>
                <c:pt idx="6">
                  <c:v>10.1063253697383</c:v>
                </c:pt>
                <c:pt idx="7">
                  <c:v>11.8165870307167</c:v>
                </c:pt>
                <c:pt idx="8">
                  <c:v>9.9605005688282109</c:v>
                </c:pt>
                <c:pt idx="9">
                  <c:v>10.338543799772399</c:v>
                </c:pt>
                <c:pt idx="10">
                  <c:v>11.2336518771331</c:v>
                </c:pt>
                <c:pt idx="11">
                  <c:v>11.922434584755401</c:v>
                </c:pt>
                <c:pt idx="12">
                  <c:v>13.8785210466439</c:v>
                </c:pt>
                <c:pt idx="13">
                  <c:v>12.795108077360599</c:v>
                </c:pt>
                <c:pt idx="14">
                  <c:v>10.917064846416299</c:v>
                </c:pt>
                <c:pt idx="15">
                  <c:v>7.1780432309442501</c:v>
                </c:pt>
                <c:pt idx="16">
                  <c:v>7.2004778156996592</c:v>
                </c:pt>
                <c:pt idx="17">
                  <c:v>3.8834129692832695</c:v>
                </c:pt>
                <c:pt idx="18">
                  <c:v>4.8946302616609696</c:v>
                </c:pt>
                <c:pt idx="19">
                  <c:v>4.7663481228668898</c:v>
                </c:pt>
                <c:pt idx="20">
                  <c:v>3.7443913538111402</c:v>
                </c:pt>
              </c:numCache>
            </c:numRef>
          </c:yVal>
          <c:smooth val="0"/>
          <c:extLst>
            <c:ext xmlns:c16="http://schemas.microsoft.com/office/drawing/2014/chart" uri="{C3380CC4-5D6E-409C-BE32-E72D297353CC}">
              <c16:uniqueId val="{00000000-E26D-4FBD-9938-7BFC3D428E24}"/>
            </c:ext>
          </c:extLst>
        </c:ser>
        <c:ser>
          <c:idx val="1"/>
          <c:order val="1"/>
          <c:tx>
            <c:strRef>
              <c:f>'MODIS vs In-Situ'!$D$1</c:f>
              <c:strCache>
                <c:ptCount val="1"/>
                <c:pt idx="0">
                  <c:v>In-Situ</c:v>
                </c:pt>
              </c:strCache>
            </c:strRef>
          </c:tx>
          <c:spPr>
            <a:ln w="12700" cap="rnd">
              <a:solidFill>
                <a:schemeClr val="accent2">
                  <a:alpha val="60000"/>
                </a:schemeClr>
              </a:solidFill>
              <a:round/>
            </a:ln>
            <a:effectLst/>
          </c:spPr>
          <c:marker>
            <c:symbol val="circle"/>
            <c:size val="4"/>
            <c:spPr>
              <a:solidFill>
                <a:schemeClr val="lt1"/>
              </a:solidFill>
              <a:ln w="25400">
                <a:solidFill>
                  <a:schemeClr val="accent2">
                    <a:alpha val="60000"/>
                  </a:schemeClr>
                </a:solidFill>
              </a:ln>
              <a:effectLst/>
            </c:spPr>
          </c:marker>
          <c:xVal>
            <c:numRef>
              <c:f>'MODIS vs In-Situ'!$A$183:$A$203</c:f>
              <c:numCache>
                <c:formatCode>[$-409]d\-mmm\-yy;@</c:formatCode>
                <c:ptCount val="21"/>
                <c:pt idx="0">
                  <c:v>44541</c:v>
                </c:pt>
                <c:pt idx="1">
                  <c:v>44549</c:v>
                </c:pt>
                <c:pt idx="2">
                  <c:v>44557</c:v>
                </c:pt>
                <c:pt idx="3">
                  <c:v>44562</c:v>
                </c:pt>
                <c:pt idx="4">
                  <c:v>44570</c:v>
                </c:pt>
                <c:pt idx="5">
                  <c:v>44578</c:v>
                </c:pt>
                <c:pt idx="6">
                  <c:v>44586</c:v>
                </c:pt>
                <c:pt idx="7">
                  <c:v>44594</c:v>
                </c:pt>
                <c:pt idx="8">
                  <c:v>44602</c:v>
                </c:pt>
                <c:pt idx="9">
                  <c:v>44610</c:v>
                </c:pt>
                <c:pt idx="10">
                  <c:v>44618</c:v>
                </c:pt>
                <c:pt idx="11">
                  <c:v>44626</c:v>
                </c:pt>
                <c:pt idx="12">
                  <c:v>44634</c:v>
                </c:pt>
                <c:pt idx="13">
                  <c:v>44642</c:v>
                </c:pt>
                <c:pt idx="14">
                  <c:v>44650</c:v>
                </c:pt>
                <c:pt idx="15">
                  <c:v>44658</c:v>
                </c:pt>
                <c:pt idx="16">
                  <c:v>44666</c:v>
                </c:pt>
                <c:pt idx="17">
                  <c:v>44674</c:v>
                </c:pt>
                <c:pt idx="18">
                  <c:v>44682</c:v>
                </c:pt>
                <c:pt idx="19">
                  <c:v>44690</c:v>
                </c:pt>
                <c:pt idx="20">
                  <c:v>44698</c:v>
                </c:pt>
              </c:numCache>
            </c:numRef>
          </c:xVal>
          <c:yVal>
            <c:numRef>
              <c:f>'MODIS vs In-Situ'!$D$183:$D$203</c:f>
              <c:numCache>
                <c:formatCode>0.00</c:formatCode>
                <c:ptCount val="21"/>
                <c:pt idx="0">
                  <c:v>14.233272298542271</c:v>
                </c:pt>
                <c:pt idx="1">
                  <c:v>9.6298931510204078</c:v>
                </c:pt>
                <c:pt idx="2">
                  <c:v>7.9311459295918354</c:v>
                </c:pt>
                <c:pt idx="3">
                  <c:v>3.6658435714285709</c:v>
                </c:pt>
                <c:pt idx="4">
                  <c:v>10.753822888775511</c:v>
                </c:pt>
                <c:pt idx="5">
                  <c:v>9.3548595236734684</c:v>
                </c:pt>
                <c:pt idx="6">
                  <c:v>11.037855850714285</c:v>
                </c:pt>
                <c:pt idx="7">
                  <c:v>10.370197376734692</c:v>
                </c:pt>
                <c:pt idx="8">
                  <c:v>15.982000000000003</c:v>
                </c:pt>
                <c:pt idx="9">
                  <c:v>12.501000000000001</c:v>
                </c:pt>
                <c:pt idx="10">
                  <c:v>19.689</c:v>
                </c:pt>
                <c:pt idx="11">
                  <c:v>25.6</c:v>
                </c:pt>
                <c:pt idx="12">
                  <c:v>21.846</c:v>
                </c:pt>
                <c:pt idx="13">
                  <c:v>23.443000000000001</c:v>
                </c:pt>
                <c:pt idx="14">
                  <c:v>24.319999999999997</c:v>
                </c:pt>
                <c:pt idx="15">
                  <c:v>33.576000000000001</c:v>
                </c:pt>
                <c:pt idx="16">
                  <c:v>32.073000000000008</c:v>
                </c:pt>
                <c:pt idx="17">
                  <c:v>32.080000000000005</c:v>
                </c:pt>
                <c:pt idx="18">
                  <c:v>29.334000000000003</c:v>
                </c:pt>
                <c:pt idx="19">
                  <c:v>14.704999999999998</c:v>
                </c:pt>
                <c:pt idx="20">
                  <c:v>6.4280000000000026</c:v>
                </c:pt>
              </c:numCache>
            </c:numRef>
          </c:yVal>
          <c:smooth val="0"/>
          <c:extLst>
            <c:ext xmlns:c16="http://schemas.microsoft.com/office/drawing/2014/chart" uri="{C3380CC4-5D6E-409C-BE32-E72D297353CC}">
              <c16:uniqueId val="{00000001-E26D-4FBD-9938-7BFC3D428E24}"/>
            </c:ext>
          </c:extLst>
        </c:ser>
        <c:dLbls>
          <c:showLegendKey val="0"/>
          <c:showVal val="0"/>
          <c:showCatName val="0"/>
          <c:showSerName val="0"/>
          <c:showPercent val="0"/>
          <c:showBubbleSize val="0"/>
        </c:dLbls>
        <c:axId val="1125916479"/>
        <c:axId val="1125912159"/>
      </c:scatterChart>
      <c:valAx>
        <c:axId val="1125916479"/>
        <c:scaling>
          <c:orientation val="minMax"/>
        </c:scaling>
        <c:delete val="0"/>
        <c:axPos val="b"/>
        <c:majorGridlines>
          <c:spPr>
            <a:ln w="9525" cap="flat" cmpd="sng" algn="ctr">
              <a:solidFill>
                <a:schemeClr val="tx1">
                  <a:lumMod val="15000"/>
                  <a:lumOff val="85000"/>
                </a:schemeClr>
              </a:solidFill>
              <a:round/>
            </a:ln>
            <a:effectLst/>
          </c:spPr>
        </c:majorGridlines>
        <c:numFmt formatCode="[$-409]d\-mmm\-yy;@" sourceLinked="1"/>
        <c:majorTickMark val="none"/>
        <c:minorTickMark val="none"/>
        <c:tickLblPos val="nextTo"/>
        <c:spPr>
          <a:noFill/>
          <a:ln>
            <a:solidFill>
              <a:schemeClr val="tx1">
                <a:lumMod val="25000"/>
                <a:lumOff val="75000"/>
              </a:schemeClr>
            </a:solidFill>
          </a:ln>
          <a:effectLst/>
        </c:spPr>
        <c:txPr>
          <a:bodyPr rot="-5400000" spcFirstLastPara="1" vertOverflow="ellipsis"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1125912159"/>
        <c:crosses val="autoZero"/>
        <c:crossBetween val="midCat"/>
      </c:valAx>
      <c:valAx>
        <c:axId val="1125912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112591647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6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331772717599488E-2"/>
          <c:y val="4.2772939557340441E-2"/>
          <c:w val="0.93284840746258069"/>
          <c:h val="0.60075142369605905"/>
        </c:manualLayout>
      </c:layout>
      <c:scatterChart>
        <c:scatterStyle val="lineMarker"/>
        <c:varyColors val="0"/>
        <c:ser>
          <c:idx val="0"/>
          <c:order val="0"/>
          <c:tx>
            <c:strRef>
              <c:f>'WaPOR vs In-situ'!$B$1</c:f>
              <c:strCache>
                <c:ptCount val="1"/>
                <c:pt idx="0">
                  <c:v>WaPOR - ET</c:v>
                </c:pt>
              </c:strCache>
            </c:strRef>
          </c:tx>
          <c:spPr>
            <a:ln w="12700" cap="rnd">
              <a:solidFill>
                <a:schemeClr val="accent1">
                  <a:alpha val="60000"/>
                </a:schemeClr>
              </a:solidFill>
              <a:round/>
            </a:ln>
            <a:effectLst/>
          </c:spPr>
          <c:marker>
            <c:symbol val="circle"/>
            <c:size val="4"/>
            <c:spPr>
              <a:solidFill>
                <a:schemeClr val="lt1"/>
              </a:solidFill>
              <a:ln w="25400">
                <a:solidFill>
                  <a:schemeClr val="accent1">
                    <a:alpha val="60000"/>
                  </a:schemeClr>
                </a:solidFill>
              </a:ln>
              <a:effectLst/>
            </c:spPr>
          </c:marker>
          <c:xVal>
            <c:numRef>
              <c:f>'WaPOR vs In-situ'!$A$72:$A$86</c:f>
              <c:numCache>
                <c:formatCode>[$-409]d\-mmm\-yy;@</c:formatCode>
                <c:ptCount val="15"/>
                <c:pt idx="0">
                  <c:v>43810</c:v>
                </c:pt>
                <c:pt idx="1">
                  <c:v>43820</c:v>
                </c:pt>
                <c:pt idx="2">
                  <c:v>43831</c:v>
                </c:pt>
                <c:pt idx="3">
                  <c:v>43841</c:v>
                </c:pt>
                <c:pt idx="4">
                  <c:v>43851</c:v>
                </c:pt>
                <c:pt idx="5">
                  <c:v>43862</c:v>
                </c:pt>
                <c:pt idx="6">
                  <c:v>43872</c:v>
                </c:pt>
                <c:pt idx="7">
                  <c:v>43882</c:v>
                </c:pt>
                <c:pt idx="8">
                  <c:v>43891</c:v>
                </c:pt>
                <c:pt idx="9">
                  <c:v>43901</c:v>
                </c:pt>
                <c:pt idx="10">
                  <c:v>43911</c:v>
                </c:pt>
                <c:pt idx="11">
                  <c:v>43922</c:v>
                </c:pt>
                <c:pt idx="12">
                  <c:v>43932</c:v>
                </c:pt>
                <c:pt idx="13">
                  <c:v>43942</c:v>
                </c:pt>
                <c:pt idx="14">
                  <c:v>43952</c:v>
                </c:pt>
              </c:numCache>
            </c:numRef>
          </c:xVal>
          <c:yVal>
            <c:numRef>
              <c:f>'WaPOR vs In-situ'!$B$72:$B$86</c:f>
              <c:numCache>
                <c:formatCode>General</c:formatCode>
                <c:ptCount val="15"/>
                <c:pt idx="0">
                  <c:v>0.4</c:v>
                </c:pt>
                <c:pt idx="1">
                  <c:v>0.7</c:v>
                </c:pt>
                <c:pt idx="2">
                  <c:v>0.8</c:v>
                </c:pt>
                <c:pt idx="3">
                  <c:v>1.1000000000000001</c:v>
                </c:pt>
                <c:pt idx="4">
                  <c:v>1.7</c:v>
                </c:pt>
                <c:pt idx="5">
                  <c:v>2.4</c:v>
                </c:pt>
                <c:pt idx="6">
                  <c:v>2.1</c:v>
                </c:pt>
                <c:pt idx="7">
                  <c:v>2.8</c:v>
                </c:pt>
                <c:pt idx="8">
                  <c:v>3.5</c:v>
                </c:pt>
                <c:pt idx="9">
                  <c:v>3.3</c:v>
                </c:pt>
                <c:pt idx="10">
                  <c:v>4.3</c:v>
                </c:pt>
                <c:pt idx="11">
                  <c:v>3.7</c:v>
                </c:pt>
                <c:pt idx="12">
                  <c:v>2.9</c:v>
                </c:pt>
                <c:pt idx="13">
                  <c:v>2.2999999999999998</c:v>
                </c:pt>
                <c:pt idx="14">
                  <c:v>1.8</c:v>
                </c:pt>
              </c:numCache>
            </c:numRef>
          </c:yVal>
          <c:smooth val="0"/>
          <c:extLst>
            <c:ext xmlns:c16="http://schemas.microsoft.com/office/drawing/2014/chart" uri="{C3380CC4-5D6E-409C-BE32-E72D297353CC}">
              <c16:uniqueId val="{00000000-F4CA-4CDD-86ED-3BD869DBAD08}"/>
            </c:ext>
          </c:extLst>
        </c:ser>
        <c:ser>
          <c:idx val="1"/>
          <c:order val="1"/>
          <c:tx>
            <c:strRef>
              <c:f>'WaPOR vs In-situ'!$C$1</c:f>
              <c:strCache>
                <c:ptCount val="1"/>
                <c:pt idx="0">
                  <c:v>Measurment - ET</c:v>
                </c:pt>
              </c:strCache>
            </c:strRef>
          </c:tx>
          <c:spPr>
            <a:ln w="12700" cap="rnd">
              <a:solidFill>
                <a:schemeClr val="accent2">
                  <a:alpha val="60000"/>
                </a:schemeClr>
              </a:solidFill>
              <a:round/>
            </a:ln>
            <a:effectLst/>
          </c:spPr>
          <c:marker>
            <c:symbol val="circle"/>
            <c:size val="4"/>
            <c:spPr>
              <a:solidFill>
                <a:schemeClr val="lt1"/>
              </a:solidFill>
              <a:ln w="25400">
                <a:solidFill>
                  <a:schemeClr val="accent2">
                    <a:alpha val="60000"/>
                  </a:schemeClr>
                </a:solidFill>
              </a:ln>
              <a:effectLst/>
            </c:spPr>
          </c:marker>
          <c:xVal>
            <c:numRef>
              <c:f>'WaPOR vs In-situ'!$A$72:$A$86</c:f>
              <c:numCache>
                <c:formatCode>[$-409]d\-mmm\-yy;@</c:formatCode>
                <c:ptCount val="15"/>
                <c:pt idx="0">
                  <c:v>43810</c:v>
                </c:pt>
                <c:pt idx="1">
                  <c:v>43820</c:v>
                </c:pt>
                <c:pt idx="2">
                  <c:v>43831</c:v>
                </c:pt>
                <c:pt idx="3">
                  <c:v>43841</c:v>
                </c:pt>
                <c:pt idx="4">
                  <c:v>43851</c:v>
                </c:pt>
                <c:pt idx="5">
                  <c:v>43862</c:v>
                </c:pt>
                <c:pt idx="6">
                  <c:v>43872</c:v>
                </c:pt>
                <c:pt idx="7">
                  <c:v>43882</c:v>
                </c:pt>
                <c:pt idx="8">
                  <c:v>43891</c:v>
                </c:pt>
                <c:pt idx="9">
                  <c:v>43901</c:v>
                </c:pt>
                <c:pt idx="10">
                  <c:v>43911</c:v>
                </c:pt>
                <c:pt idx="11">
                  <c:v>43922</c:v>
                </c:pt>
                <c:pt idx="12">
                  <c:v>43932</c:v>
                </c:pt>
                <c:pt idx="13">
                  <c:v>43942</c:v>
                </c:pt>
                <c:pt idx="14">
                  <c:v>43952</c:v>
                </c:pt>
              </c:numCache>
            </c:numRef>
          </c:xVal>
          <c:yVal>
            <c:numRef>
              <c:f>'WaPOR vs In-situ'!$C$72:$C$86</c:f>
              <c:numCache>
                <c:formatCode>General</c:formatCode>
                <c:ptCount val="15"/>
                <c:pt idx="0">
                  <c:v>0.77332340277550993</c:v>
                </c:pt>
                <c:pt idx="1">
                  <c:v>1.019997700897959</c:v>
                </c:pt>
                <c:pt idx="2">
                  <c:v>1.4688932219666049</c:v>
                </c:pt>
                <c:pt idx="3">
                  <c:v>2.0978623616326528</c:v>
                </c:pt>
                <c:pt idx="4">
                  <c:v>1.9884815808979588</c:v>
                </c:pt>
                <c:pt idx="5">
                  <c:v>2.3659366909090909</c:v>
                </c:pt>
                <c:pt idx="6">
                  <c:v>2.4774451746894366</c:v>
                </c:pt>
                <c:pt idx="7">
                  <c:v>2.5672982921009631</c:v>
                </c:pt>
                <c:pt idx="8">
                  <c:v>3.0323618734001627</c:v>
                </c:pt>
                <c:pt idx="9">
                  <c:v>3.5181165431572898</c:v>
                </c:pt>
                <c:pt idx="10">
                  <c:v>3.2773196718249786</c:v>
                </c:pt>
                <c:pt idx="11">
                  <c:v>3.6344370195330611</c:v>
                </c:pt>
                <c:pt idx="12">
                  <c:v>2.540826898973779</c:v>
                </c:pt>
                <c:pt idx="13">
                  <c:v>2.0324454336728808</c:v>
                </c:pt>
                <c:pt idx="14">
                  <c:v>1.6663830286158361</c:v>
                </c:pt>
              </c:numCache>
            </c:numRef>
          </c:yVal>
          <c:smooth val="0"/>
          <c:extLst>
            <c:ext xmlns:c16="http://schemas.microsoft.com/office/drawing/2014/chart" uri="{C3380CC4-5D6E-409C-BE32-E72D297353CC}">
              <c16:uniqueId val="{00000001-F4CA-4CDD-86ED-3BD869DBAD08}"/>
            </c:ext>
          </c:extLst>
        </c:ser>
        <c:dLbls>
          <c:showLegendKey val="0"/>
          <c:showVal val="0"/>
          <c:showCatName val="0"/>
          <c:showSerName val="0"/>
          <c:showPercent val="0"/>
          <c:showBubbleSize val="0"/>
        </c:dLbls>
        <c:axId val="650555248"/>
        <c:axId val="650557648"/>
      </c:scatterChart>
      <c:valAx>
        <c:axId val="650555248"/>
        <c:scaling>
          <c:orientation val="minMax"/>
        </c:scaling>
        <c:delete val="0"/>
        <c:axPos val="b"/>
        <c:majorGridlines>
          <c:spPr>
            <a:ln w="9525" cap="flat" cmpd="sng" algn="ctr">
              <a:solidFill>
                <a:schemeClr val="tx1">
                  <a:lumMod val="15000"/>
                  <a:lumOff val="85000"/>
                </a:schemeClr>
              </a:solidFill>
              <a:round/>
            </a:ln>
            <a:effectLst/>
          </c:spPr>
        </c:majorGridlines>
        <c:numFmt formatCode="[$-409]d\-mmm\-yy;@" sourceLinked="1"/>
        <c:majorTickMark val="none"/>
        <c:minorTickMark val="none"/>
        <c:tickLblPos val="nextTo"/>
        <c:spPr>
          <a:noFill/>
          <a:ln>
            <a:solidFill>
              <a:schemeClr val="tx1">
                <a:lumMod val="25000"/>
                <a:lumOff val="75000"/>
              </a:schemeClr>
            </a:solidFill>
          </a:ln>
          <a:effectLst/>
        </c:spPr>
        <c:txPr>
          <a:bodyPr rot="-5400000" spcFirstLastPara="1" vertOverflow="ellipsis"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650557648"/>
        <c:crosses val="autoZero"/>
        <c:crossBetween val="midCat"/>
      </c:valAx>
      <c:valAx>
        <c:axId val="65055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650555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331772717599488E-2"/>
          <c:y val="0.17171296296296296"/>
          <c:w val="0.93284840746258069"/>
          <c:h val="0.45042475159355083"/>
        </c:manualLayout>
      </c:layout>
      <c:scatterChart>
        <c:scatterStyle val="lineMarker"/>
        <c:varyColors val="0"/>
        <c:ser>
          <c:idx val="0"/>
          <c:order val="0"/>
          <c:tx>
            <c:strRef>
              <c:f>'WaPOR vs In-situ'!$B$1</c:f>
              <c:strCache>
                <c:ptCount val="1"/>
                <c:pt idx="0">
                  <c:v>WaPOR - ET</c:v>
                </c:pt>
              </c:strCache>
            </c:strRef>
          </c:tx>
          <c:spPr>
            <a:ln w="12700" cap="rnd">
              <a:solidFill>
                <a:schemeClr val="accent1">
                  <a:alpha val="60000"/>
                </a:schemeClr>
              </a:solidFill>
              <a:round/>
            </a:ln>
            <a:effectLst/>
          </c:spPr>
          <c:marker>
            <c:symbol val="circle"/>
            <c:size val="4"/>
            <c:spPr>
              <a:solidFill>
                <a:schemeClr val="lt1"/>
              </a:solidFill>
              <a:ln w="25400">
                <a:solidFill>
                  <a:schemeClr val="accent1">
                    <a:alpha val="60000"/>
                  </a:schemeClr>
                </a:solidFill>
              </a:ln>
              <a:effectLst/>
            </c:spPr>
          </c:marker>
          <c:xVal>
            <c:numRef>
              <c:f>'WaPOR vs In-situ'!$A$94:$A$103</c:f>
              <c:numCache>
                <c:formatCode>[$-409]d\-mmm\-yy;@</c:formatCode>
                <c:ptCount val="10"/>
                <c:pt idx="0">
                  <c:v>44033</c:v>
                </c:pt>
                <c:pt idx="1">
                  <c:v>44044</c:v>
                </c:pt>
                <c:pt idx="2">
                  <c:v>44054</c:v>
                </c:pt>
                <c:pt idx="3">
                  <c:v>44064</c:v>
                </c:pt>
                <c:pt idx="4">
                  <c:v>44075</c:v>
                </c:pt>
                <c:pt idx="5">
                  <c:v>44085</c:v>
                </c:pt>
                <c:pt idx="6">
                  <c:v>44095</c:v>
                </c:pt>
                <c:pt idx="7">
                  <c:v>44105</c:v>
                </c:pt>
                <c:pt idx="8">
                  <c:v>44115</c:v>
                </c:pt>
                <c:pt idx="9">
                  <c:v>44125</c:v>
                </c:pt>
              </c:numCache>
            </c:numRef>
          </c:xVal>
          <c:yVal>
            <c:numRef>
              <c:f>'WaPOR vs In-situ'!$B$94:$B$103</c:f>
              <c:numCache>
                <c:formatCode>General</c:formatCode>
                <c:ptCount val="10"/>
                <c:pt idx="0">
                  <c:v>1.3</c:v>
                </c:pt>
                <c:pt idx="1">
                  <c:v>1.9</c:v>
                </c:pt>
                <c:pt idx="2">
                  <c:v>3</c:v>
                </c:pt>
                <c:pt idx="3">
                  <c:v>4</c:v>
                </c:pt>
                <c:pt idx="4">
                  <c:v>4.8</c:v>
                </c:pt>
                <c:pt idx="5">
                  <c:v>5.0999999999999996</c:v>
                </c:pt>
                <c:pt idx="6">
                  <c:v>4.7</c:v>
                </c:pt>
                <c:pt idx="7">
                  <c:v>4.3</c:v>
                </c:pt>
                <c:pt idx="8">
                  <c:v>3.7</c:v>
                </c:pt>
                <c:pt idx="9">
                  <c:v>2.6</c:v>
                </c:pt>
              </c:numCache>
            </c:numRef>
          </c:yVal>
          <c:smooth val="0"/>
          <c:extLst>
            <c:ext xmlns:c16="http://schemas.microsoft.com/office/drawing/2014/chart" uri="{C3380CC4-5D6E-409C-BE32-E72D297353CC}">
              <c16:uniqueId val="{00000000-70A4-47E4-AED3-AE94FF8B7460}"/>
            </c:ext>
          </c:extLst>
        </c:ser>
        <c:ser>
          <c:idx val="1"/>
          <c:order val="1"/>
          <c:tx>
            <c:strRef>
              <c:f>'WaPOR vs In-situ'!$C$1</c:f>
              <c:strCache>
                <c:ptCount val="1"/>
                <c:pt idx="0">
                  <c:v>Measurment - ET</c:v>
                </c:pt>
              </c:strCache>
            </c:strRef>
          </c:tx>
          <c:spPr>
            <a:ln w="12700" cap="rnd">
              <a:solidFill>
                <a:schemeClr val="accent2">
                  <a:alpha val="60000"/>
                </a:schemeClr>
              </a:solidFill>
              <a:round/>
            </a:ln>
            <a:effectLst/>
          </c:spPr>
          <c:marker>
            <c:symbol val="circle"/>
            <c:size val="4"/>
            <c:spPr>
              <a:solidFill>
                <a:schemeClr val="lt1"/>
              </a:solidFill>
              <a:ln w="25400">
                <a:solidFill>
                  <a:schemeClr val="accent2">
                    <a:alpha val="60000"/>
                  </a:schemeClr>
                </a:solidFill>
              </a:ln>
              <a:effectLst/>
            </c:spPr>
          </c:marker>
          <c:xVal>
            <c:numRef>
              <c:f>'WaPOR vs In-situ'!$A$94:$A$103</c:f>
              <c:numCache>
                <c:formatCode>[$-409]d\-mmm\-yy;@</c:formatCode>
                <c:ptCount val="10"/>
                <c:pt idx="0">
                  <c:v>44033</c:v>
                </c:pt>
                <c:pt idx="1">
                  <c:v>44044</c:v>
                </c:pt>
                <c:pt idx="2">
                  <c:v>44054</c:v>
                </c:pt>
                <c:pt idx="3">
                  <c:v>44064</c:v>
                </c:pt>
                <c:pt idx="4">
                  <c:v>44075</c:v>
                </c:pt>
                <c:pt idx="5">
                  <c:v>44085</c:v>
                </c:pt>
                <c:pt idx="6">
                  <c:v>44095</c:v>
                </c:pt>
                <c:pt idx="7">
                  <c:v>44105</c:v>
                </c:pt>
                <c:pt idx="8">
                  <c:v>44115</c:v>
                </c:pt>
                <c:pt idx="9">
                  <c:v>44125</c:v>
                </c:pt>
              </c:numCache>
            </c:numRef>
          </c:xVal>
          <c:yVal>
            <c:numRef>
              <c:f>'WaPOR vs In-situ'!$C$94:$C$103</c:f>
              <c:numCache>
                <c:formatCode>General</c:formatCode>
                <c:ptCount val="10"/>
                <c:pt idx="0">
                  <c:v>4.0127142857142859</c:v>
                </c:pt>
                <c:pt idx="1">
                  <c:v>2.3400000000000003</c:v>
                </c:pt>
                <c:pt idx="2">
                  <c:v>2.3066666666666666</c:v>
                </c:pt>
                <c:pt idx="3">
                  <c:v>3.5945454545454552</c:v>
                </c:pt>
                <c:pt idx="4">
                  <c:v>4.1273333333333335</c:v>
                </c:pt>
                <c:pt idx="5">
                  <c:v>4.6914285714285713</c:v>
                </c:pt>
                <c:pt idx="6">
                  <c:v>3.7033333333333331</c:v>
                </c:pt>
                <c:pt idx="7">
                  <c:v>3.7700000000000005</c:v>
                </c:pt>
                <c:pt idx="8">
                  <c:v>2.5299999999999998</c:v>
                </c:pt>
                <c:pt idx="9">
                  <c:v>1.6572727272727277</c:v>
                </c:pt>
              </c:numCache>
            </c:numRef>
          </c:yVal>
          <c:smooth val="0"/>
          <c:extLst>
            <c:ext xmlns:c16="http://schemas.microsoft.com/office/drawing/2014/chart" uri="{C3380CC4-5D6E-409C-BE32-E72D297353CC}">
              <c16:uniqueId val="{00000001-70A4-47E4-AED3-AE94FF8B7460}"/>
            </c:ext>
          </c:extLst>
        </c:ser>
        <c:dLbls>
          <c:showLegendKey val="0"/>
          <c:showVal val="0"/>
          <c:showCatName val="0"/>
          <c:showSerName val="0"/>
          <c:showPercent val="0"/>
          <c:showBubbleSize val="0"/>
        </c:dLbls>
        <c:axId val="650555248"/>
        <c:axId val="650557648"/>
      </c:scatterChart>
      <c:valAx>
        <c:axId val="650555248"/>
        <c:scaling>
          <c:orientation val="minMax"/>
        </c:scaling>
        <c:delete val="0"/>
        <c:axPos val="b"/>
        <c:majorGridlines>
          <c:spPr>
            <a:ln w="9525" cap="flat" cmpd="sng" algn="ctr">
              <a:solidFill>
                <a:schemeClr val="tx1">
                  <a:lumMod val="15000"/>
                  <a:lumOff val="85000"/>
                </a:schemeClr>
              </a:solidFill>
              <a:round/>
            </a:ln>
            <a:effectLst/>
          </c:spPr>
        </c:majorGridlines>
        <c:numFmt formatCode="[$-409]d\-mmm\-yy;@" sourceLinked="1"/>
        <c:majorTickMark val="none"/>
        <c:minorTickMark val="none"/>
        <c:tickLblPos val="nextTo"/>
        <c:spPr>
          <a:noFill/>
          <a:ln>
            <a:solidFill>
              <a:schemeClr val="tx1">
                <a:lumMod val="25000"/>
                <a:lumOff val="75000"/>
              </a:schemeClr>
            </a:solidFill>
          </a:ln>
          <a:effectLst/>
        </c:spPr>
        <c:txPr>
          <a:bodyPr rot="-5400000" spcFirstLastPara="1" vertOverflow="ellipsis"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650557648"/>
        <c:crosses val="autoZero"/>
        <c:crossBetween val="midCat"/>
      </c:valAx>
      <c:valAx>
        <c:axId val="65055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650555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331772717599488E-2"/>
          <c:y val="5.6518415176161123E-2"/>
          <c:w val="0.93284840746258069"/>
          <c:h val="0.66430043063048272"/>
        </c:manualLayout>
      </c:layout>
      <c:scatterChart>
        <c:scatterStyle val="lineMarker"/>
        <c:varyColors val="0"/>
        <c:ser>
          <c:idx val="0"/>
          <c:order val="0"/>
          <c:tx>
            <c:strRef>
              <c:f>'WaPOR vs In-situ'!$B$1</c:f>
              <c:strCache>
                <c:ptCount val="1"/>
                <c:pt idx="0">
                  <c:v>WaPOR - ET</c:v>
                </c:pt>
              </c:strCache>
            </c:strRef>
          </c:tx>
          <c:spPr>
            <a:ln w="19050" cap="rnd">
              <a:solidFill>
                <a:schemeClr val="accent1">
                  <a:alpha val="60000"/>
                </a:schemeClr>
              </a:solidFill>
              <a:round/>
            </a:ln>
            <a:effectLst/>
          </c:spPr>
          <c:marker>
            <c:symbol val="circle"/>
            <c:size val="4"/>
            <c:spPr>
              <a:solidFill>
                <a:schemeClr val="lt1"/>
              </a:solidFill>
              <a:ln w="25400">
                <a:solidFill>
                  <a:schemeClr val="accent1">
                    <a:alpha val="60000"/>
                  </a:schemeClr>
                </a:solidFill>
              </a:ln>
              <a:effectLst/>
            </c:spPr>
          </c:marker>
          <c:xVal>
            <c:numRef>
              <c:f>'WaPOR vs In-situ'!$A$108:$A$122</c:f>
              <c:numCache>
                <c:formatCode>[$-409]d\-mmm\-yy;@</c:formatCode>
                <c:ptCount val="15"/>
                <c:pt idx="0">
                  <c:v>44176</c:v>
                </c:pt>
                <c:pt idx="1">
                  <c:v>44186</c:v>
                </c:pt>
                <c:pt idx="2">
                  <c:v>44197</c:v>
                </c:pt>
                <c:pt idx="3">
                  <c:v>44207</c:v>
                </c:pt>
                <c:pt idx="4">
                  <c:v>44217</c:v>
                </c:pt>
                <c:pt idx="5">
                  <c:v>44228</c:v>
                </c:pt>
                <c:pt idx="6">
                  <c:v>44238</c:v>
                </c:pt>
                <c:pt idx="7">
                  <c:v>44248</c:v>
                </c:pt>
                <c:pt idx="8">
                  <c:v>44256</c:v>
                </c:pt>
                <c:pt idx="9">
                  <c:v>44266</c:v>
                </c:pt>
                <c:pt idx="10">
                  <c:v>44276</c:v>
                </c:pt>
                <c:pt idx="11">
                  <c:v>44287</c:v>
                </c:pt>
                <c:pt idx="12">
                  <c:v>44297</c:v>
                </c:pt>
                <c:pt idx="13">
                  <c:v>44307</c:v>
                </c:pt>
                <c:pt idx="14">
                  <c:v>44317</c:v>
                </c:pt>
              </c:numCache>
            </c:numRef>
          </c:xVal>
          <c:yVal>
            <c:numRef>
              <c:f>'WaPOR vs In-situ'!$B$108:$B$122</c:f>
              <c:numCache>
                <c:formatCode>General</c:formatCode>
                <c:ptCount val="15"/>
                <c:pt idx="0">
                  <c:v>0.8</c:v>
                </c:pt>
                <c:pt idx="1">
                  <c:v>0.9</c:v>
                </c:pt>
                <c:pt idx="2">
                  <c:v>0.9</c:v>
                </c:pt>
                <c:pt idx="3">
                  <c:v>1.7</c:v>
                </c:pt>
                <c:pt idx="4">
                  <c:v>2</c:v>
                </c:pt>
                <c:pt idx="5">
                  <c:v>2.5</c:v>
                </c:pt>
                <c:pt idx="6">
                  <c:v>2.2000000000000002</c:v>
                </c:pt>
                <c:pt idx="7">
                  <c:v>2.6</c:v>
                </c:pt>
                <c:pt idx="8">
                  <c:v>3.8</c:v>
                </c:pt>
                <c:pt idx="9">
                  <c:v>3.6</c:v>
                </c:pt>
                <c:pt idx="10">
                  <c:v>3.9</c:v>
                </c:pt>
                <c:pt idx="11">
                  <c:v>3.4</c:v>
                </c:pt>
                <c:pt idx="12">
                  <c:v>3</c:v>
                </c:pt>
                <c:pt idx="13">
                  <c:v>2.2000000000000002</c:v>
                </c:pt>
                <c:pt idx="14">
                  <c:v>2.2000000000000002</c:v>
                </c:pt>
              </c:numCache>
            </c:numRef>
          </c:yVal>
          <c:smooth val="0"/>
          <c:extLst>
            <c:ext xmlns:c16="http://schemas.microsoft.com/office/drawing/2014/chart" uri="{C3380CC4-5D6E-409C-BE32-E72D297353CC}">
              <c16:uniqueId val="{00000000-8BEA-4715-A87D-3B6767DE8965}"/>
            </c:ext>
          </c:extLst>
        </c:ser>
        <c:ser>
          <c:idx val="1"/>
          <c:order val="1"/>
          <c:tx>
            <c:strRef>
              <c:f>'WaPOR vs In-situ'!$C$1</c:f>
              <c:strCache>
                <c:ptCount val="1"/>
                <c:pt idx="0">
                  <c:v>Measurment - ET</c:v>
                </c:pt>
              </c:strCache>
            </c:strRef>
          </c:tx>
          <c:spPr>
            <a:ln w="19050" cap="rnd">
              <a:solidFill>
                <a:schemeClr val="accent2">
                  <a:alpha val="60000"/>
                </a:schemeClr>
              </a:solidFill>
              <a:round/>
            </a:ln>
            <a:effectLst/>
          </c:spPr>
          <c:marker>
            <c:symbol val="circle"/>
            <c:size val="4"/>
            <c:spPr>
              <a:solidFill>
                <a:schemeClr val="lt1"/>
              </a:solidFill>
              <a:ln w="25400">
                <a:solidFill>
                  <a:schemeClr val="accent2">
                    <a:alpha val="55000"/>
                  </a:schemeClr>
                </a:solidFill>
              </a:ln>
              <a:effectLst/>
            </c:spPr>
          </c:marker>
          <c:xVal>
            <c:numRef>
              <c:f>'WaPOR vs In-situ'!$A$108:$A$123</c:f>
              <c:numCache>
                <c:formatCode>[$-409]d\-mmm\-yy;@</c:formatCode>
                <c:ptCount val="16"/>
                <c:pt idx="0">
                  <c:v>44176</c:v>
                </c:pt>
                <c:pt idx="1">
                  <c:v>44186</c:v>
                </c:pt>
                <c:pt idx="2">
                  <c:v>44197</c:v>
                </c:pt>
                <c:pt idx="3">
                  <c:v>44207</c:v>
                </c:pt>
                <c:pt idx="4">
                  <c:v>44217</c:v>
                </c:pt>
                <c:pt idx="5">
                  <c:v>44228</c:v>
                </c:pt>
                <c:pt idx="6">
                  <c:v>44238</c:v>
                </c:pt>
                <c:pt idx="7">
                  <c:v>44248</c:v>
                </c:pt>
                <c:pt idx="8">
                  <c:v>44256</c:v>
                </c:pt>
                <c:pt idx="9">
                  <c:v>44266</c:v>
                </c:pt>
                <c:pt idx="10">
                  <c:v>44276</c:v>
                </c:pt>
                <c:pt idx="11">
                  <c:v>44287</c:v>
                </c:pt>
                <c:pt idx="12">
                  <c:v>44297</c:v>
                </c:pt>
                <c:pt idx="13">
                  <c:v>44307</c:v>
                </c:pt>
                <c:pt idx="14">
                  <c:v>44317</c:v>
                </c:pt>
                <c:pt idx="15">
                  <c:v>44327</c:v>
                </c:pt>
              </c:numCache>
            </c:numRef>
          </c:xVal>
          <c:yVal>
            <c:numRef>
              <c:f>'WaPOR vs In-situ'!$C$108:$C$123</c:f>
              <c:numCache>
                <c:formatCode>General</c:formatCode>
                <c:ptCount val="16"/>
                <c:pt idx="0">
                  <c:v>1.6241754107118058</c:v>
                </c:pt>
                <c:pt idx="1">
                  <c:v>1.2799975776562502</c:v>
                </c:pt>
                <c:pt idx="2">
                  <c:v>1.0800042286852909</c:v>
                </c:pt>
                <c:pt idx="3">
                  <c:v>1.1044255914409722</c:v>
                </c:pt>
                <c:pt idx="4">
                  <c:v>1.4866016464322918</c:v>
                </c:pt>
                <c:pt idx="5">
                  <c:v>1.7920241511497799</c:v>
                </c:pt>
                <c:pt idx="6">
                  <c:v>2.0982337843663199</c:v>
                </c:pt>
                <c:pt idx="7">
                  <c:v>2.2765738249739593</c:v>
                </c:pt>
                <c:pt idx="8">
                  <c:v>2.5564568084092887</c:v>
                </c:pt>
                <c:pt idx="9">
                  <c:v>3.367903336086806</c:v>
                </c:pt>
                <c:pt idx="10">
                  <c:v>3.1585830438975706</c:v>
                </c:pt>
                <c:pt idx="11">
                  <c:v>2.5600938844460228</c:v>
                </c:pt>
                <c:pt idx="12">
                  <c:v>2.8928353889322924</c:v>
                </c:pt>
                <c:pt idx="13">
                  <c:v>2.416684603654514</c:v>
                </c:pt>
                <c:pt idx="14">
                  <c:v>1.3759206880555559</c:v>
                </c:pt>
              </c:numCache>
            </c:numRef>
          </c:yVal>
          <c:smooth val="0"/>
          <c:extLst>
            <c:ext xmlns:c16="http://schemas.microsoft.com/office/drawing/2014/chart" uri="{C3380CC4-5D6E-409C-BE32-E72D297353CC}">
              <c16:uniqueId val="{00000001-8BEA-4715-A87D-3B6767DE8965}"/>
            </c:ext>
          </c:extLst>
        </c:ser>
        <c:dLbls>
          <c:showLegendKey val="0"/>
          <c:showVal val="0"/>
          <c:showCatName val="0"/>
          <c:showSerName val="0"/>
          <c:showPercent val="0"/>
          <c:showBubbleSize val="0"/>
        </c:dLbls>
        <c:axId val="650555248"/>
        <c:axId val="650557648"/>
      </c:scatterChart>
      <c:valAx>
        <c:axId val="650555248"/>
        <c:scaling>
          <c:orientation val="minMax"/>
        </c:scaling>
        <c:delete val="0"/>
        <c:axPos val="b"/>
        <c:majorGridlines>
          <c:spPr>
            <a:ln w="9525" cap="flat" cmpd="sng" algn="ctr">
              <a:solidFill>
                <a:schemeClr val="tx1">
                  <a:lumMod val="15000"/>
                  <a:lumOff val="85000"/>
                </a:schemeClr>
              </a:solidFill>
              <a:round/>
            </a:ln>
            <a:effectLst/>
          </c:spPr>
        </c:majorGridlines>
        <c:numFmt formatCode="[$-409]d\-mmm\-yy;@" sourceLinked="1"/>
        <c:majorTickMark val="none"/>
        <c:minorTickMark val="none"/>
        <c:tickLblPos val="nextTo"/>
        <c:spPr>
          <a:noFill/>
          <a:ln>
            <a:solidFill>
              <a:schemeClr val="tx1">
                <a:lumMod val="25000"/>
                <a:lumOff val="75000"/>
              </a:schemeClr>
            </a:solidFill>
          </a:ln>
          <a:effectLst/>
        </c:spPr>
        <c:txPr>
          <a:bodyPr rot="-5400000" spcFirstLastPara="1" vertOverflow="ellipsis"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650557648"/>
        <c:crosses val="autoZero"/>
        <c:crossBetween val="midCat"/>
      </c:valAx>
      <c:valAx>
        <c:axId val="65055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650555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331772717599488E-2"/>
          <c:y val="5.994665910474322E-2"/>
          <c:w val="0.88315675150406547"/>
          <c:h val="0.58311327973168214"/>
        </c:manualLayout>
      </c:layout>
      <c:scatterChart>
        <c:scatterStyle val="lineMarker"/>
        <c:varyColors val="0"/>
        <c:ser>
          <c:idx val="0"/>
          <c:order val="0"/>
          <c:tx>
            <c:strRef>
              <c:f>'WaPOR vs In-situ'!$B$1</c:f>
              <c:strCache>
                <c:ptCount val="1"/>
                <c:pt idx="0">
                  <c:v>WaPOR - ET</c:v>
                </c:pt>
              </c:strCache>
            </c:strRef>
          </c:tx>
          <c:spPr>
            <a:ln w="12700" cap="rnd">
              <a:solidFill>
                <a:schemeClr val="accent1">
                  <a:alpha val="60000"/>
                </a:schemeClr>
              </a:solidFill>
              <a:round/>
            </a:ln>
            <a:effectLst/>
          </c:spPr>
          <c:marker>
            <c:symbol val="circle"/>
            <c:size val="4"/>
            <c:spPr>
              <a:solidFill>
                <a:schemeClr val="lt1"/>
              </a:solidFill>
              <a:ln w="25400">
                <a:solidFill>
                  <a:schemeClr val="accent1">
                    <a:alpha val="60000"/>
                  </a:schemeClr>
                </a:solidFill>
              </a:ln>
              <a:effectLst/>
            </c:spPr>
          </c:marker>
          <c:xVal>
            <c:numRef>
              <c:f>'WaPOR vs In-situ'!$A$128:$A$139</c:f>
              <c:numCache>
                <c:formatCode>[$-409]d\-mmm\-yy;@</c:formatCode>
                <c:ptCount val="12"/>
                <c:pt idx="0">
                  <c:v>44378</c:v>
                </c:pt>
                <c:pt idx="1">
                  <c:v>44388</c:v>
                </c:pt>
                <c:pt idx="2">
                  <c:v>44398</c:v>
                </c:pt>
                <c:pt idx="3">
                  <c:v>44409</c:v>
                </c:pt>
                <c:pt idx="4">
                  <c:v>44419</c:v>
                </c:pt>
                <c:pt idx="5">
                  <c:v>44429</c:v>
                </c:pt>
                <c:pt idx="6">
                  <c:v>44440</c:v>
                </c:pt>
                <c:pt idx="7">
                  <c:v>44450</c:v>
                </c:pt>
                <c:pt idx="8">
                  <c:v>44460</c:v>
                </c:pt>
                <c:pt idx="9">
                  <c:v>44470</c:v>
                </c:pt>
                <c:pt idx="10">
                  <c:v>44480</c:v>
                </c:pt>
                <c:pt idx="11">
                  <c:v>44490</c:v>
                </c:pt>
              </c:numCache>
            </c:numRef>
          </c:xVal>
          <c:yVal>
            <c:numRef>
              <c:f>'WaPOR vs In-situ'!$B$128:$B$139</c:f>
              <c:numCache>
                <c:formatCode>General</c:formatCode>
                <c:ptCount val="12"/>
                <c:pt idx="0">
                  <c:v>1.7</c:v>
                </c:pt>
                <c:pt idx="1">
                  <c:v>2</c:v>
                </c:pt>
                <c:pt idx="2">
                  <c:v>2.2000000000000002</c:v>
                </c:pt>
                <c:pt idx="3">
                  <c:v>2.6</c:v>
                </c:pt>
                <c:pt idx="4">
                  <c:v>3</c:v>
                </c:pt>
                <c:pt idx="5">
                  <c:v>3.3</c:v>
                </c:pt>
                <c:pt idx="6">
                  <c:v>3.7</c:v>
                </c:pt>
                <c:pt idx="7">
                  <c:v>4</c:v>
                </c:pt>
                <c:pt idx="8">
                  <c:v>3.9</c:v>
                </c:pt>
                <c:pt idx="9">
                  <c:v>3.4</c:v>
                </c:pt>
                <c:pt idx="10">
                  <c:v>3.2</c:v>
                </c:pt>
                <c:pt idx="11">
                  <c:v>2.6</c:v>
                </c:pt>
              </c:numCache>
            </c:numRef>
          </c:yVal>
          <c:smooth val="0"/>
          <c:extLst>
            <c:ext xmlns:c16="http://schemas.microsoft.com/office/drawing/2014/chart" uri="{C3380CC4-5D6E-409C-BE32-E72D297353CC}">
              <c16:uniqueId val="{00000000-3F57-43DE-826F-E18E5E94386A}"/>
            </c:ext>
          </c:extLst>
        </c:ser>
        <c:ser>
          <c:idx val="1"/>
          <c:order val="1"/>
          <c:tx>
            <c:strRef>
              <c:f>'WaPOR vs In-situ'!$C$1</c:f>
              <c:strCache>
                <c:ptCount val="1"/>
                <c:pt idx="0">
                  <c:v>Measurment - ET</c:v>
                </c:pt>
              </c:strCache>
            </c:strRef>
          </c:tx>
          <c:spPr>
            <a:ln w="12700" cap="rnd">
              <a:solidFill>
                <a:schemeClr val="accent2">
                  <a:alpha val="60000"/>
                </a:schemeClr>
              </a:solidFill>
              <a:round/>
            </a:ln>
            <a:effectLst/>
          </c:spPr>
          <c:marker>
            <c:symbol val="circle"/>
            <c:size val="4"/>
            <c:spPr>
              <a:solidFill>
                <a:schemeClr val="lt1"/>
              </a:solidFill>
              <a:ln w="25400">
                <a:solidFill>
                  <a:schemeClr val="accent2">
                    <a:alpha val="60000"/>
                  </a:schemeClr>
                </a:solidFill>
              </a:ln>
              <a:effectLst/>
            </c:spPr>
          </c:marker>
          <c:xVal>
            <c:numRef>
              <c:f>'WaPOR vs In-situ'!$A$128:$A$139</c:f>
              <c:numCache>
                <c:formatCode>[$-409]d\-mmm\-yy;@</c:formatCode>
                <c:ptCount val="12"/>
                <c:pt idx="0">
                  <c:v>44378</c:v>
                </c:pt>
                <c:pt idx="1">
                  <c:v>44388</c:v>
                </c:pt>
                <c:pt idx="2">
                  <c:v>44398</c:v>
                </c:pt>
                <c:pt idx="3">
                  <c:v>44409</c:v>
                </c:pt>
                <c:pt idx="4">
                  <c:v>44419</c:v>
                </c:pt>
                <c:pt idx="5">
                  <c:v>44429</c:v>
                </c:pt>
                <c:pt idx="6">
                  <c:v>44440</c:v>
                </c:pt>
                <c:pt idx="7">
                  <c:v>44450</c:v>
                </c:pt>
                <c:pt idx="8">
                  <c:v>44460</c:v>
                </c:pt>
                <c:pt idx="9">
                  <c:v>44470</c:v>
                </c:pt>
                <c:pt idx="10">
                  <c:v>44480</c:v>
                </c:pt>
                <c:pt idx="11">
                  <c:v>44490</c:v>
                </c:pt>
              </c:numCache>
            </c:numRef>
          </c:xVal>
          <c:yVal>
            <c:numRef>
              <c:f>'WaPOR vs In-situ'!$C$128:$C$139</c:f>
              <c:numCache>
                <c:formatCode>General</c:formatCode>
                <c:ptCount val="12"/>
                <c:pt idx="0">
                  <c:v>4.5884470775510193</c:v>
                </c:pt>
                <c:pt idx="1">
                  <c:v>4.7222989714285699</c:v>
                </c:pt>
                <c:pt idx="2">
                  <c:v>5.051012620408164</c:v>
                </c:pt>
                <c:pt idx="3">
                  <c:v>5.0118421959183674</c:v>
                </c:pt>
                <c:pt idx="4">
                  <c:v>5.0453729469387749</c:v>
                </c:pt>
                <c:pt idx="5">
                  <c:v>5.0701069816326534</c:v>
                </c:pt>
                <c:pt idx="6">
                  <c:v>4.1889807829313543</c:v>
                </c:pt>
                <c:pt idx="7">
                  <c:v>4.7903278326530607</c:v>
                </c:pt>
                <c:pt idx="8">
                  <c:v>4.4915897061224488</c:v>
                </c:pt>
                <c:pt idx="9">
                  <c:v>3.7888948489795915</c:v>
                </c:pt>
                <c:pt idx="10">
                  <c:v>2.7940955448979587</c:v>
                </c:pt>
                <c:pt idx="11">
                  <c:v>2.6115255530612242</c:v>
                </c:pt>
              </c:numCache>
            </c:numRef>
          </c:yVal>
          <c:smooth val="0"/>
          <c:extLst>
            <c:ext xmlns:c16="http://schemas.microsoft.com/office/drawing/2014/chart" uri="{C3380CC4-5D6E-409C-BE32-E72D297353CC}">
              <c16:uniqueId val="{00000001-3F57-43DE-826F-E18E5E94386A}"/>
            </c:ext>
          </c:extLst>
        </c:ser>
        <c:dLbls>
          <c:showLegendKey val="0"/>
          <c:showVal val="0"/>
          <c:showCatName val="0"/>
          <c:showSerName val="0"/>
          <c:showPercent val="0"/>
          <c:showBubbleSize val="0"/>
        </c:dLbls>
        <c:axId val="650555248"/>
        <c:axId val="650557648"/>
      </c:scatterChart>
      <c:valAx>
        <c:axId val="650555248"/>
        <c:scaling>
          <c:orientation val="minMax"/>
        </c:scaling>
        <c:delete val="0"/>
        <c:axPos val="b"/>
        <c:majorGridlines>
          <c:spPr>
            <a:ln w="9525" cap="flat" cmpd="sng" algn="ctr">
              <a:solidFill>
                <a:schemeClr val="tx1">
                  <a:lumMod val="15000"/>
                  <a:lumOff val="85000"/>
                </a:schemeClr>
              </a:solidFill>
              <a:round/>
            </a:ln>
            <a:effectLst/>
          </c:spPr>
        </c:majorGridlines>
        <c:numFmt formatCode="[$-409]d\-mmm\-yy;@" sourceLinked="1"/>
        <c:majorTickMark val="none"/>
        <c:minorTickMark val="none"/>
        <c:tickLblPos val="nextTo"/>
        <c:spPr>
          <a:noFill/>
          <a:ln>
            <a:solidFill>
              <a:schemeClr val="tx1">
                <a:lumMod val="25000"/>
                <a:lumOff val="75000"/>
              </a:schemeClr>
            </a:solidFill>
          </a:ln>
          <a:effectLst/>
        </c:spPr>
        <c:txPr>
          <a:bodyPr rot="-5400000" spcFirstLastPara="1" vertOverflow="ellipsis"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650557648"/>
        <c:crosses val="autoZero"/>
        <c:crossBetween val="midCat"/>
      </c:valAx>
      <c:valAx>
        <c:axId val="65055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600" b="0" i="0" u="none" strike="noStrike" kern="1200" spc="20" baseline="0">
                <a:solidFill>
                  <a:schemeClr val="tx1">
                    <a:lumMod val="65000"/>
                    <a:lumOff val="35000"/>
                  </a:schemeClr>
                </a:solidFill>
                <a:latin typeface="+mn-lt"/>
                <a:ea typeface="+mn-ea"/>
                <a:cs typeface="+mn-cs"/>
              </a:defRPr>
            </a:pPr>
            <a:endParaRPr lang="en-US"/>
          </a:p>
        </c:txPr>
        <c:crossAx val="650555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'[WaPOR v3 - Decadal - 01012028-20102024 (version 1).xlsb.xlsx]MODIS vs In-Situ'!$C$91:$C$109</cx:f>
        <cx:lvl ptCount="19" formatCode="General">
          <cx:pt idx="0">6.3497610921501701</cx:pt>
          <cx:pt idx="1">4.8224345847554</cx:pt>
          <cx:pt idx="2">2.9390216154721203</cx:pt>
          <cx:pt idx="3">6.2390216154721205</cx:pt>
          <cx:pt idx="4">6.7112172923776994</cx:pt>
          <cx:pt idx="5">8.7112172923777003</cx:pt>
          <cx:pt idx="6">9.7556086461888505</cx:pt>
          <cx:pt idx="7">9.9000000000000004</cx:pt>
          <cx:pt idx="8">9.6170648464163797</cx:pt>
          <cx:pt idx="9">14.178521046643899</cx:pt>
          <cx:pt idx="10">14.157042093287799</cx:pt>
          <cx:pt idx="11">19.778043230944199</cx:pt>
          <cx:pt idx="12">16.7009556313993</cx:pt>
          <cx:pt idx="13">18.229237770193301</cx:pt>
          <cx:pt idx="14">14.167781569965801</cx:pt>
          <cx:pt idx="15">13.796541524459599</cx:pt>
          <cx:pt idx="16">7.9673037542662097</cx:pt>
          <cx:pt idx="17">9.8268486916951012</cx:pt>
          <cx:pt idx="18">6.13902161547212</cx:pt>
        </cx:lvl>
      </cx:numDim>
    </cx:data>
    <cx:data id="1">
      <cx:numDim type="val">
        <cx:f>'[WaPOR v3 - Decadal - 01012028-20102024 (version 1).xlsb.xlsx]MODIS vs In-Situ'!$D$91:$D$109</cx:f>
        <cx:lvl ptCount="19" formatCode="General">
          <cx:pt idx="0">5.7524825681632628</cx:pt>
          <cx:pt idx="1">8.592439915102041</cx:pt>
          <cx:pt idx="2">12.48087137142857</cx:pt>
          <cx:pt idx="3">6.4618387346938775</cx:pt>
          <cx:pt idx="4">17.662208341224488</cx:pt>
          <cx:pt idx="5">14.78021820244898</cx:pt>
          <cx:pt idx="6">18.834071216326524</cx:pt>
          <cx:pt idx="7">18.178839330612245</cx:pt>
          <cx:pt idx="8">20.681535441588242</cx:pt>
          <cx:pt idx="9">21.167942305418446</cx:pt>
          <cx:pt idx="10">20.8085548783151</cx:pt>
          <cx:pt idx="11">28.363603407540239</cx:pt>
          <cx:pt idx="12">24.457819487286862</cx:pt>
          <cx:pt idx="13">29.172758634067581</cx:pt>
          <cx:pt idx="14">27.993806870188408</cx:pt>
          <cx:pt idx="15">25.682865610375831</cx:pt>
          <cx:pt idx="16">18.907732520299088</cx:pt>
          <cx:pt idx="17">15.062548249022695</cx:pt>
          <cx:pt idx="18">11.676330796408157</cx:pt>
        </cx:lvl>
      </cx:numDim>
    </cx:data>
  </cx:chartData>
  <cx:chart>
    <cx:plotArea>
      <cx:plotAreaRegion>
        <cx:plotSurface>
          <cx:spPr>
            <a:ln w="28575"/>
          </cx:spPr>
        </cx:plotSurface>
        <cx:series layoutId="boxWhisker" uniqueId="{28945BCF-3BB1-439D-A089-191F7C94A62A}">
          <cx:tx>
            <cx:txData>
              <cx:f>'[WaPOR v3 - Decadal - 01012028-20102024 (version 1).xlsb.xlsx]MODIS vs In-Situ'!$C$1</cx:f>
              <cx:v>MODIS16A2 - ET</cx:v>
            </cx:txData>
          </cx:tx>
          <cx:spPr>
            <a:ln w="9525"/>
          </cx:spPr>
          <cx:dataLabels pos="t">
            <cx:numFmt formatCode="#,##0.00" sourceLinked="0"/>
            <cx:txPr>
              <a:bodyPr spcFirstLastPara="1" vertOverflow="ellipsis" horzOverflow="overflow" wrap="square" lIns="0" tIns="0" rIns="0" bIns="0" anchor="ctr" anchorCtr="1"/>
              <a:lstStyle/>
              <a:p>
                <a:pPr algn="ctr" rtl="0">
                  <a:defRPr sz="800" b="1" i="0" u="none">
                    <a:solidFill>
                      <a:schemeClr val="tx1"/>
                    </a:solidFill>
                  </a:defRPr>
                </a:pPr>
                <a:endParaRPr lang="en-US" sz="800" b="1" i="0" u="none" strike="noStrike" baseline="0">
                  <a:solidFill>
                    <a:schemeClr val="tx1"/>
                  </a:solidFill>
                  <a:latin typeface="Aptos Narrow" panose="02110004020202020204"/>
                </a:endParaRPr>
              </a:p>
            </cx:txPr>
            <cx:visibility seriesName="0" categoryName="0" value="1"/>
            <cx:separator>, </cx:separator>
            <cx:dataLabel idx="18">
              <cx:numFmt formatCode="#,##0.00" sourceLinked="0"/>
              <cx:txPr>
                <a:bodyPr spcFirstLastPara="1" vertOverflow="ellipsis" horzOverflow="overflow" wrap="square" lIns="0" tIns="0" rIns="0" bIns="0" anchor="ctr" anchorCtr="1"/>
                <a:lstStyle/>
                <a:p>
                  <a:pPr algn="ctr" rtl="0">
                    <a:defRPr/>
                  </a:pPr>
                  <a:r>
                    <a:rPr lang="en-US" sz="800" b="1" i="0" u="none" strike="noStrike" baseline="0">
                      <a:solidFill>
                        <a:sysClr val="windowText" lastClr="000000">
                          <a:lumMod val="75000"/>
                          <a:lumOff val="25000"/>
                        </a:sysClr>
                      </a:solidFill>
                      <a:latin typeface="Aptos Narrow" panose="02110004020202020204"/>
                    </a:rPr>
                    <a:t>19.78</a:t>
                  </a:r>
                </a:p>
              </cx:txPr>
              <cx:visibility seriesName="0" categoryName="0" value="1"/>
              <cx:separator>, </cx:separator>
            </cx:dataLabel>
            <cx:dataLabel idx="19">
              <cx:numFmt formatCode="#,##0.00" sourceLinked="0"/>
              <cx:txPr>
                <a:bodyPr spcFirstLastPara="1" vertOverflow="ellipsis" horzOverflow="overflow" wrap="square" lIns="0" tIns="0" rIns="0" bIns="0" anchor="ctr" anchorCtr="1"/>
                <a:lstStyle/>
                <a:p>
                  <a:pPr algn="ctr" rtl="0">
                    <a:defRPr/>
                  </a:pPr>
                  <a:r>
                    <a:rPr lang="en-US" sz="800" b="1" i="0" u="none" strike="noStrike" baseline="0">
                      <a:solidFill>
                        <a:sysClr val="windowText" lastClr="000000">
                          <a:lumMod val="75000"/>
                          <a:lumOff val="25000"/>
                        </a:sysClr>
                      </a:solidFill>
                      <a:latin typeface="Aptos Narrow" panose="02110004020202020204"/>
                    </a:rPr>
                    <a:t>6.35</a:t>
                  </a:r>
                </a:p>
              </cx:txPr>
              <cx:visibility seriesName="0" categoryName="0" value="1"/>
              <cx:separator>, </cx:separator>
            </cx:dataLabel>
            <cx:dataLabel idx="20">
              <cx:numFmt formatCode="#,##0.00" sourceLinked="0"/>
              <cx:txPr>
                <a:bodyPr spcFirstLastPara="1" vertOverflow="ellipsis" horzOverflow="overflow" wrap="square" lIns="0" tIns="0" rIns="0" bIns="0" anchor="ctr" anchorCtr="1"/>
                <a:lstStyle/>
                <a:p>
                  <a:pPr algn="ctr" rtl="0">
                    <a:defRPr/>
                  </a:pPr>
                  <a:r>
                    <a:rPr lang="en-US" sz="800" b="1" i="0" u="none" strike="noStrike" baseline="0">
                      <a:solidFill>
                        <a:sysClr val="windowText" lastClr="000000">
                          <a:lumMod val="75000"/>
                          <a:lumOff val="25000"/>
                        </a:sysClr>
                      </a:solidFill>
                      <a:latin typeface="Aptos Narrow" panose="02110004020202020204"/>
                    </a:rPr>
                    <a:t>9.76</a:t>
                  </a:r>
                </a:p>
              </cx:txPr>
              <cx:visibility seriesName="0" categoryName="0" value="1"/>
              <cx:separator>, </cx:separator>
            </cx:dataLabel>
            <cx:dataLabel idx="21">
              <cx:numFmt formatCode="#,##0.00" sourceLinked="0"/>
              <cx:txPr>
                <a:bodyPr spcFirstLastPara="1" vertOverflow="ellipsis" horzOverflow="overflow" wrap="square" lIns="0" tIns="0" rIns="0" bIns="0" anchor="ctr" anchorCtr="1"/>
                <a:lstStyle/>
                <a:p>
                  <a:pPr algn="ctr" rtl="0">
                    <a:defRPr/>
                  </a:pPr>
                  <a:r>
                    <a:rPr lang="en-US" sz="800" b="1" i="0" u="none" strike="noStrike" baseline="0">
                      <a:solidFill>
                        <a:sysClr val="windowText" lastClr="000000">
                          <a:lumMod val="75000"/>
                          <a:lumOff val="25000"/>
                        </a:sysClr>
                      </a:solidFill>
                      <a:latin typeface="Aptos Narrow" panose="02110004020202020204"/>
                    </a:rPr>
                    <a:t>14.17</a:t>
                  </a:r>
                </a:p>
              </cx:txPr>
              <cx:visibility seriesName="0" categoryName="0" value="1"/>
              <cx:separator>, </cx:separator>
            </cx:dataLabel>
          </cx:dataLabels>
          <cx:dataId val="0"/>
          <cx:layoutPr>
            <cx:visibility meanLine="0" meanMarker="0" nonoutliers="0" outliers="1"/>
            <cx:statistics quartileMethod="exclusive"/>
          </cx:layoutPr>
        </cx:series>
        <cx:series layoutId="boxWhisker" uniqueId="{5C28DD35-D939-409D-9086-A8444CF8606F}">
          <cx:tx>
            <cx:txData>
              <cx:f>'[WaPOR v3 - Decadal - 01012028-20102024 (version 1).xlsb.xlsx]MODIS vs In-Situ'!$D$1</cx:f>
              <cx:v>In-Situ</cx:v>
            </cx:txData>
          </cx:tx>
          <cx:spPr>
            <a:ln w="12700">
              <a:solidFill>
                <a:schemeClr val="accent2"/>
              </a:solidFill>
            </a:ln>
          </cx:spPr>
          <cx:dataLabels pos="t">
            <cx:numFmt formatCode="#,##0.00" sourceLinked="0"/>
            <cx:txPr>
              <a:bodyPr spcFirstLastPara="1" vertOverflow="ellipsis" horzOverflow="overflow" wrap="square" lIns="0" tIns="0" rIns="0" bIns="0" anchor="ctr" anchorCtr="1"/>
              <a:lstStyle/>
              <a:p>
                <a:pPr algn="ctr" rtl="0">
                  <a:defRPr sz="800" b="1"/>
                </a:pPr>
                <a:endParaRPr lang="en-US" sz="800" b="1" i="0" u="none" strike="noStrike" baseline="0">
                  <a:solidFill>
                    <a:sysClr val="windowText" lastClr="000000">
                      <a:lumMod val="75000"/>
                      <a:lumOff val="25000"/>
                    </a:sysClr>
                  </a:solidFill>
                  <a:latin typeface="Aptos Narrow" panose="02110004020202020204"/>
                </a:endParaRPr>
              </a:p>
            </cx:txPr>
            <cx:visibility seriesName="0" categoryName="0" value="1"/>
            <cx:separator>, </cx:separator>
          </cx:dataLabels>
          <cx:dataId val="1"/>
          <cx:layoutPr>
            <cx:visibility meanLine="0" meanMarker="0" nonoutliers="0" outliers="1"/>
            <cx:statistics quartileMethod="exclusive"/>
          </cx:layoutPr>
        </cx:series>
      </cx:plotAreaRegion>
      <cx:axis id="0" hidden="1">
        <cx:catScaling gapWidth="1.10000002"/>
        <cx:tickLabels/>
      </cx:axis>
      <cx:axis id="1">
        <cx:valScaling/>
        <cx:majorGridlines/>
        <cx:tickLabels/>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Aptos" panose="02110004020202020204"/>
            </a:endParaRPr>
          </a:p>
        </cx:txPr>
      </cx:axis>
    </cx:plotArea>
    <cx:legend pos="b" align="ctr" overlay="0">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Aptos" panose="02110004020202020204"/>
          </a:endParaRPr>
        </a:p>
      </cx:txPr>
    </cx:legend>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'[WaPOR v3 - Decadal - 01012028-20102024 (version 1).xlsb.xlsx]MODIS vs In-Situ'!$C$136:$C$155</cx:f>
        <cx:lvl ptCount="20" formatCode="General">
          <cx:pt idx="0">5.9229124004550595</cx:pt>
          <cx:pt idx="1">6.1063253697383306</cx:pt>
          <cx:pt idx="2">7.4175426621160394</cx:pt>
          <cx:pt idx="3">5.67852104664391</cx:pt>
          <cx:pt idx="4">8.2126507394766701</cx:pt>
          <cx:pt idx="5">6.4448691695107998</cx:pt>
          <cx:pt idx="6">10.757042093287799</cx:pt>
          <cx:pt idx="7">11.5960637087599</cx:pt>
          <cx:pt idx="8">13.050716723549399</cx:pt>
          <cx:pt idx="9">13.883890784982901</cx:pt>
          <cx:pt idx="10">13.2278043230944</cx:pt>
          <cx:pt idx="11">12.6233902161547</cx:pt>
          <cx:pt idx="12">20.051672354948799</cx:pt>
          <cx:pt idx="13">23.614562002275299</cx:pt>
          <cx:pt idx="14">13.0965415244596</cx:pt>
          <cx:pt idx="15">10.155608646188799</cx:pt>
          <cx:pt idx="16">11.462411831626799</cx:pt>
          <cx:pt idx="17">9.2838907849829297</cx:pt>
          <cx:pt idx="18">8.9492832764505099</cx:pt>
          <cx:pt idx="19">4.7116951080773601</cx:pt>
        </cx:lvl>
      </cx:numDim>
    </cx:data>
    <cx:data id="1">
      <cx:numDim type="val">
        <cx:f>'[WaPOR v3 - Decadal - 01012028-20102024 (version 1).xlsb.xlsx]MODIS vs In-Situ'!$D$136:$D$155</cx:f>
        <cx:lvl ptCount="20" formatCode="0.00">
          <cx:pt idx="0">13.973386785763891</cx:pt>
          <cx:pt idx="1">12.647654495138893</cx:pt>
          <cx:pt idx="2">10.754886689236113</cx:pt>
          <cx:pt idx="3">8.0828518124131961</cx:pt>
          <cx:pt idx="4">7.0387870811631963</cx:pt>
          <cx:pt idx="5">8.4312232370659732</cx:pt>
          <cx:pt idx="6">11.936318948437503</cx:pt>
          <cx:pt idx="7">12.919025453446183</cx:pt>
          <cx:pt idx="8">14.978791963020839</cx:pt>
          <cx:pt idx="9">17.143012992361118</cx:pt>
          <cx:pt idx="10">18.9328510046007</cx:pt>
          <cx:pt idx="11">18.341328894704866</cx:pt>
          <cx:pt idx="12">24.654799239079868</cx:pt>
          <cx:pt idx="13">26.921744055555557</cx:pt>
          <cx:pt idx="14">26.056429312760425</cx:pt>
          <cx:pt idx="15">19.665356813454864</cx:pt>
          <cx:pt idx="16">23.237058540277786</cx:pt>
          <cx:pt idx="17">20.093926718489588</cx:pt>
          <cx:pt idx="18">15.307890204253475</cx:pt>
          <cx:pt idx="19">11.755784307440479</cx:pt>
        </cx:lvl>
      </cx:numDim>
    </cx:data>
  </cx:chartData>
  <cx:chart>
    <cx:plotArea>
      <cx:plotAreaRegion>
        <cx:series layoutId="boxWhisker" uniqueId="{1C0295EA-0DD6-43B4-9D1B-0C8184641E30}">
          <cx:tx>
            <cx:txData>
              <cx:f>'[WaPOR v3 - Decadal - 01012028-20102024 (version 1).xlsb.xlsx]MODIS vs In-Situ'!$C$1</cx:f>
              <cx:v>MODIS16A2 - ET</cx:v>
            </cx:txData>
          </cx:tx>
          <cx:spPr>
            <a:ln w="12700">
              <a:solidFill>
                <a:schemeClr val="accent1"/>
              </a:solidFill>
            </a:ln>
          </cx:spPr>
          <cx:dataLabels pos="t">
            <cx:numFmt formatCode="#,##0.00" sourceLinked="0"/>
            <cx:txPr>
              <a:bodyPr spcFirstLastPara="1" vertOverflow="ellipsis" horzOverflow="overflow" wrap="square" lIns="0" tIns="0" rIns="0" bIns="0" anchor="ctr" anchorCtr="1"/>
              <a:lstStyle/>
              <a:p>
                <a:pPr algn="ctr" rtl="0">
                  <a:defRPr sz="800" b="1"/>
                </a:pPr>
                <a:endParaRPr lang="en-US" sz="800" b="1" i="0" u="none" strike="noStrike" baseline="0">
                  <a:solidFill>
                    <a:sysClr val="windowText" lastClr="000000">
                      <a:lumMod val="75000"/>
                      <a:lumOff val="25000"/>
                    </a:sysClr>
                  </a:solidFill>
                  <a:latin typeface="Aptos" panose="02110004020202020204"/>
                </a:endParaRPr>
              </a:p>
            </cx:txPr>
            <cx:visibility seriesName="0" categoryName="0" value="1"/>
            <cx:separator>, </cx:separator>
          </cx:dataLabels>
          <cx:dataId val="0"/>
          <cx:layoutPr>
            <cx:visibility meanLine="0" meanMarker="0" nonoutliers="0" outliers="0"/>
            <cx:statistics quartileMethod="exclusive"/>
          </cx:layoutPr>
        </cx:series>
        <cx:series layoutId="boxWhisker" uniqueId="{F4F9D148-06C5-4122-A999-D0782B23A88D}">
          <cx:tx>
            <cx:txData>
              <cx:f>'[WaPOR v3 - Decadal - 01012028-20102024 (version 1).xlsb.xlsx]MODIS vs In-Situ'!$D$1</cx:f>
              <cx:v>In-Situ</cx:v>
            </cx:txData>
          </cx:tx>
          <cx:spPr>
            <a:ln w="12700">
              <a:solidFill>
                <a:schemeClr val="accent2"/>
              </a:solidFill>
            </a:ln>
          </cx:spPr>
          <cx:dataLabels pos="t">
            <cx:txPr>
              <a:bodyPr spcFirstLastPara="1" vertOverflow="ellipsis" horzOverflow="overflow" wrap="square" lIns="0" tIns="0" rIns="0" bIns="0" anchor="ctr" anchorCtr="1"/>
              <a:lstStyle/>
              <a:p>
                <a:pPr algn="ctr" rtl="0">
                  <a:defRPr sz="800" b="1"/>
                </a:pPr>
                <a:endParaRPr lang="en-US" sz="800" b="1" i="0" u="none" strike="noStrike" baseline="0">
                  <a:solidFill>
                    <a:sysClr val="windowText" lastClr="000000">
                      <a:lumMod val="75000"/>
                      <a:lumOff val="25000"/>
                    </a:sysClr>
                  </a:solidFill>
                  <a:latin typeface="Aptos" panose="02110004020202020204"/>
                </a:endParaRPr>
              </a:p>
            </cx:txPr>
            <cx:visibility seriesName="0" categoryName="0" value="1"/>
            <cx:separator>, </cx:separator>
          </cx:dataLabels>
          <cx:dataId val="1"/>
          <cx:layoutPr>
            <cx:visibility meanLine="0" meanMarker="0" nonoutliers="0" outliers="1"/>
            <cx:statistics quartileMethod="exclusive"/>
          </cx:layoutPr>
        </cx:series>
      </cx:plotAreaRegion>
      <cx:axis id="0" hidden="1">
        <cx:catScaling gapWidth="1.10000002"/>
        <cx:tickLabels/>
      </cx:axis>
      <cx:axis id="1">
        <cx:valScaling/>
        <cx:majorGridlines/>
        <cx:tickLabels/>
      </cx:axis>
    </cx:plotArea>
    <cx:legend pos="b" align="ctr" overlay="0">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Aptos" panose="02110004020202020204"/>
          </a:endParaRPr>
        </a:p>
      </cx:txPr>
    </cx:legend>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'[WaPOR v3 - Decadal - 01012028-20102024 (version 1).xlsb.xlsx]MODIS vs In-Situ'!$C$162:$C$177</cx:f>
        <cx:lvl ptCount="16" formatCode="General">
          <cx:pt idx="0">4.4224345847553996</cx:pt>
          <cx:pt idx="1">8.7502389078498197</cx:pt>
          <cx:pt idx="2">9.9897383390216099</cx:pt>
          <cx:pt idx="3">11.3668259385665</cx:pt>
          <cx:pt idx="4">6.5560864618885102</cx:pt>
          <cx:pt idx="5">9.1112172923776988</cx:pt>
          <cx:pt idx="6">12.711695108077301</cx:pt>
          <cx:pt idx="7">11.5838907849829</cx:pt>
          <cx:pt idx="8">9.6282821387940807</cx:pt>
          <cx:pt idx="9">7.7165870307167195</cx:pt>
          <cx:pt idx="10">7.9955858930602899</cx:pt>
          <cx:pt idx="11">6.5721956769055696</cx:pt>
          <cx:pt idx="12">4.9614562002275298</cx:pt>
          <cx:pt idx="13">5.28878270762229</cx:pt>
          <cx:pt idx="14">4.1946302616609703</cx:pt>
          <cx:pt idx="15">4.7999999999999998</cx:pt>
        </cx:lvl>
      </cx:numDim>
    </cx:data>
    <cx:data id="1">
      <cx:numDim type="val">
        <cx:f>'[WaPOR v3 - Decadal - 01012028-20102024 (version 1).xlsb.xlsx]MODIS vs In-Situ'!$D$162:$D$177</cx:f>
        <cx:lvl ptCount="16" formatCode="0.00">
          <cx:pt idx="0">42.035181795918362</cx:pt>
          <cx:pt idx="1">31.056705551020411</cx:pt>
          <cx:pt idx="2">40.20494326530612</cx:pt>
          <cx:pt idx="3">40.673434775510209</cx:pt>
          <cx:pt idx="4">39.479390448979586</cx:pt>
          <cx:pt idx="5">36.010392632653058</cx:pt>
          <cx:pt idx="6">40.405452367346932</cx:pt>
          <cx:pt idx="7">40.13907640816327</cx:pt>
          <cx:pt idx="8">31.63058934693877</cx:pt>
          <cx:pt idx="9">39.309140510204081</cx:pt>
          <cx:pt idx="10">35.964490367346933</cx:pt>
          <cx:pt idx="11">37.009886673469381</cx:pt>
          <cx:pt idx="12">28.111714979591834</cx:pt>
          <cx:pt idx="13">22.388719142857138</cx:pt>
          <cx:pt idx="14">22.331619999999997</cx:pt>
          <cx:pt idx="15">18.671743673469383</cx:pt>
        </cx:lvl>
      </cx:numDim>
    </cx:data>
  </cx:chartData>
  <cx:chart>
    <cx:plotArea>
      <cx:plotAreaRegion>
        <cx:series layoutId="boxWhisker" uniqueId="{B661348C-7D46-472C-B416-ED234CC812A5}">
          <cx:tx>
            <cx:txData>
              <cx:f>'[WaPOR v3 - Decadal - 01012028-20102024 (version 1).xlsb.xlsx]MODIS vs In-Situ'!$C$1</cx:f>
              <cx:v>MODIS16A2 - ET</cx:v>
            </cx:txData>
          </cx:tx>
          <cx:spPr>
            <a:ln w="12700">
              <a:solidFill>
                <a:schemeClr val="accent1"/>
              </a:solidFill>
            </a:ln>
          </cx:spPr>
          <cx:dataLabels pos="t">
            <cx:numFmt formatCode="#,##0.00" sourceLinked="0"/>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panose="02110004020202020204"/>
                </a:endParaRPr>
              </a:p>
            </cx:txPr>
            <cx:visibility seriesName="0" categoryName="0" value="1"/>
            <cx:separator>, </cx:separator>
          </cx:dataLabels>
          <cx:dataId val="0"/>
          <cx:layoutPr>
            <cx:visibility meanLine="0" meanMarker="0" nonoutliers="0" outliers="1"/>
            <cx:statistics quartileMethod="exclusive"/>
          </cx:layoutPr>
        </cx:series>
        <cx:series layoutId="boxWhisker" uniqueId="{D65E9F15-9286-45CC-A32E-1EE7BA2462FE}">
          <cx:tx>
            <cx:txData>
              <cx:f>'[WaPOR v3 - Decadal - 01012028-20102024 (version 1).xlsb.xlsx]MODIS vs In-Situ'!$D$1</cx:f>
              <cx:v>In-Situ</cx:v>
            </cx:txData>
          </cx:tx>
          <cx:spPr>
            <a:ln w="12700">
              <a:solidFill>
                <a:schemeClr val="accent2"/>
              </a:solidFill>
            </a:ln>
          </cx:spPr>
          <cx:dataLabels pos="t">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panose="02110004020202020204"/>
                </a:endParaRPr>
              </a:p>
            </cx:txPr>
            <cx:visibility seriesName="0" categoryName="0" value="1"/>
            <cx:separator>, </cx:separator>
          </cx:dataLabels>
          <cx:dataId val="1"/>
          <cx:layoutPr>
            <cx:visibility meanLine="0" meanMarker="0" nonoutliers="0" outliers="1"/>
            <cx:statistics quartileMethod="exclusive"/>
          </cx:layoutPr>
        </cx:series>
      </cx:plotAreaRegion>
      <cx:axis id="0" hidden="1">
        <cx:catScaling gapWidth="1.10000002"/>
        <cx:tickLabels/>
      </cx:axis>
      <cx:axis id="1">
        <cx:valScaling/>
        <cx:majorGridlines/>
        <cx:tickLabels/>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Aptos" panose="02110004020202020204"/>
            </a:endParaRPr>
          </a:p>
        </cx:txPr>
      </cx:axis>
    </cx:plotArea>
    <cx:legend pos="b" align="ctr" overlay="0">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Aptos" panose="02110004020202020204"/>
          </a:endParaRPr>
        </a:p>
      </cx:txPr>
    </cx:legend>
  </cx:chart>
  <cx:spPr>
    <a:ln>
      <a:no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'[WaPOR v3 - Decadal - 01012028-20102024 (version 1).xlsb.xlsx]MODIS vs In-Situ'!$C$183:$C$203</cx:f>
        <cx:lvl ptCount="21" formatCode="General">
          <cx:pt idx="0">6.7999999999999998</cx:pt>
          <cx:pt idx="1">7.1721956769055693</cx:pt>
          <cx:pt idx="2">4.4502389078498199</cx:pt>
          <cx:pt idx="3">6.7834129692832708</cx:pt>
          <cx:pt idx="4">7.6838907849829301</cx:pt>
          <cx:pt idx="5">8.9619340159271896</cx:pt>
          <cx:pt idx="6">10.1063253697383</cx:pt>
          <cx:pt idx="7">11.8165870307167</cx:pt>
          <cx:pt idx="8">9.9605005688282109</cx:pt>
          <cx:pt idx="9">10.338543799772399</cx:pt>
          <cx:pt idx="10">11.2336518771331</cx:pt>
          <cx:pt idx="11">11.922434584755401</cx:pt>
          <cx:pt idx="12">13.8785210466439</cx:pt>
          <cx:pt idx="13">12.795108077360599</cx:pt>
          <cx:pt idx="14">10.917064846416299</cx:pt>
          <cx:pt idx="15">7.1780432309442501</cx:pt>
          <cx:pt idx="16">7.2004778156996592</cx:pt>
          <cx:pt idx="17">3.8834129692832695</cx:pt>
          <cx:pt idx="18">4.8946302616609696</cx:pt>
          <cx:pt idx="19">4.7663481228668898</cx:pt>
          <cx:pt idx="20">3.7443913538111402</cx:pt>
        </cx:lvl>
      </cx:numDim>
    </cx:data>
    <cx:data id="1">
      <cx:numDim type="val">
        <cx:f>'[WaPOR v3 - Decadal - 01012028-20102024 (version 1).xlsb.xlsx]MODIS vs In-Situ'!$D$183:$D$203</cx:f>
        <cx:lvl ptCount="21" formatCode="0.00">
          <cx:pt idx="0">14.233272298542271</cx:pt>
          <cx:pt idx="1">9.6298931510204078</cx:pt>
          <cx:pt idx="2">7.9311459295918354</cx:pt>
          <cx:pt idx="3">3.6658435714285709</cx:pt>
          <cx:pt idx="4">10.753822888775511</cx:pt>
          <cx:pt idx="5">9.3548595236734684</cx:pt>
          <cx:pt idx="6">11.037855850714285</cx:pt>
          <cx:pt idx="7">10.370197376734692</cx:pt>
          <cx:pt idx="8">15.982000000000003</cx:pt>
          <cx:pt idx="9">12.501000000000001</cx:pt>
          <cx:pt idx="10">19.689</cx:pt>
          <cx:pt idx="11">25.600000000000001</cx:pt>
          <cx:pt idx="12">21.846</cx:pt>
          <cx:pt idx="13">23.443000000000001</cx:pt>
          <cx:pt idx="14">24.319999999999997</cx:pt>
          <cx:pt idx="15">33.576000000000001</cx:pt>
          <cx:pt idx="16">32.073000000000008</cx:pt>
          <cx:pt idx="17">32.080000000000005</cx:pt>
          <cx:pt idx="18">29.334000000000003</cx:pt>
          <cx:pt idx="19">14.704999999999998</cx:pt>
          <cx:pt idx="20">6.4280000000000026</cx:pt>
        </cx:lvl>
      </cx:numDim>
    </cx:data>
  </cx:chartData>
  <cx:chart>
    <cx:plotArea>
      <cx:plotAreaRegion>
        <cx:series layoutId="boxWhisker" uniqueId="{91877631-B189-43B2-94A4-E44FEABCCA80}">
          <cx:tx>
            <cx:txData>
              <cx:f>'[WaPOR v3 - Decadal - 01012028-20102024 (version 1).xlsb.xlsx]MODIS vs In-Situ'!$C$1</cx:f>
              <cx:v>MODIS16A2 - ET</cx:v>
            </cx:txData>
          </cx:tx>
          <cx:spPr>
            <a:ln w="12700">
              <a:solidFill>
                <a:schemeClr val="accent1"/>
              </a:solidFill>
            </a:ln>
          </cx:spPr>
          <cx:dataLabels pos="t">
            <cx:numFmt formatCode="#,##0.00" sourceLinked="0"/>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Narrow" panose="02110004020202020204"/>
                </a:endParaRPr>
              </a:p>
            </cx:txPr>
            <cx:visibility seriesName="0" categoryName="0" value="1"/>
            <cx:separator>, </cx:separator>
          </cx:dataLabels>
          <cx:dataId val="0"/>
          <cx:layoutPr>
            <cx:visibility meanLine="0" meanMarker="0" nonoutliers="0" outliers="1"/>
            <cx:statistics quartileMethod="exclusive"/>
          </cx:layoutPr>
        </cx:series>
        <cx:series layoutId="boxWhisker" uniqueId="{52858DB3-C7BE-4B00-B235-2499B24AADB0}">
          <cx:tx>
            <cx:txData>
              <cx:f>'[WaPOR v3 - Decadal - 01012028-20102024 (version 1).xlsb.xlsx]MODIS vs In-Situ'!$D$1</cx:f>
              <cx:v>In-Situ</cx:v>
            </cx:txData>
          </cx:tx>
          <cx:spPr>
            <a:ln w="12700">
              <a:solidFill>
                <a:schemeClr val="accent2"/>
              </a:solidFill>
            </a:ln>
          </cx:spPr>
          <cx:dataLabels pos="t">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Narrow" panose="02110004020202020204"/>
                </a:endParaRPr>
              </a:p>
            </cx:txPr>
            <cx:visibility seriesName="0" categoryName="0" value="1"/>
            <cx:separator>, </cx:separator>
          </cx:dataLabels>
          <cx:dataId val="1"/>
          <cx:layoutPr>
            <cx:visibility meanLine="0" meanMarker="0" nonoutliers="0" outliers="1"/>
            <cx:statistics quartileMethod="exclusive"/>
          </cx:layoutPr>
        </cx:series>
      </cx:plotAreaRegion>
      <cx:axis id="0" hidden="1">
        <cx:catScaling gapWidth="1.10000002"/>
        <cx:tickLabels/>
        <cx:txPr>
          <a:bodyPr vertOverflow="overflow" horzOverflow="overflow" wrap="square" lIns="0" tIns="0" rIns="0" bIns="0"/>
          <a:lstStyle/>
          <a:p>
            <a:pPr algn="ctr" rtl="0">
              <a:defRPr sz="600" b="0" i="0">
                <a:solidFill>
                  <a:srgbClr val="595959"/>
                </a:solidFill>
                <a:latin typeface="Aptos" panose="020B0004020202020204" pitchFamily="34" charset="0"/>
                <a:ea typeface="Aptos" panose="020B0004020202020204" pitchFamily="34" charset="0"/>
                <a:cs typeface="Aptos" panose="020B0004020202020204" pitchFamily="34" charset="0"/>
              </a:defRPr>
            </a:pPr>
            <a:endParaRPr lang="en-US" sz="600"/>
          </a:p>
        </cx:txPr>
      </cx:axis>
      <cx:axis id="1">
        <cx:valScaling/>
        <cx:majorGridlines/>
        <cx:tickLabels/>
        <cx:txPr>
          <a:bodyPr vertOverflow="overflow" horzOverflow="overflow" wrap="square" lIns="0" tIns="0" rIns="0" bIns="0"/>
          <a:lstStyle/>
          <a:p>
            <a:pPr algn="ctr" rtl="0">
              <a:defRPr sz="600" b="0" i="0">
                <a:solidFill>
                  <a:srgbClr val="595959"/>
                </a:solidFill>
                <a:latin typeface="Aptos" panose="020B0004020202020204" pitchFamily="34" charset="0"/>
                <a:ea typeface="Aptos" panose="020B0004020202020204" pitchFamily="34" charset="0"/>
                <a:cs typeface="Aptos" panose="020B0004020202020204" pitchFamily="34" charset="0"/>
              </a:defRPr>
            </a:pPr>
            <a:endParaRPr lang="en-US" sz="600"/>
          </a:p>
        </cx:txPr>
      </cx:axis>
    </cx:plotArea>
    <cx:legend pos="b" align="ctr" overlay="0">
      <cx:txPr>
        <a:bodyPr vertOverflow="overflow" horzOverflow="overflow" wrap="square" lIns="0" tIns="0" rIns="0" bIns="0"/>
        <a:lstStyle/>
        <a:p>
          <a:pPr algn="ctr" rtl="0">
            <a:defRPr sz="600" b="0" i="0">
              <a:solidFill>
                <a:srgbClr val="595959"/>
              </a:solidFill>
              <a:latin typeface="Aptos" panose="020B0004020202020204" pitchFamily="34" charset="0"/>
              <a:ea typeface="Aptos" panose="020B0004020202020204" pitchFamily="34" charset="0"/>
              <a:cs typeface="Aptos" panose="020B0004020202020204" pitchFamily="34" charset="0"/>
            </a:defRPr>
          </a:pPr>
          <a:endParaRPr lang="en-US" sz="600"/>
        </a:p>
      </cx:txPr>
    </cx:legend>
  </cx:chart>
  <cx:spPr>
    <a:ln>
      <a:noFill/>
    </a:ln>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'[WaPOR v3 - Decadal - 01012028-20102024 (version 1).xlsb.xlsx]WaPOR vs In-situ'!$B$72:$B$86</cx:f>
        <cx:lvl ptCount="15" formatCode="General">
          <cx:pt idx="0">0.40000000000000002</cx:pt>
          <cx:pt idx="1">0.69999999999999996</cx:pt>
          <cx:pt idx="2">0.80000000000000004</cx:pt>
          <cx:pt idx="3">1.1000000000000001</cx:pt>
          <cx:pt idx="4">1.7</cx:pt>
          <cx:pt idx="5">2.3999999999999999</cx:pt>
          <cx:pt idx="6">2.1000000000000001</cx:pt>
          <cx:pt idx="7">2.7999999999999998</cx:pt>
          <cx:pt idx="8">3.5</cx:pt>
          <cx:pt idx="9">3.2999999999999998</cx:pt>
          <cx:pt idx="10">4.2999999999999998</cx:pt>
          <cx:pt idx="11">3.7000000000000002</cx:pt>
          <cx:pt idx="12">2.8999999999999999</cx:pt>
          <cx:pt idx="13">2.2999999999999998</cx:pt>
          <cx:pt idx="14">1.8</cx:pt>
        </cx:lvl>
      </cx:numDim>
    </cx:data>
    <cx:data id="1">
      <cx:numDim type="val">
        <cx:f>'[WaPOR v3 - Decadal - 01012028-20102024 (version 1).xlsb.xlsx]WaPOR vs In-situ'!$C$72:$C$86</cx:f>
        <cx:lvl ptCount="15" formatCode="General">
          <cx:pt idx="0">0.77332340277550993</cx:pt>
          <cx:pt idx="1">1.019997700897959</cx:pt>
          <cx:pt idx="2">1.4688932219666049</cx:pt>
          <cx:pt idx="3">2.0978623616326528</cx:pt>
          <cx:pt idx="4">1.9884815808979588</cx:pt>
          <cx:pt idx="5">2.3659366909090909</cx:pt>
          <cx:pt idx="6">2.4774451746894366</cx:pt>
          <cx:pt idx="7">2.5672982921009631</cx:pt>
          <cx:pt idx="8">3.0323618734001627</cx:pt>
          <cx:pt idx="9">3.5181165431572898</cx:pt>
          <cx:pt idx="10">3.2773196718249786</cx:pt>
          <cx:pt idx="11">3.6344370195330611</cx:pt>
          <cx:pt idx="12">2.540826898973779</cx:pt>
          <cx:pt idx="13">2.0324454336728808</cx:pt>
          <cx:pt idx="14">1.6663830286158361</cx:pt>
        </cx:lvl>
      </cx:numDim>
    </cx:data>
  </cx:chartData>
  <cx:chart>
    <cx:plotArea>
      <cx:plotAreaRegion>
        <cx:plotSurface>
          <cx:spPr>
            <a:ln w="28575"/>
          </cx:spPr>
        </cx:plotSurface>
        <cx:series layoutId="boxWhisker" uniqueId="{06D56CEA-8D66-4DA1-87B2-E4AA9B67C8C2}">
          <cx:tx>
            <cx:txData>
              <cx:f>'[WaPOR v3 - Decadal - 01012028-20102024 (version 1).xlsb.xlsx]WaPOR vs In-situ'!$B$1</cx:f>
              <cx:v>WaPOR - ET</cx:v>
            </cx:txData>
          </cx:tx>
          <cx:spPr>
            <a:ln w="12700">
              <a:solidFill>
                <a:schemeClr val="accent1"/>
              </a:solidFill>
            </a:ln>
          </cx:spPr>
          <cx:dataLabels pos="t">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Narrow" panose="02110004020202020204"/>
                </a:endParaRPr>
              </a:p>
            </cx:txPr>
            <cx:visibility seriesName="0" categoryName="0" value="1"/>
          </cx:dataLabels>
          <cx:dataId val="0"/>
          <cx:layoutPr>
            <cx:visibility meanMarker="0" nonoutliers="0"/>
            <cx:statistics quartileMethod="exclusive"/>
          </cx:layoutPr>
        </cx:series>
        <cx:series layoutId="boxWhisker" uniqueId="{086BEF77-753E-4E01-8D48-C7C235EF99D8}">
          <cx:tx>
            <cx:txData>
              <cx:f>'[WaPOR v3 - Decadal - 01012028-20102024 (version 1).xlsb.xlsx]WaPOR vs In-situ'!$C$1</cx:f>
              <cx:v>Measurment - ET</cx:v>
            </cx:txData>
          </cx:tx>
          <cx:spPr>
            <a:ln w="12700">
              <a:solidFill>
                <a:schemeClr val="accent2"/>
              </a:solidFill>
            </a:ln>
          </cx:spPr>
          <cx:dataLabels pos="t">
            <cx:numFmt formatCode="#,##0.00" sourceLinked="0"/>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Narrow" panose="02110004020202020204"/>
                </a:endParaRPr>
              </a:p>
            </cx:txPr>
            <cx:visibility seriesName="0" categoryName="0" value="1"/>
            <cx:separator>, </cx:separator>
          </cx:dataLabels>
          <cx:dataId val="1"/>
          <cx:layoutPr>
            <cx:visibility meanMarker="0" nonoutliers="0"/>
            <cx:statistics quartileMethod="exclusive"/>
          </cx:layoutPr>
        </cx:series>
      </cx:plotAreaRegion>
      <cx:axis id="0" hidden="1">
        <cx:catScaling gapWidth="1.10000002"/>
        <cx:tickLabels/>
      </cx:axis>
      <cx:axis id="1">
        <cx:valScaling/>
        <cx:majorGridlines/>
        <cx:tickLabels/>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Aptos" panose="02110004020202020204"/>
            </a:endParaRPr>
          </a:p>
        </cx:txPr>
      </cx:axis>
    </cx:plotArea>
    <cx:legend pos="b" align="ctr" overlay="0">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Aptos" panose="02110004020202020204"/>
          </a:endParaRPr>
        </a:p>
      </cx:txPr>
    </cx:legend>
  </cx:chart>
  <cx:spPr>
    <a:ln>
      <a:noFill/>
    </a:ln>
  </cx:spPr>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'[WaPOR v3 - Decadal - 01012028-20102024 (version 1).xlsb.xlsx]WaPOR vs In-situ'!$B$94:$B$103</cx:f>
        <cx:lvl ptCount="10" formatCode="General">
          <cx:pt idx="0">1.3</cx:pt>
          <cx:pt idx="1">1.8999999999999999</cx:pt>
          <cx:pt idx="2">3</cx:pt>
          <cx:pt idx="3">4</cx:pt>
          <cx:pt idx="4">4.7999999999999998</cx:pt>
          <cx:pt idx="5">5.0999999999999996</cx:pt>
          <cx:pt idx="6">4.7000000000000002</cx:pt>
          <cx:pt idx="7">4.2999999999999998</cx:pt>
          <cx:pt idx="8">3.7000000000000002</cx:pt>
          <cx:pt idx="9">2.6000000000000001</cx:pt>
        </cx:lvl>
      </cx:numDim>
    </cx:data>
    <cx:data id="1">
      <cx:numDim type="val">
        <cx:f>'[WaPOR v3 - Decadal - 01012028-20102024 (version 1).xlsb.xlsx]WaPOR vs In-situ'!$C$94:$C$103</cx:f>
        <cx:lvl ptCount="10" formatCode="General">
          <cx:pt idx="0">4.0127142857142859</cx:pt>
          <cx:pt idx="1">2.3400000000000003</cx:pt>
          <cx:pt idx="2">2.3066666666666666</cx:pt>
          <cx:pt idx="3">3.5945454545454552</cx:pt>
          <cx:pt idx="4">4.1273333333333335</cx:pt>
          <cx:pt idx="5">4.6914285714285713</cx:pt>
          <cx:pt idx="6">3.7033333333333331</cx:pt>
          <cx:pt idx="7">3.7700000000000005</cx:pt>
          <cx:pt idx="8">2.5299999999999998</cx:pt>
          <cx:pt idx="9">1.6572727272727277</cx:pt>
        </cx:lvl>
      </cx:numDim>
    </cx:data>
  </cx:chartData>
  <cx:chart>
    <cx:plotArea>
      <cx:plotAreaRegion>
        <cx:plotSurface>
          <cx:spPr>
            <a:ln w="28575"/>
          </cx:spPr>
        </cx:plotSurface>
        <cx:series layoutId="boxWhisker" uniqueId="{06D56CEA-8D66-4DA1-87B2-E4AA9B67C8C2}">
          <cx:tx>
            <cx:txData>
              <cx:f>'[WaPOR v3 - Decadal - 01012028-20102024 (version 1).xlsb.xlsx]WaPOR vs In-situ'!$B$1</cx:f>
              <cx:v>WaPOR - ET</cx:v>
            </cx:txData>
          </cx:tx>
          <cx:spPr>
            <a:ln w="12700">
              <a:solidFill>
                <a:schemeClr val="accent1"/>
              </a:solidFill>
            </a:ln>
          </cx:spPr>
          <cx:dataLabels pos="t">
            <cx:numFmt formatCode="#,##0.00" sourceLinked="0"/>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Narrow" panose="02110004020202020204"/>
                </a:endParaRPr>
              </a:p>
            </cx:txPr>
            <cx:visibility seriesName="0" categoryName="0" value="1"/>
            <cx:separator>, </cx:separator>
          </cx:dataLabels>
          <cx:dataId val="0"/>
          <cx:layoutPr>
            <cx:visibility meanMarker="0" nonoutliers="0"/>
            <cx:statistics quartileMethod="exclusive"/>
          </cx:layoutPr>
        </cx:series>
        <cx:series layoutId="boxWhisker" uniqueId="{086BEF77-753E-4E01-8D48-C7C235EF99D8}">
          <cx:tx>
            <cx:txData>
              <cx:f>'[WaPOR v3 - Decadal - 01012028-20102024 (version 1).xlsb.xlsx]WaPOR vs In-situ'!$C$1</cx:f>
              <cx:v>Measurment - ET</cx:v>
            </cx:txData>
          </cx:tx>
          <cx:spPr>
            <a:ln w="12700">
              <a:solidFill>
                <a:schemeClr val="accent2"/>
              </a:solidFill>
            </a:ln>
          </cx:spPr>
          <cx:dataLabels pos="t">
            <cx:numFmt formatCode="#,##0.00" sourceLinked="0"/>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Narrow" panose="02110004020202020204"/>
                </a:endParaRPr>
              </a:p>
            </cx:txPr>
            <cx:visibility seriesName="0" categoryName="0" value="1"/>
            <cx:separator>, </cx:separator>
          </cx:dataLabels>
          <cx:dataId val="1"/>
          <cx:layoutPr>
            <cx:visibility meanMarker="0" nonoutliers="0"/>
            <cx:statistics quartileMethod="exclusive"/>
          </cx:layoutPr>
        </cx:series>
      </cx:plotAreaRegion>
      <cx:axis id="0" hidden="1">
        <cx:catScaling gapWidth="1.10000002"/>
        <cx:tickLabels/>
        <cx:txPr>
          <a:bodyPr vertOverflow="overflow" horzOverflow="overflow" wrap="square" lIns="0" tIns="0" rIns="0" bIns="0"/>
          <a:lstStyle/>
          <a:p>
            <a:pPr algn="ctr" rtl="0">
              <a:defRPr lang="en-US" sz="1000" b="1" i="0" u="none" strike="noStrike" cap="all" spc="150" baseline="0">
                <a:solidFill>
                  <a:sysClr val="windowText" lastClr="000000">
                    <a:lumMod val="50000"/>
                    <a:lumOff val="50000"/>
                  </a:sysClr>
                </a:solidFill>
                <a:latin typeface="Aptos Narrow" panose="02110004020202020204"/>
                <a:ea typeface="Calibri" panose="020F0502020204030204" pitchFamily="34" charset="0"/>
                <a:cs typeface="Calibri" panose="020F0502020204030204" pitchFamily="34" charset="0"/>
              </a:defRPr>
            </a:pPr>
            <a:endParaRPr lang="en-US" sz="1000" b="1" i="0" u="none" strike="noStrike" cap="all" spc="150" baseline="0">
              <a:solidFill>
                <a:sysClr val="windowText" lastClr="000000">
                  <a:lumMod val="50000"/>
                  <a:lumOff val="50000"/>
                </a:sysClr>
              </a:solidFill>
              <a:latin typeface="Aptos Narrow" panose="02110004020202020204"/>
              <a:ea typeface="Calibri" panose="020F0502020204030204" pitchFamily="34" charset="0"/>
              <a:cs typeface="Calibri" panose="020F0502020204030204" pitchFamily="34" charset="0"/>
            </a:endParaRPr>
          </a:p>
        </cx:txPr>
      </cx:axis>
      <cx:axis id="1">
        <cx:valScaling/>
        <cx:majorGridlines/>
        <cx:tickLabels/>
        <cx:txPr>
          <a:bodyPr vertOverflow="overflow" horzOverflow="overflow" wrap="square" lIns="0" tIns="0" rIns="0" bIns="0"/>
          <a:lstStyle/>
          <a:p>
            <a:pPr algn="ctr" rtl="0">
              <a:defRPr lang="en-US" sz="600" b="1" i="0" u="none" strike="noStrike" cap="all" spc="150" baseline="0">
                <a:solidFill>
                  <a:sysClr val="windowText" lastClr="000000">
                    <a:lumMod val="50000"/>
                    <a:lumOff val="50000"/>
                  </a:sysClr>
                </a:solidFill>
                <a:latin typeface="Aptos Narrow" panose="02110004020202020204"/>
                <a:ea typeface="Calibri" panose="020F0502020204030204" pitchFamily="34" charset="0"/>
                <a:cs typeface="Calibri" panose="020F0502020204030204" pitchFamily="34" charset="0"/>
              </a:defRPr>
            </a:pPr>
            <a:endParaRPr lang="en-US" sz="600" b="1" i="0" u="none" strike="noStrike" cap="all" spc="150" baseline="0">
              <a:solidFill>
                <a:sysClr val="windowText" lastClr="000000">
                  <a:lumMod val="50000"/>
                  <a:lumOff val="50000"/>
                </a:sysClr>
              </a:solidFill>
              <a:latin typeface="Aptos Narrow" panose="02110004020202020204"/>
              <a:ea typeface="Calibri" panose="020F0502020204030204" pitchFamily="34" charset="0"/>
              <a:cs typeface="Calibri" panose="020F0502020204030204" pitchFamily="34" charset="0"/>
            </a:endParaRPr>
          </a:p>
        </cx:txPr>
      </cx:axis>
    </cx:plotArea>
    <cx:legend pos="b" align="ctr" overlay="0">
      <cx:txPr>
        <a:bodyPr vertOverflow="overflow" horzOverflow="overflow" wrap="square" lIns="0" tIns="0" rIns="0" bIns="0"/>
        <a:lstStyle/>
        <a:p>
          <a:pPr algn="ctr" rtl="0">
            <a:defRPr lang="en-US" sz="600" b="1" i="0" u="none" strike="noStrike" cap="all" spc="150" baseline="0">
              <a:solidFill>
                <a:sysClr val="windowText" lastClr="000000">
                  <a:lumMod val="50000"/>
                  <a:lumOff val="50000"/>
                </a:sysClr>
              </a:solidFill>
              <a:latin typeface="Aptos Narrow" panose="02110004020202020204"/>
              <a:ea typeface="Calibri" panose="020F0502020204030204" pitchFamily="34" charset="0"/>
              <a:cs typeface="Calibri" panose="020F0502020204030204" pitchFamily="34" charset="0"/>
            </a:defRPr>
          </a:pPr>
          <a:endParaRPr lang="en-US" sz="600" b="1" i="0" u="none" strike="noStrike" cap="all" spc="150" baseline="0">
            <a:solidFill>
              <a:sysClr val="windowText" lastClr="000000">
                <a:lumMod val="50000"/>
                <a:lumOff val="50000"/>
              </a:sysClr>
            </a:solidFill>
            <a:latin typeface="Aptos Narrow" panose="02110004020202020204"/>
            <a:ea typeface="Calibri" panose="020F0502020204030204" pitchFamily="34" charset="0"/>
            <a:cs typeface="Calibri" panose="020F0502020204030204" pitchFamily="34" charset="0"/>
          </a:endParaRPr>
        </a:p>
      </cx:txPr>
    </cx:legend>
  </cx:chart>
  <cx:spPr>
    <a:ln>
      <a:noFill/>
    </a:ln>
  </cx:spPr>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'[WaPOR v3 - Decadal - 01012028-20102024 (version 1).xlsb.xlsx]WaPOR vs In-situ'!$B$108:$B$122</cx:f>
        <cx:lvl ptCount="15" formatCode="General">
          <cx:pt idx="0">0.80000000000000004</cx:pt>
          <cx:pt idx="1">0.90000000000000002</cx:pt>
          <cx:pt idx="2">0.90000000000000002</cx:pt>
          <cx:pt idx="3">1.7</cx:pt>
          <cx:pt idx="4">2</cx:pt>
          <cx:pt idx="5">2.5</cx:pt>
          <cx:pt idx="6">2.2000000000000002</cx:pt>
          <cx:pt idx="7">2.6000000000000001</cx:pt>
          <cx:pt idx="8">3.7999999999999998</cx:pt>
          <cx:pt idx="9">3.6000000000000001</cx:pt>
          <cx:pt idx="10">3.8999999999999999</cx:pt>
          <cx:pt idx="11">3.3999999999999999</cx:pt>
          <cx:pt idx="12">3</cx:pt>
          <cx:pt idx="13">2.2000000000000002</cx:pt>
          <cx:pt idx="14">2.2000000000000002</cx:pt>
        </cx:lvl>
      </cx:numDim>
    </cx:data>
    <cx:data id="1">
      <cx:numDim type="val">
        <cx:f>'[WaPOR v3 - Decadal - 01012028-20102024 (version 1).xlsb.xlsx]WaPOR vs In-situ'!$C$108:$C$122</cx:f>
        <cx:lvl ptCount="15" formatCode="General">
          <cx:pt idx="0">1.6241754107118058</cx:pt>
          <cx:pt idx="1">1.2799975776562502</cx:pt>
          <cx:pt idx="2">1.0800042286852909</cx:pt>
          <cx:pt idx="3">1.1044255914409722</cx:pt>
          <cx:pt idx="4">1.4866016464322918</cx:pt>
          <cx:pt idx="5">1.7920241511497799</cx:pt>
          <cx:pt idx="6">2.0982337843663199</cx:pt>
          <cx:pt idx="7">2.2765738249739593</cx:pt>
          <cx:pt idx="8">2.5564568084092887</cx:pt>
          <cx:pt idx="9">3.367903336086806</cx:pt>
          <cx:pt idx="10">3.1585830438975706</cx:pt>
          <cx:pt idx="11">2.5600938844460228</cx:pt>
          <cx:pt idx="12">2.8928353889322924</cx:pt>
          <cx:pt idx="13">2.416684603654514</cx:pt>
          <cx:pt idx="14">1.3759206880555559</cx:pt>
        </cx:lvl>
      </cx:numDim>
    </cx:data>
  </cx:chartData>
  <cx:chart>
    <cx:plotArea>
      <cx:plotAreaRegion>
        <cx:plotSurface>
          <cx:spPr>
            <a:ln w="28575"/>
          </cx:spPr>
        </cx:plotSurface>
        <cx:series layoutId="boxWhisker" uniqueId="{06D56CEA-8D66-4DA1-87B2-E4AA9B67C8C2}">
          <cx:tx>
            <cx:txData>
              <cx:f>'[WaPOR v3 - Decadal - 01012028-20102024 (version 1).xlsb.xlsx]WaPOR vs In-situ'!$B$1</cx:f>
              <cx:v>WaPOR - ET</cx:v>
            </cx:txData>
          </cx:tx>
          <cx:spPr>
            <a:ln w="12700">
              <a:solidFill>
                <a:schemeClr val="accent1"/>
              </a:solidFill>
            </a:ln>
          </cx:spPr>
          <cx:dataLabels pos="t">
            <cx:numFmt formatCode="#,##0.00" sourceLinked="0"/>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Narrow" panose="02110004020202020204"/>
                </a:endParaRPr>
              </a:p>
            </cx:txPr>
            <cx:visibility seriesName="0" categoryName="0" value="1"/>
            <cx:separator>, </cx:separator>
          </cx:dataLabels>
          <cx:dataId val="0"/>
          <cx:layoutPr>
            <cx:visibility meanMarker="0" nonoutliers="0"/>
            <cx:statistics quartileMethod="exclusive"/>
          </cx:layoutPr>
        </cx:series>
        <cx:series layoutId="boxWhisker" uniqueId="{086BEF77-753E-4E01-8D48-C7C235EF99D8}">
          <cx:tx>
            <cx:txData>
              <cx:f>'[WaPOR v3 - Decadal - 01012028-20102024 (version 1).xlsb.xlsx]WaPOR vs In-situ'!$C$1</cx:f>
              <cx:v>Measurment - ET</cx:v>
            </cx:txData>
          </cx:tx>
          <cx:spPr>
            <a:ln w="12700">
              <a:solidFill>
                <a:schemeClr val="accent2"/>
              </a:solidFill>
            </a:ln>
          </cx:spPr>
          <cx:dataLabels pos="t">
            <cx:numFmt formatCode="#,##0.00" sourceLinked="0"/>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Narrow" panose="02110004020202020204"/>
                </a:endParaRPr>
              </a:p>
            </cx:txPr>
            <cx:visibility seriesName="0" categoryName="0" value="1"/>
            <cx:separator>, </cx:separator>
          </cx:dataLabels>
          <cx:dataId val="1"/>
          <cx:layoutPr>
            <cx:visibility meanLine="0" meanMarker="0" nonoutliers="0"/>
            <cx:statistics quartileMethod="exclusive"/>
          </cx:layoutPr>
        </cx:series>
      </cx:plotAreaRegion>
      <cx:axis id="0" hidden="1">
        <cx:catScaling gapWidth="1.10000002"/>
        <cx:tickLabels/>
      </cx:axis>
      <cx:axis id="1">
        <cx:valScaling/>
        <cx:majorGridlines/>
        <cx:tickLabels/>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Aptos" panose="02110004020202020204"/>
            </a:endParaRPr>
          </a:p>
        </cx:txPr>
      </cx:axis>
    </cx:plotArea>
    <cx:legend pos="b" align="ctr" overlay="0">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Aptos" panose="02110004020202020204"/>
          </a:endParaRPr>
        </a:p>
      </cx:txPr>
    </cx:legend>
  </cx:chart>
  <cx:spPr>
    <a:ln>
      <a:noFill/>
    </a:ln>
  </cx:spPr>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'[WaPOR v3 - Decadal - 01012028-20102024 (version 1).xlsb.xlsx]WaPOR vs In-situ'!$B$128:$B$139</cx:f>
        <cx:lvl ptCount="12" formatCode="General">
          <cx:pt idx="0">1.7</cx:pt>
          <cx:pt idx="1">2</cx:pt>
          <cx:pt idx="2">2.2000000000000002</cx:pt>
          <cx:pt idx="3">2.6000000000000001</cx:pt>
          <cx:pt idx="4">3</cx:pt>
          <cx:pt idx="5">3.2999999999999998</cx:pt>
          <cx:pt idx="6">3.7000000000000002</cx:pt>
          <cx:pt idx="7">4</cx:pt>
          <cx:pt idx="8">3.8999999999999999</cx:pt>
          <cx:pt idx="9">3.3999999999999999</cx:pt>
          <cx:pt idx="10">3.2000000000000002</cx:pt>
          <cx:pt idx="11">2.6000000000000001</cx:pt>
        </cx:lvl>
      </cx:numDim>
    </cx:data>
    <cx:data id="1">
      <cx:numDim type="val">
        <cx:f>'[WaPOR v3 - Decadal - 01012028-20102024 (version 1).xlsb.xlsx]WaPOR vs In-situ'!$C$128:$C$139</cx:f>
        <cx:lvl ptCount="12" formatCode="General">
          <cx:pt idx="0">4.5884470775510193</cx:pt>
          <cx:pt idx="1">4.7222989714285699</cx:pt>
          <cx:pt idx="2">5.051012620408164</cx:pt>
          <cx:pt idx="3">5.0118421959183674</cx:pt>
          <cx:pt idx="4">5.0453729469387749</cx:pt>
          <cx:pt idx="5">5.0701069816326534</cx:pt>
          <cx:pt idx="6">4.1889807829313543</cx:pt>
          <cx:pt idx="7">4.7903278326530607</cx:pt>
          <cx:pt idx="8">4.4915897061224488</cx:pt>
          <cx:pt idx="9">3.7888948489795915</cx:pt>
          <cx:pt idx="10">2.7940955448979587</cx:pt>
          <cx:pt idx="11">2.6115255530612242</cx:pt>
        </cx:lvl>
      </cx:numDim>
    </cx:data>
  </cx:chartData>
  <cx:chart>
    <cx:plotArea>
      <cx:plotAreaRegion>
        <cx:plotSurface>
          <cx:spPr>
            <a:ln w="28575"/>
          </cx:spPr>
        </cx:plotSurface>
        <cx:series layoutId="boxWhisker" uniqueId="{06D56CEA-8D66-4DA1-87B2-E4AA9B67C8C2}">
          <cx:tx>
            <cx:txData>
              <cx:f>'[WaPOR v3 - Decadal - 01012028-20102024 (version 1).xlsb.xlsx]WaPOR vs In-situ'!$B$1</cx:f>
              <cx:v>WaPOR - ET</cx:v>
            </cx:txData>
          </cx:tx>
          <cx:spPr>
            <a:ln w="12700">
              <a:solidFill>
                <a:schemeClr val="accent1"/>
              </a:solidFill>
            </a:ln>
          </cx:spPr>
          <cx:dataLabels pos="t">
            <cx:numFmt formatCode="#,##0.00" sourceLinked="0"/>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Narrow" panose="02110004020202020204"/>
                </a:endParaRPr>
              </a:p>
            </cx:txPr>
            <cx:visibility seriesName="0" categoryName="0" value="1"/>
            <cx:separator>, </cx:separator>
          </cx:dataLabels>
          <cx:dataId val="0"/>
          <cx:layoutPr>
            <cx:visibility meanMarker="0" nonoutliers="0"/>
            <cx:statistics quartileMethod="exclusive"/>
          </cx:layoutPr>
        </cx:series>
        <cx:series layoutId="boxWhisker" uniqueId="{086BEF77-753E-4E01-8D48-C7C235EF99D8}">
          <cx:tx>
            <cx:txData>
              <cx:f>'[WaPOR v3 - Decadal - 01012028-20102024 (version 1).xlsb.xlsx]WaPOR vs In-situ'!$C$1</cx:f>
              <cx:v>Measurment - ET</cx:v>
            </cx:txData>
          </cx:tx>
          <cx:spPr>
            <a:ln w="12700">
              <a:solidFill>
                <a:schemeClr val="accent2"/>
              </a:solidFill>
            </a:ln>
          </cx:spPr>
          <cx:dataLabels pos="t">
            <cx:numFmt formatCode="#,##0.00" sourceLinked="0"/>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Narrow" panose="02110004020202020204"/>
                </a:endParaRPr>
              </a:p>
            </cx:txPr>
            <cx:visibility seriesName="0" categoryName="0" value="1"/>
            <cx:separator>, </cx:separator>
          </cx:dataLabels>
          <cx:dataId val="1"/>
          <cx:layoutPr>
            <cx:visibility meanMarker="0" nonoutliers="0"/>
            <cx:statistics quartileMethod="exclusive"/>
          </cx:layoutPr>
        </cx:series>
      </cx:plotAreaRegion>
      <cx:axis id="0" hidden="1">
        <cx:catScaling gapWidth="1.10000002"/>
        <cx:tickLabels/>
      </cx:axis>
      <cx:axis id="1">
        <cx:valScaling/>
        <cx:majorGridlines/>
        <cx:tickLabels/>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Aptos" panose="02110004020202020204"/>
            </a:endParaRPr>
          </a:p>
        </cx:txPr>
      </cx:axis>
    </cx:plotArea>
    <cx:legend pos="b" align="ctr" overlay="0">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Aptos" panose="02110004020202020204"/>
          </a:endParaRPr>
        </a:p>
      </cx:txPr>
    </cx:legend>
  </cx:chart>
  <cx:spPr>
    <a:ln>
      <a:noFill/>
    </a:ln>
  </cx:spPr>
</cx:chartSpace>
</file>

<file path=word/charts/chartEx9.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'[WaPOR v3 - Decadal - 01012028-20102024 (version 1).xlsb.xlsx]WaPOR vs In-situ'!$B$145:$B$159</cx:f>
        <cx:lvl ptCount="15" formatCode="General">
          <cx:pt idx="0">0.29999999999999999</cx:pt>
          <cx:pt idx="1">0.69999999999999996</cx:pt>
          <cx:pt idx="2">1.1000000000000001</cx:pt>
          <cx:pt idx="3">1.1000000000000001</cx:pt>
          <cx:pt idx="4">2.2000000000000002</cx:pt>
          <cx:pt idx="5">2.2000000000000002</cx:pt>
          <cx:pt idx="6">3.1000000000000001</cx:pt>
          <cx:pt idx="7">3.6000000000000001</cx:pt>
          <cx:pt idx="8">3.2000000000000002</cx:pt>
          <cx:pt idx="9">3.8999999999999999</cx:pt>
          <cx:pt idx="10">5.7000000000000002</cx:pt>
          <cx:pt idx="11">4.7999999999999998</cx:pt>
          <cx:pt idx="12">3.8999999999999999</cx:pt>
          <cx:pt idx="13">3</cx:pt>
          <cx:pt idx="14">2</cx:pt>
        </cx:lvl>
      </cx:numDim>
    </cx:data>
    <cx:data id="1">
      <cx:numDim type="val">
        <cx:f>'[WaPOR v3 - Decadal - 01012028-20102024 (version 1).xlsb.xlsx]WaPOR vs In-situ'!$C$145:$C$159</cx:f>
        <cx:lvl ptCount="15" formatCode="General">
          <cx:pt idx="0">1.1888746970408159</cx:pt>
          <cx:pt idx="1">0.87996163792516979</cx:pt>
          <cx:pt idx="2">1.3213606212244897</cx:pt>
          <cx:pt idx="3">1.2670128450102043</cx:pt>
          <cx:pt idx="4">1.1999500748608531</cx:pt>
          <cx:pt idx="5">1.9453</cx:pt>
          <cx:pt idx="6">1.7228999999999999</cx:pt>
          <cx:pt idx="7">2.6065000000000005</cx:pt>
          <cx:pt idx="8">3.1763000000000003</cx:pt>
          <cx:pt idx="9">2.7751000000000001</cx:pt>
          <cx:pt idx="10">3.1016363636363633</cx:pt>
          <cx:pt idx="11">3.9998000000000005</cx:pt>
          <cx:pt idx="12">4.1362000000000005</cx:pt>
          <cx:pt idx="13">3.8254000000000006</cx:pt>
          <cx:pt idx="14">1.9014</cx:pt>
        </cx:lvl>
      </cx:numDim>
    </cx:data>
  </cx:chartData>
  <cx:chart>
    <cx:plotArea>
      <cx:plotAreaRegion>
        <cx:plotSurface>
          <cx:spPr>
            <a:ln w="28575"/>
          </cx:spPr>
        </cx:plotSurface>
        <cx:series layoutId="boxWhisker" uniqueId="{06D56CEA-8D66-4DA1-87B2-E4AA9B67C8C2}">
          <cx:tx>
            <cx:txData>
              <cx:f>'[WaPOR v3 - Decadal - 01012028-20102024 (version 1).xlsb.xlsx]WaPOR vs In-situ'!$B$1</cx:f>
              <cx:v>WaPOR - ET</cx:v>
            </cx:txData>
          </cx:tx>
          <cx:spPr>
            <a:ln w="12700">
              <a:solidFill>
                <a:schemeClr val="accent1"/>
              </a:solidFill>
            </a:ln>
          </cx:spPr>
          <cx:dataLabels pos="t">
            <cx:numFmt formatCode="#,##0.00" sourceLinked="0"/>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Narrow" panose="02110004020202020204"/>
                </a:endParaRPr>
              </a:p>
            </cx:txPr>
            <cx:visibility seriesName="0" categoryName="0" value="1"/>
            <cx:separator>, </cx:separator>
          </cx:dataLabels>
          <cx:dataId val="0"/>
          <cx:layoutPr>
            <cx:visibility meanMarker="0" nonoutliers="0"/>
            <cx:statistics quartileMethod="exclusive"/>
          </cx:layoutPr>
        </cx:series>
        <cx:series layoutId="boxWhisker" uniqueId="{086BEF77-753E-4E01-8D48-C7C235EF99D8}">
          <cx:tx>
            <cx:txData>
              <cx:f>'[WaPOR v3 - Decadal - 01012028-20102024 (version 1).xlsb.xlsx]WaPOR vs In-situ'!$C$1</cx:f>
              <cx:v>Measurment - ET</cx:v>
            </cx:txData>
          </cx:tx>
          <cx:spPr>
            <a:ln w="12700">
              <a:solidFill>
                <a:schemeClr val="accent2"/>
              </a:solidFill>
            </a:ln>
          </cx:spPr>
          <cx:dataLabels pos="t">
            <cx:numFmt formatCode="#,##0.00" sourceLinked="0"/>
            <cx:txPr>
              <a:bodyPr spcFirstLastPara="1" vertOverflow="ellipsis" horzOverflow="overflow" wrap="square" lIns="0" tIns="0" rIns="0" bIns="0" anchor="ctr" anchorCtr="1"/>
              <a:lstStyle/>
              <a:p>
                <a:pPr algn="ctr" rtl="0">
                  <a:defRPr sz="600" b="1"/>
                </a:pPr>
                <a:endParaRPr lang="en-US" sz="600" b="1" i="0" u="none" strike="noStrike" baseline="0">
                  <a:solidFill>
                    <a:sysClr val="windowText" lastClr="000000">
                      <a:lumMod val="75000"/>
                      <a:lumOff val="25000"/>
                    </a:sysClr>
                  </a:solidFill>
                  <a:latin typeface="Aptos Narrow" panose="02110004020202020204"/>
                </a:endParaRPr>
              </a:p>
            </cx:txPr>
            <cx:visibility seriesName="0" categoryName="0" value="1"/>
            <cx:separator>, </cx:separator>
          </cx:dataLabels>
          <cx:dataId val="1"/>
          <cx:layoutPr>
            <cx:visibility meanMarker="0" nonoutliers="0"/>
            <cx:statistics quartileMethod="exclusive"/>
          </cx:layoutPr>
        </cx:series>
      </cx:plotAreaRegion>
      <cx:axis id="0" hidden="1">
        <cx:catScaling gapWidth="1.10000002"/>
        <cx:tickLabels/>
      </cx:axis>
      <cx:axis id="1">
        <cx:valScaling/>
        <cx:majorGridlines/>
        <cx:tickLabels/>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Aptos" panose="02110004020202020204"/>
            </a:endParaRPr>
          </a:p>
        </cx:txPr>
      </cx:axis>
    </cx:plotArea>
    <cx:legend pos="b" align="ctr" overlay="0">
      <cx:txPr>
        <a:bodyPr spcFirstLastPara="1" vertOverflow="ellipsis" horzOverflow="overflow" wrap="square" lIns="0" tIns="0" rIns="0" bIns="0" anchor="ctr" anchorCtr="1"/>
        <a:lstStyle/>
        <a:p>
          <a:pPr algn="ctr" rtl="0">
            <a:defRPr sz="600"/>
          </a:pPr>
          <a:endParaRPr lang="en-US" sz="600" b="0" i="0" u="none" strike="noStrike" baseline="0">
            <a:solidFill>
              <a:sysClr val="windowText" lastClr="000000">
                <a:lumMod val="65000"/>
                <a:lumOff val="35000"/>
              </a:sysClr>
            </a:solidFill>
            <a:latin typeface="Aptos" panose="02110004020202020204"/>
          </a:endParaRPr>
        </a:p>
      </cx:txPr>
    </cx:legend>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407">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ln>
        <a:solidFill>
          <a:schemeClr val="phClr"/>
        </a:solidFill>
      </a:ln>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407">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ln>
        <a:solidFill>
          <a:schemeClr val="phClr"/>
        </a:solidFill>
      </a:ln>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407">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ln>
        <a:solidFill>
          <a:schemeClr val="phClr"/>
        </a:solidFill>
      </a:ln>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407">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ln>
        <a:solidFill>
          <a:schemeClr val="phClr"/>
        </a:solidFill>
      </a:ln>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407">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ln>
        <a:solidFill>
          <a:schemeClr val="phClr"/>
        </a:solidFill>
      </a:ln>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07">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ln>
        <a:solidFill>
          <a:schemeClr val="phClr"/>
        </a:solidFill>
      </a:ln>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407">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ln>
        <a:solidFill>
          <a:schemeClr val="phClr"/>
        </a:solidFill>
      </a:ln>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407">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ln>
        <a:solidFill>
          <a:schemeClr val="phClr"/>
        </a:solidFill>
      </a:ln>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407">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ln>
        <a:solidFill>
          <a:schemeClr val="phClr"/>
        </a:solidFill>
      </a:ln>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2ED2BE-E657-421E-A9C8-5145C68824FC}"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9571F2BA-6C95-4574-A81A-2F278AF9B8FD}">
      <dgm:prSet phldrT="[Text]"/>
      <dgm:spPr/>
      <dgm:t>
        <a:bodyPr/>
        <a:lstStyle/>
        <a:p>
          <a:r>
            <a:rPr lang="en-US" b="1"/>
            <a:t>Vegetation Parameters</a:t>
          </a:r>
          <a:endParaRPr lang="en-US"/>
        </a:p>
      </dgm:t>
    </dgm:pt>
    <dgm:pt modelId="{2FD171BD-F177-43C5-83C1-32CD88A0ACF2}" type="parTrans" cxnId="{2BE82018-7E48-49FE-991D-834F72C48A08}">
      <dgm:prSet/>
      <dgm:spPr/>
      <dgm:t>
        <a:bodyPr/>
        <a:lstStyle/>
        <a:p>
          <a:endParaRPr lang="en-US"/>
        </a:p>
      </dgm:t>
    </dgm:pt>
    <dgm:pt modelId="{B2924699-14C4-403D-B5DF-F4A22C6C003A}" type="sibTrans" cxnId="{2BE82018-7E48-49FE-991D-834F72C48A08}">
      <dgm:prSet/>
      <dgm:spPr/>
      <dgm:t>
        <a:bodyPr/>
        <a:lstStyle/>
        <a:p>
          <a:endParaRPr lang="en-US"/>
        </a:p>
      </dgm:t>
    </dgm:pt>
    <dgm:pt modelId="{C2967FFC-4A33-4EFF-8B27-6C1C457D327D}">
      <dgm:prSet phldrT="[Text]"/>
      <dgm:spPr/>
      <dgm:t>
        <a:bodyPr/>
        <a:lstStyle/>
        <a:p>
          <a:r>
            <a:rPr lang="en-US" b="1"/>
            <a:t>Net Radiation Calculation</a:t>
          </a:r>
          <a:endParaRPr lang="en-US"/>
        </a:p>
      </dgm:t>
    </dgm:pt>
    <dgm:pt modelId="{A98FAFE5-5C5C-42D9-BAE9-1F26E91A204B}" type="parTrans" cxnId="{B75E59B7-CEFF-456E-8B2C-E4090CFC3118}">
      <dgm:prSet/>
      <dgm:spPr/>
      <dgm:t>
        <a:bodyPr/>
        <a:lstStyle/>
        <a:p>
          <a:endParaRPr lang="en-US"/>
        </a:p>
      </dgm:t>
    </dgm:pt>
    <dgm:pt modelId="{E4F8EE7B-CFBB-490D-8FE1-0B9746ABA012}" type="sibTrans" cxnId="{B75E59B7-CEFF-456E-8B2C-E4090CFC3118}">
      <dgm:prSet/>
      <dgm:spPr/>
      <dgm:t>
        <a:bodyPr/>
        <a:lstStyle/>
        <a:p>
          <a:endParaRPr lang="en-US"/>
        </a:p>
      </dgm:t>
    </dgm:pt>
    <dgm:pt modelId="{A4AE3B5E-70AB-4B8D-A8C0-71796A4FF2B2}">
      <dgm:prSet phldrT="[Text]"/>
      <dgm:spPr/>
      <dgm:t>
        <a:bodyPr/>
        <a:lstStyle/>
        <a:p>
          <a:r>
            <a:rPr lang="en-US" b="1"/>
            <a:t>Soil Heat Flux (G)</a:t>
          </a:r>
          <a:endParaRPr lang="en-US"/>
        </a:p>
      </dgm:t>
    </dgm:pt>
    <dgm:pt modelId="{FF8264AD-3307-4994-AC82-45DB168A269D}" type="parTrans" cxnId="{FC7A060E-97EE-4290-A62D-F943F10353B1}">
      <dgm:prSet/>
      <dgm:spPr/>
      <dgm:t>
        <a:bodyPr/>
        <a:lstStyle/>
        <a:p>
          <a:endParaRPr lang="en-US"/>
        </a:p>
      </dgm:t>
    </dgm:pt>
    <dgm:pt modelId="{953E9C42-E387-4EAC-8EA2-38D835ECFE64}" type="sibTrans" cxnId="{FC7A060E-97EE-4290-A62D-F943F10353B1}">
      <dgm:prSet/>
      <dgm:spPr/>
      <dgm:t>
        <a:bodyPr/>
        <a:lstStyle/>
        <a:p>
          <a:endParaRPr lang="en-US"/>
        </a:p>
      </dgm:t>
    </dgm:pt>
    <dgm:pt modelId="{C299EEB8-CFD8-45D0-AFC4-49517B809CB3}">
      <dgm:prSet phldrT="[Text]"/>
      <dgm:spPr/>
      <dgm:t>
        <a:bodyPr/>
        <a:lstStyle/>
        <a:p>
          <a:r>
            <a:rPr lang="en-US" b="1"/>
            <a:t>Meteorological Data</a:t>
          </a:r>
          <a:endParaRPr lang="en-US"/>
        </a:p>
      </dgm:t>
    </dgm:pt>
    <dgm:pt modelId="{F6EFEBD1-8FED-4E7F-8AF0-147347FC01CD}" type="parTrans" cxnId="{092603BE-522E-4E7E-8AEB-361B4189D17B}">
      <dgm:prSet/>
      <dgm:spPr/>
      <dgm:t>
        <a:bodyPr/>
        <a:lstStyle/>
        <a:p>
          <a:endParaRPr lang="en-US"/>
        </a:p>
      </dgm:t>
    </dgm:pt>
    <dgm:pt modelId="{C7DECEFD-A973-43FA-AAD2-723FE0A93EA8}" type="sibTrans" cxnId="{092603BE-522E-4E7E-8AEB-361B4189D17B}">
      <dgm:prSet/>
      <dgm:spPr/>
      <dgm:t>
        <a:bodyPr/>
        <a:lstStyle/>
        <a:p>
          <a:endParaRPr lang="en-US"/>
        </a:p>
      </dgm:t>
    </dgm:pt>
    <dgm:pt modelId="{B9182C16-D34B-41E3-808C-7757457FF1E5}">
      <dgm:prSet phldrT="[Text]"/>
      <dgm:spPr/>
      <dgm:t>
        <a:bodyPr/>
        <a:lstStyle/>
        <a:p>
          <a:r>
            <a:rPr lang="en-US" b="1"/>
            <a:t>Surface Resistance and Aerodynamic Resistance</a:t>
          </a:r>
          <a:endParaRPr lang="en-US"/>
        </a:p>
      </dgm:t>
    </dgm:pt>
    <dgm:pt modelId="{D4EB9C65-C75F-4141-B23C-9145EB5B4741}" type="parTrans" cxnId="{924FBEC2-0AD8-4DCB-BC26-273D24203C40}">
      <dgm:prSet/>
      <dgm:spPr/>
      <dgm:t>
        <a:bodyPr/>
        <a:lstStyle/>
        <a:p>
          <a:endParaRPr lang="en-US"/>
        </a:p>
      </dgm:t>
    </dgm:pt>
    <dgm:pt modelId="{430AAAAD-D0FA-4FA4-93C5-7FE45378811B}" type="sibTrans" cxnId="{924FBEC2-0AD8-4DCB-BC26-273D24203C40}">
      <dgm:prSet/>
      <dgm:spPr/>
      <dgm:t>
        <a:bodyPr/>
        <a:lstStyle/>
        <a:p>
          <a:endParaRPr lang="en-US"/>
        </a:p>
      </dgm:t>
    </dgm:pt>
    <dgm:pt modelId="{8591C378-A5EF-4B9E-A240-83DA56B1A2C3}">
      <dgm:prSet phldrT="[Text]"/>
      <dgm:spPr/>
      <dgm:t>
        <a:bodyPr/>
        <a:lstStyle/>
        <a:p>
          <a:r>
            <a:rPr lang="en-US"/>
            <a:t>Inputs</a:t>
          </a:r>
        </a:p>
      </dgm:t>
    </dgm:pt>
    <dgm:pt modelId="{867D90EA-301D-47CF-A0AD-524D10989AC2}" type="parTrans" cxnId="{8EBAA566-3A10-4782-9AE1-800FC1B1A821}">
      <dgm:prSet/>
      <dgm:spPr/>
      <dgm:t>
        <a:bodyPr/>
        <a:lstStyle/>
        <a:p>
          <a:endParaRPr lang="en-US"/>
        </a:p>
      </dgm:t>
    </dgm:pt>
    <dgm:pt modelId="{0C2C7A6D-6BCC-42EC-91F0-1F3650270945}" type="sibTrans" cxnId="{8EBAA566-3A10-4782-9AE1-800FC1B1A821}">
      <dgm:prSet/>
      <dgm:spPr/>
      <dgm:t>
        <a:bodyPr/>
        <a:lstStyle/>
        <a:p>
          <a:endParaRPr lang="en-US"/>
        </a:p>
      </dgm:t>
    </dgm:pt>
    <dgm:pt modelId="{C7F88A94-A06E-45F4-9723-14AE22FFD27A}">
      <dgm:prSet phldrT="[Text]"/>
      <dgm:spPr/>
      <dgm:t>
        <a:bodyPr/>
        <a:lstStyle/>
        <a:p>
          <a:r>
            <a:rPr lang="en-US"/>
            <a:t>Calculations</a:t>
          </a:r>
        </a:p>
      </dgm:t>
    </dgm:pt>
    <dgm:pt modelId="{814AB266-91F6-44A9-BD79-AF6D5BCFEE1D}" type="parTrans" cxnId="{02695776-7273-40F0-938E-9D72B3ADEE26}">
      <dgm:prSet/>
      <dgm:spPr/>
      <dgm:t>
        <a:bodyPr/>
        <a:lstStyle/>
        <a:p>
          <a:endParaRPr lang="en-US"/>
        </a:p>
      </dgm:t>
    </dgm:pt>
    <dgm:pt modelId="{0C1D40A2-F460-4575-841B-FC5AB5FB2AF2}" type="sibTrans" cxnId="{02695776-7273-40F0-938E-9D72B3ADEE26}">
      <dgm:prSet/>
      <dgm:spPr/>
      <dgm:t>
        <a:bodyPr/>
        <a:lstStyle/>
        <a:p>
          <a:endParaRPr lang="en-US"/>
        </a:p>
      </dgm:t>
    </dgm:pt>
    <dgm:pt modelId="{6E3A9ED2-D2E7-46FE-BD3C-379518E82786}">
      <dgm:prSet phldrT="[Text]"/>
      <dgm:spPr/>
      <dgm:t>
        <a:bodyPr/>
        <a:lstStyle/>
        <a:p>
          <a:r>
            <a:rPr lang="en-US" b="1"/>
            <a:t>Vapor Pressure Deficit (VPD)</a:t>
          </a:r>
          <a:endParaRPr lang="en-US"/>
        </a:p>
      </dgm:t>
    </dgm:pt>
    <dgm:pt modelId="{C9266A2A-9BB5-43E4-B983-7594C7E5B89C}" type="parTrans" cxnId="{ACC3197B-75DC-4F4C-AA72-540FDC3C9466}">
      <dgm:prSet/>
      <dgm:spPr/>
      <dgm:t>
        <a:bodyPr/>
        <a:lstStyle/>
        <a:p>
          <a:endParaRPr lang="en-US"/>
        </a:p>
      </dgm:t>
    </dgm:pt>
    <dgm:pt modelId="{D50A5D2F-D9A8-4B3E-9301-89C6C704BF27}" type="sibTrans" cxnId="{ACC3197B-75DC-4F4C-AA72-540FDC3C9466}">
      <dgm:prSet/>
      <dgm:spPr/>
      <dgm:t>
        <a:bodyPr/>
        <a:lstStyle/>
        <a:p>
          <a:endParaRPr lang="en-US"/>
        </a:p>
      </dgm:t>
    </dgm:pt>
    <dgm:pt modelId="{A63B9F3B-741D-4A5F-8198-15212076B54F}">
      <dgm:prSet phldrT="[Text]"/>
      <dgm:spPr/>
      <dgm:t>
        <a:bodyPr/>
        <a:lstStyle/>
        <a:p>
          <a:r>
            <a:rPr lang="en-US" b="1"/>
            <a:t>Penman-Monteith ET</a:t>
          </a:r>
          <a:endParaRPr lang="en-US"/>
        </a:p>
      </dgm:t>
    </dgm:pt>
    <dgm:pt modelId="{EFACDDC5-4506-4EB7-9477-EB5F6D045581}" type="parTrans" cxnId="{599797D5-6C0D-4FDD-8DE9-06652E318C83}">
      <dgm:prSet/>
      <dgm:spPr/>
      <dgm:t>
        <a:bodyPr/>
        <a:lstStyle/>
        <a:p>
          <a:endParaRPr lang="en-US"/>
        </a:p>
      </dgm:t>
    </dgm:pt>
    <dgm:pt modelId="{3A0EADBE-16CD-4FA0-B946-AD0733DEFEEF}" type="sibTrans" cxnId="{599797D5-6C0D-4FDD-8DE9-06652E318C83}">
      <dgm:prSet/>
      <dgm:spPr/>
      <dgm:t>
        <a:bodyPr/>
        <a:lstStyle/>
        <a:p>
          <a:endParaRPr lang="en-US"/>
        </a:p>
      </dgm:t>
    </dgm:pt>
    <dgm:pt modelId="{720ADC8A-D8AE-4D08-9234-FD8E9D81C1BA}">
      <dgm:prSet phldrT="[Text]"/>
      <dgm:spPr/>
      <dgm:t>
        <a:bodyPr/>
        <a:lstStyle/>
        <a:p>
          <a:r>
            <a:rPr lang="en-US" b="1"/>
            <a:t>MODIS 16 A 2</a:t>
          </a:r>
          <a:endParaRPr lang="en-US"/>
        </a:p>
      </dgm:t>
    </dgm:pt>
    <dgm:pt modelId="{DAD98F85-8226-429E-A62C-3979EF5FA8DC}" type="sibTrans" cxnId="{BAEA27DB-C872-4979-B7CE-6F58BC93691D}">
      <dgm:prSet/>
      <dgm:spPr/>
      <dgm:t>
        <a:bodyPr/>
        <a:lstStyle/>
        <a:p>
          <a:endParaRPr lang="en-US"/>
        </a:p>
      </dgm:t>
    </dgm:pt>
    <dgm:pt modelId="{6E818A35-C377-4396-A0EE-34F4F4997CAE}" type="parTrans" cxnId="{BAEA27DB-C872-4979-B7CE-6F58BC93691D}">
      <dgm:prSet/>
      <dgm:spPr/>
      <dgm:t>
        <a:bodyPr/>
        <a:lstStyle/>
        <a:p>
          <a:endParaRPr lang="en-US"/>
        </a:p>
      </dgm:t>
    </dgm:pt>
    <dgm:pt modelId="{38ECE125-5BA1-483C-B0B4-25EFEE919B86}">
      <dgm:prSet phldrT="[Text]"/>
      <dgm:spPr/>
      <dgm:t>
        <a:bodyPr/>
        <a:lstStyle/>
        <a:p>
          <a:r>
            <a:rPr lang="en-US">
              <a:solidFill>
                <a:schemeClr val="bg2">
                  <a:lumMod val="90000"/>
                </a:schemeClr>
              </a:solidFill>
            </a:rPr>
            <a:t>.</a:t>
          </a:r>
        </a:p>
      </dgm:t>
    </dgm:pt>
    <dgm:pt modelId="{EEE48D80-7CFB-4751-BFA2-A2678C176D7F}" type="sibTrans" cxnId="{450B1E09-A74E-4CF6-B0CB-DFF2F7CE8510}">
      <dgm:prSet/>
      <dgm:spPr/>
      <dgm:t>
        <a:bodyPr/>
        <a:lstStyle/>
        <a:p>
          <a:endParaRPr lang="en-US"/>
        </a:p>
      </dgm:t>
    </dgm:pt>
    <dgm:pt modelId="{E6FB8CB6-55F5-4E39-8893-C5DDE83E6F80}" type="parTrans" cxnId="{450B1E09-A74E-4CF6-B0CB-DFF2F7CE8510}">
      <dgm:prSet/>
      <dgm:spPr/>
      <dgm:t>
        <a:bodyPr/>
        <a:lstStyle/>
        <a:p>
          <a:endParaRPr lang="en-US"/>
        </a:p>
      </dgm:t>
    </dgm:pt>
    <dgm:pt modelId="{1DCC6BF2-7564-4DC9-A6EB-D181784DDC9A}" type="pres">
      <dgm:prSet presAssocID="{E62ED2BE-E657-421E-A9C8-5145C68824FC}" presName="mainComposite" presStyleCnt="0">
        <dgm:presLayoutVars>
          <dgm:chPref val="1"/>
          <dgm:dir/>
          <dgm:animOne val="branch"/>
          <dgm:animLvl val="lvl"/>
          <dgm:resizeHandles val="exact"/>
        </dgm:presLayoutVars>
      </dgm:prSet>
      <dgm:spPr/>
    </dgm:pt>
    <dgm:pt modelId="{66FF9509-2960-42B3-8451-DC93D9FFF829}" type="pres">
      <dgm:prSet presAssocID="{E62ED2BE-E657-421E-A9C8-5145C68824FC}" presName="hierFlow" presStyleCnt="0"/>
      <dgm:spPr/>
    </dgm:pt>
    <dgm:pt modelId="{1109D6F1-40D0-4D54-AC1C-53CABAAFF9E4}" type="pres">
      <dgm:prSet presAssocID="{E62ED2BE-E657-421E-A9C8-5145C68824FC}" presName="firstBuf" presStyleCnt="0"/>
      <dgm:spPr/>
    </dgm:pt>
    <dgm:pt modelId="{71356CC1-77EC-4A24-833D-70F03A0D363E}" type="pres">
      <dgm:prSet presAssocID="{E62ED2BE-E657-421E-A9C8-5145C68824FC}" presName="hierChild1" presStyleCnt="0">
        <dgm:presLayoutVars>
          <dgm:chPref val="1"/>
          <dgm:animOne val="branch"/>
          <dgm:animLvl val="lvl"/>
        </dgm:presLayoutVars>
      </dgm:prSet>
      <dgm:spPr/>
    </dgm:pt>
    <dgm:pt modelId="{A9966CD7-8FA7-4448-8822-E4AF31339DB9}" type="pres">
      <dgm:prSet presAssocID="{720ADC8A-D8AE-4D08-9234-FD8E9D81C1BA}" presName="Name14" presStyleCnt="0"/>
      <dgm:spPr/>
    </dgm:pt>
    <dgm:pt modelId="{0265831F-4628-401A-9312-04301D016411}" type="pres">
      <dgm:prSet presAssocID="{720ADC8A-D8AE-4D08-9234-FD8E9D81C1BA}" presName="level1Shape" presStyleLbl="node0" presStyleIdx="0" presStyleCnt="1">
        <dgm:presLayoutVars>
          <dgm:chPref val="3"/>
        </dgm:presLayoutVars>
      </dgm:prSet>
      <dgm:spPr/>
    </dgm:pt>
    <dgm:pt modelId="{F9E8D419-6240-409B-8B39-D379804D17BD}" type="pres">
      <dgm:prSet presAssocID="{720ADC8A-D8AE-4D08-9234-FD8E9D81C1BA}" presName="hierChild2" presStyleCnt="0"/>
      <dgm:spPr/>
    </dgm:pt>
    <dgm:pt modelId="{8FC3FD44-0E68-4339-A510-2ECBA74A7277}" type="pres">
      <dgm:prSet presAssocID="{2FD171BD-F177-43C5-83C1-32CD88A0ACF2}" presName="Name19" presStyleLbl="parChTrans1D2" presStyleIdx="0" presStyleCnt="3"/>
      <dgm:spPr/>
    </dgm:pt>
    <dgm:pt modelId="{007ED088-9383-4F25-AD53-5B91A86CBE59}" type="pres">
      <dgm:prSet presAssocID="{9571F2BA-6C95-4574-A81A-2F278AF9B8FD}" presName="Name21" presStyleCnt="0"/>
      <dgm:spPr/>
    </dgm:pt>
    <dgm:pt modelId="{214F8825-8214-4F12-A318-48E9D9CDB040}" type="pres">
      <dgm:prSet presAssocID="{9571F2BA-6C95-4574-A81A-2F278AF9B8FD}" presName="level2Shape" presStyleLbl="node2" presStyleIdx="0" presStyleCnt="3"/>
      <dgm:spPr/>
    </dgm:pt>
    <dgm:pt modelId="{2E617490-E1F8-49B6-9BAA-A6E0B2D64699}" type="pres">
      <dgm:prSet presAssocID="{9571F2BA-6C95-4574-A81A-2F278AF9B8FD}" presName="hierChild3" presStyleCnt="0"/>
      <dgm:spPr/>
    </dgm:pt>
    <dgm:pt modelId="{248C4005-DA1D-40AD-BD90-DF751E27E283}" type="pres">
      <dgm:prSet presAssocID="{A98FAFE5-5C5C-42D9-BAE9-1F26E91A204B}" presName="Name19" presStyleLbl="parChTrans1D3" presStyleIdx="0" presStyleCnt="4"/>
      <dgm:spPr/>
    </dgm:pt>
    <dgm:pt modelId="{C8E8C853-E51D-4C61-8C42-CB3379B32CB3}" type="pres">
      <dgm:prSet presAssocID="{C2967FFC-4A33-4EFF-8B27-6C1C457D327D}" presName="Name21" presStyleCnt="0"/>
      <dgm:spPr/>
    </dgm:pt>
    <dgm:pt modelId="{87D22657-381C-4389-9E87-5990B3695948}" type="pres">
      <dgm:prSet presAssocID="{C2967FFC-4A33-4EFF-8B27-6C1C457D327D}" presName="level2Shape" presStyleLbl="node3" presStyleIdx="0" presStyleCnt="4"/>
      <dgm:spPr/>
    </dgm:pt>
    <dgm:pt modelId="{519A173B-F583-47B9-A2FF-1AC8454594D5}" type="pres">
      <dgm:prSet presAssocID="{C2967FFC-4A33-4EFF-8B27-6C1C457D327D}" presName="hierChild3" presStyleCnt="0"/>
      <dgm:spPr/>
    </dgm:pt>
    <dgm:pt modelId="{A6F24B4A-C3C1-42A5-8625-D76476F8B3E7}" type="pres">
      <dgm:prSet presAssocID="{FF8264AD-3307-4994-AC82-45DB168A269D}" presName="Name19" presStyleLbl="parChTrans1D3" presStyleIdx="1" presStyleCnt="4"/>
      <dgm:spPr/>
    </dgm:pt>
    <dgm:pt modelId="{1D76554F-3E88-4454-A5CA-C112C2589549}" type="pres">
      <dgm:prSet presAssocID="{A4AE3B5E-70AB-4B8D-A8C0-71796A4FF2B2}" presName="Name21" presStyleCnt="0"/>
      <dgm:spPr/>
    </dgm:pt>
    <dgm:pt modelId="{9A7B0E54-E78C-43F6-8098-B15466F6D48D}" type="pres">
      <dgm:prSet presAssocID="{A4AE3B5E-70AB-4B8D-A8C0-71796A4FF2B2}" presName="level2Shape" presStyleLbl="node3" presStyleIdx="1" presStyleCnt="4"/>
      <dgm:spPr/>
    </dgm:pt>
    <dgm:pt modelId="{F026F1D7-0FAB-425D-A76F-9AC6F2BA7B16}" type="pres">
      <dgm:prSet presAssocID="{A4AE3B5E-70AB-4B8D-A8C0-71796A4FF2B2}" presName="hierChild3" presStyleCnt="0"/>
      <dgm:spPr/>
    </dgm:pt>
    <dgm:pt modelId="{9535889D-C57D-4258-9078-EC8C74FE335C}" type="pres">
      <dgm:prSet presAssocID="{F6EFEBD1-8FED-4E7F-8AF0-147347FC01CD}" presName="Name19" presStyleLbl="parChTrans1D2" presStyleIdx="1" presStyleCnt="3"/>
      <dgm:spPr/>
    </dgm:pt>
    <dgm:pt modelId="{3ED12C5C-E4C3-4FD2-9A97-8B71E6B79440}" type="pres">
      <dgm:prSet presAssocID="{C299EEB8-CFD8-45D0-AFC4-49517B809CB3}" presName="Name21" presStyleCnt="0"/>
      <dgm:spPr/>
    </dgm:pt>
    <dgm:pt modelId="{57A80215-47F3-4D49-8791-4CEC129E1952}" type="pres">
      <dgm:prSet presAssocID="{C299EEB8-CFD8-45D0-AFC4-49517B809CB3}" presName="level2Shape" presStyleLbl="node2" presStyleIdx="1" presStyleCnt="3"/>
      <dgm:spPr/>
    </dgm:pt>
    <dgm:pt modelId="{7F46240D-2642-4F30-8A9B-8AC21B4B17EC}" type="pres">
      <dgm:prSet presAssocID="{C299EEB8-CFD8-45D0-AFC4-49517B809CB3}" presName="hierChild3" presStyleCnt="0"/>
      <dgm:spPr/>
    </dgm:pt>
    <dgm:pt modelId="{CD8EE827-1FFE-415E-AEF0-774E9C0A72C5}" type="pres">
      <dgm:prSet presAssocID="{C9266A2A-9BB5-43E4-B983-7594C7E5B89C}" presName="Name19" presStyleLbl="parChTrans1D3" presStyleIdx="2" presStyleCnt="4"/>
      <dgm:spPr/>
    </dgm:pt>
    <dgm:pt modelId="{44E65AC2-F462-4475-A822-6440F6E73079}" type="pres">
      <dgm:prSet presAssocID="{6E3A9ED2-D2E7-46FE-BD3C-379518E82786}" presName="Name21" presStyleCnt="0"/>
      <dgm:spPr/>
    </dgm:pt>
    <dgm:pt modelId="{A8EC0565-8A0F-4B53-BE3A-DE9BAFA62137}" type="pres">
      <dgm:prSet presAssocID="{6E3A9ED2-D2E7-46FE-BD3C-379518E82786}" presName="level2Shape" presStyleLbl="node3" presStyleIdx="2" presStyleCnt="4"/>
      <dgm:spPr/>
    </dgm:pt>
    <dgm:pt modelId="{8303A399-EFB5-4FA3-A19B-BC123A2E7A99}" type="pres">
      <dgm:prSet presAssocID="{6E3A9ED2-D2E7-46FE-BD3C-379518E82786}" presName="hierChild3" presStyleCnt="0"/>
      <dgm:spPr/>
    </dgm:pt>
    <dgm:pt modelId="{3D4BD37B-7CAF-4C3E-B667-773ACDABD6E1}" type="pres">
      <dgm:prSet presAssocID="{D4EB9C65-C75F-4141-B23C-9145EB5B4741}" presName="Name19" presStyleLbl="parChTrans1D2" presStyleIdx="2" presStyleCnt="3"/>
      <dgm:spPr/>
    </dgm:pt>
    <dgm:pt modelId="{10E0372E-66F6-4C89-A1B3-92E82F6292C3}" type="pres">
      <dgm:prSet presAssocID="{B9182C16-D34B-41E3-808C-7757457FF1E5}" presName="Name21" presStyleCnt="0"/>
      <dgm:spPr/>
    </dgm:pt>
    <dgm:pt modelId="{45D733E1-1D67-4B12-ABD6-E7808238AC20}" type="pres">
      <dgm:prSet presAssocID="{B9182C16-D34B-41E3-808C-7757457FF1E5}" presName="level2Shape" presStyleLbl="node2" presStyleIdx="2" presStyleCnt="3"/>
      <dgm:spPr/>
    </dgm:pt>
    <dgm:pt modelId="{32533741-71D8-49AC-83DC-F0612D6F92CB}" type="pres">
      <dgm:prSet presAssocID="{B9182C16-D34B-41E3-808C-7757457FF1E5}" presName="hierChild3" presStyleCnt="0"/>
      <dgm:spPr/>
    </dgm:pt>
    <dgm:pt modelId="{037D690C-7D12-404B-8113-70F1A06CD15A}" type="pres">
      <dgm:prSet presAssocID="{EFACDDC5-4506-4EB7-9477-EB5F6D045581}" presName="Name19" presStyleLbl="parChTrans1D3" presStyleIdx="3" presStyleCnt="4"/>
      <dgm:spPr/>
    </dgm:pt>
    <dgm:pt modelId="{57CA4EF9-D50B-4BEA-BF94-62139C450E6B}" type="pres">
      <dgm:prSet presAssocID="{A63B9F3B-741D-4A5F-8198-15212076B54F}" presName="Name21" presStyleCnt="0"/>
      <dgm:spPr/>
    </dgm:pt>
    <dgm:pt modelId="{56E2AAF0-DDA1-401A-A151-C1BA6586C513}" type="pres">
      <dgm:prSet presAssocID="{A63B9F3B-741D-4A5F-8198-15212076B54F}" presName="level2Shape" presStyleLbl="node3" presStyleIdx="3" presStyleCnt="4"/>
      <dgm:spPr/>
    </dgm:pt>
    <dgm:pt modelId="{D78C864C-7E41-4752-B83A-DDD8A77DA40F}" type="pres">
      <dgm:prSet presAssocID="{A63B9F3B-741D-4A5F-8198-15212076B54F}" presName="hierChild3" presStyleCnt="0"/>
      <dgm:spPr/>
    </dgm:pt>
    <dgm:pt modelId="{671804C8-5581-4AE8-8A9F-A1E7870A783F}" type="pres">
      <dgm:prSet presAssocID="{E62ED2BE-E657-421E-A9C8-5145C68824FC}" presName="bgShapesFlow" presStyleCnt="0"/>
      <dgm:spPr/>
    </dgm:pt>
    <dgm:pt modelId="{62A9DBA6-BB48-4EC8-A5AA-6956CA27A6C1}" type="pres">
      <dgm:prSet presAssocID="{38ECE125-5BA1-483C-B0B4-25EFEE919B86}" presName="rectComp" presStyleCnt="0"/>
      <dgm:spPr/>
    </dgm:pt>
    <dgm:pt modelId="{B9C513A6-6779-4B32-9E4A-4341E39388FA}" type="pres">
      <dgm:prSet presAssocID="{38ECE125-5BA1-483C-B0B4-25EFEE919B86}" presName="bgRect" presStyleLbl="bgShp" presStyleIdx="0" presStyleCnt="3"/>
      <dgm:spPr/>
    </dgm:pt>
    <dgm:pt modelId="{93A6E46B-FEEC-435A-B272-0BE17D414D25}" type="pres">
      <dgm:prSet presAssocID="{38ECE125-5BA1-483C-B0B4-25EFEE919B86}" presName="bgRectTx" presStyleLbl="bgShp" presStyleIdx="0" presStyleCnt="3">
        <dgm:presLayoutVars>
          <dgm:bulletEnabled val="1"/>
        </dgm:presLayoutVars>
      </dgm:prSet>
      <dgm:spPr/>
    </dgm:pt>
    <dgm:pt modelId="{54558BE0-FC50-487F-9D65-AD41719993AB}" type="pres">
      <dgm:prSet presAssocID="{38ECE125-5BA1-483C-B0B4-25EFEE919B86}" presName="spComp" presStyleCnt="0"/>
      <dgm:spPr/>
    </dgm:pt>
    <dgm:pt modelId="{DD4CF431-E34A-493C-AF0D-8D32C6B211C6}" type="pres">
      <dgm:prSet presAssocID="{38ECE125-5BA1-483C-B0B4-25EFEE919B86}" presName="vSp" presStyleCnt="0"/>
      <dgm:spPr/>
    </dgm:pt>
    <dgm:pt modelId="{F14ED184-E168-4FA8-B6D8-1A2668F95FAC}" type="pres">
      <dgm:prSet presAssocID="{8591C378-A5EF-4B9E-A240-83DA56B1A2C3}" presName="rectComp" presStyleCnt="0"/>
      <dgm:spPr/>
    </dgm:pt>
    <dgm:pt modelId="{60928DFF-8544-478A-B163-8CD57C484109}" type="pres">
      <dgm:prSet presAssocID="{8591C378-A5EF-4B9E-A240-83DA56B1A2C3}" presName="bgRect" presStyleLbl="bgShp" presStyleIdx="1" presStyleCnt="3"/>
      <dgm:spPr/>
    </dgm:pt>
    <dgm:pt modelId="{11416981-D827-43F6-9144-BCCF1074616B}" type="pres">
      <dgm:prSet presAssocID="{8591C378-A5EF-4B9E-A240-83DA56B1A2C3}" presName="bgRectTx" presStyleLbl="bgShp" presStyleIdx="1" presStyleCnt="3">
        <dgm:presLayoutVars>
          <dgm:bulletEnabled val="1"/>
        </dgm:presLayoutVars>
      </dgm:prSet>
      <dgm:spPr/>
    </dgm:pt>
    <dgm:pt modelId="{CBD41872-4D46-4166-B3F0-65F1E9DFB823}" type="pres">
      <dgm:prSet presAssocID="{8591C378-A5EF-4B9E-A240-83DA56B1A2C3}" presName="spComp" presStyleCnt="0"/>
      <dgm:spPr/>
    </dgm:pt>
    <dgm:pt modelId="{58FD14F4-1BFB-4BBF-8153-E2147B78DA20}" type="pres">
      <dgm:prSet presAssocID="{8591C378-A5EF-4B9E-A240-83DA56B1A2C3}" presName="vSp" presStyleCnt="0"/>
      <dgm:spPr/>
    </dgm:pt>
    <dgm:pt modelId="{C493339A-6EF5-4720-9654-E2FEFB1F935A}" type="pres">
      <dgm:prSet presAssocID="{C7F88A94-A06E-45F4-9723-14AE22FFD27A}" presName="rectComp" presStyleCnt="0"/>
      <dgm:spPr/>
    </dgm:pt>
    <dgm:pt modelId="{527AD7DD-D656-474E-AE98-ED7D51837B6E}" type="pres">
      <dgm:prSet presAssocID="{C7F88A94-A06E-45F4-9723-14AE22FFD27A}" presName="bgRect" presStyleLbl="bgShp" presStyleIdx="2" presStyleCnt="3"/>
      <dgm:spPr/>
    </dgm:pt>
    <dgm:pt modelId="{F1693839-4ADA-445C-8B6A-48B424C3B8BB}" type="pres">
      <dgm:prSet presAssocID="{C7F88A94-A06E-45F4-9723-14AE22FFD27A}" presName="bgRectTx" presStyleLbl="bgShp" presStyleIdx="2" presStyleCnt="3">
        <dgm:presLayoutVars>
          <dgm:bulletEnabled val="1"/>
        </dgm:presLayoutVars>
      </dgm:prSet>
      <dgm:spPr/>
    </dgm:pt>
  </dgm:ptLst>
  <dgm:cxnLst>
    <dgm:cxn modelId="{450B1E09-A74E-4CF6-B0CB-DFF2F7CE8510}" srcId="{E62ED2BE-E657-421E-A9C8-5145C68824FC}" destId="{38ECE125-5BA1-483C-B0B4-25EFEE919B86}" srcOrd="1" destOrd="0" parTransId="{E6FB8CB6-55F5-4E39-8893-C5DDE83E6F80}" sibTransId="{EEE48D80-7CFB-4751-BFA2-A2678C176D7F}"/>
    <dgm:cxn modelId="{FC7A060E-97EE-4290-A62D-F943F10353B1}" srcId="{9571F2BA-6C95-4574-A81A-2F278AF9B8FD}" destId="{A4AE3B5E-70AB-4B8D-A8C0-71796A4FF2B2}" srcOrd="1" destOrd="0" parTransId="{FF8264AD-3307-4994-AC82-45DB168A269D}" sibTransId="{953E9C42-E387-4EAC-8EA2-38D835ECFE64}"/>
    <dgm:cxn modelId="{C188B812-8D01-4D91-8B46-BC250B3E05B5}" type="presOf" srcId="{38ECE125-5BA1-483C-B0B4-25EFEE919B86}" destId="{B9C513A6-6779-4B32-9E4A-4341E39388FA}" srcOrd="0" destOrd="0" presId="urn:microsoft.com/office/officeart/2005/8/layout/hierarchy6"/>
    <dgm:cxn modelId="{3A3BEA17-9E54-4AE5-8DC7-EEA23862D03E}" type="presOf" srcId="{F6EFEBD1-8FED-4E7F-8AF0-147347FC01CD}" destId="{9535889D-C57D-4258-9078-EC8C74FE335C}" srcOrd="0" destOrd="0" presId="urn:microsoft.com/office/officeart/2005/8/layout/hierarchy6"/>
    <dgm:cxn modelId="{2BE82018-7E48-49FE-991D-834F72C48A08}" srcId="{720ADC8A-D8AE-4D08-9234-FD8E9D81C1BA}" destId="{9571F2BA-6C95-4574-A81A-2F278AF9B8FD}" srcOrd="0" destOrd="0" parTransId="{2FD171BD-F177-43C5-83C1-32CD88A0ACF2}" sibTransId="{B2924699-14C4-403D-B5DF-F4A22C6C003A}"/>
    <dgm:cxn modelId="{555F261E-5C88-4E9D-95C1-B4A5CAD1A6C1}" type="presOf" srcId="{38ECE125-5BA1-483C-B0B4-25EFEE919B86}" destId="{93A6E46B-FEEC-435A-B272-0BE17D414D25}" srcOrd="1" destOrd="0" presId="urn:microsoft.com/office/officeart/2005/8/layout/hierarchy6"/>
    <dgm:cxn modelId="{DCF06C22-3F9E-4A7A-B4D7-0B01FAAAAE36}" type="presOf" srcId="{E62ED2BE-E657-421E-A9C8-5145C68824FC}" destId="{1DCC6BF2-7564-4DC9-A6EB-D181784DDC9A}" srcOrd="0" destOrd="0" presId="urn:microsoft.com/office/officeart/2005/8/layout/hierarchy6"/>
    <dgm:cxn modelId="{4F3D7538-8DEF-4CB2-B29C-EBDED3640533}" type="presOf" srcId="{A4AE3B5E-70AB-4B8D-A8C0-71796A4FF2B2}" destId="{9A7B0E54-E78C-43F6-8098-B15466F6D48D}" srcOrd="0" destOrd="0" presId="urn:microsoft.com/office/officeart/2005/8/layout/hierarchy6"/>
    <dgm:cxn modelId="{AE11DC3C-7C3E-4B1A-88BB-505962C16743}" type="presOf" srcId="{FF8264AD-3307-4994-AC82-45DB168A269D}" destId="{A6F24B4A-C3C1-42A5-8625-D76476F8B3E7}" srcOrd="0" destOrd="0" presId="urn:microsoft.com/office/officeart/2005/8/layout/hierarchy6"/>
    <dgm:cxn modelId="{F105203F-4569-4D47-AF29-8C1BC63FE3C3}" type="presOf" srcId="{C299EEB8-CFD8-45D0-AFC4-49517B809CB3}" destId="{57A80215-47F3-4D49-8791-4CEC129E1952}" srcOrd="0" destOrd="0" presId="urn:microsoft.com/office/officeart/2005/8/layout/hierarchy6"/>
    <dgm:cxn modelId="{E8E47042-6551-4F54-A34E-0A1D6C9AA2E8}" type="presOf" srcId="{C2967FFC-4A33-4EFF-8B27-6C1C457D327D}" destId="{87D22657-381C-4389-9E87-5990B3695948}" srcOrd="0" destOrd="0" presId="urn:microsoft.com/office/officeart/2005/8/layout/hierarchy6"/>
    <dgm:cxn modelId="{250FD242-8117-4E07-B5B0-D265C6B01DC6}" type="presOf" srcId="{8591C378-A5EF-4B9E-A240-83DA56B1A2C3}" destId="{60928DFF-8544-478A-B163-8CD57C484109}" srcOrd="0" destOrd="0" presId="urn:microsoft.com/office/officeart/2005/8/layout/hierarchy6"/>
    <dgm:cxn modelId="{E6723C43-DE67-48E4-B763-CF9B28DE50DB}" type="presOf" srcId="{B9182C16-D34B-41E3-808C-7757457FF1E5}" destId="{45D733E1-1D67-4B12-ABD6-E7808238AC20}" srcOrd="0" destOrd="0" presId="urn:microsoft.com/office/officeart/2005/8/layout/hierarchy6"/>
    <dgm:cxn modelId="{8EBAA566-3A10-4782-9AE1-800FC1B1A821}" srcId="{E62ED2BE-E657-421E-A9C8-5145C68824FC}" destId="{8591C378-A5EF-4B9E-A240-83DA56B1A2C3}" srcOrd="2" destOrd="0" parTransId="{867D90EA-301D-47CF-A0AD-524D10989AC2}" sibTransId="{0C2C7A6D-6BCC-42EC-91F0-1F3650270945}"/>
    <dgm:cxn modelId="{70FE166C-ED57-4F38-80D7-22758781639B}" type="presOf" srcId="{8591C378-A5EF-4B9E-A240-83DA56B1A2C3}" destId="{11416981-D827-43F6-9144-BCCF1074616B}" srcOrd="1" destOrd="0" presId="urn:microsoft.com/office/officeart/2005/8/layout/hierarchy6"/>
    <dgm:cxn modelId="{C6F53E4D-4BB5-4DE8-8F3F-D15C98A573D2}" type="presOf" srcId="{6E3A9ED2-D2E7-46FE-BD3C-379518E82786}" destId="{A8EC0565-8A0F-4B53-BE3A-DE9BAFA62137}" srcOrd="0" destOrd="0" presId="urn:microsoft.com/office/officeart/2005/8/layout/hierarchy6"/>
    <dgm:cxn modelId="{C0BECB71-9B43-47D7-8ECB-F6A4B5DAF226}" type="presOf" srcId="{2FD171BD-F177-43C5-83C1-32CD88A0ACF2}" destId="{8FC3FD44-0E68-4339-A510-2ECBA74A7277}" srcOrd="0" destOrd="0" presId="urn:microsoft.com/office/officeart/2005/8/layout/hierarchy6"/>
    <dgm:cxn modelId="{02695776-7273-40F0-938E-9D72B3ADEE26}" srcId="{E62ED2BE-E657-421E-A9C8-5145C68824FC}" destId="{C7F88A94-A06E-45F4-9723-14AE22FFD27A}" srcOrd="3" destOrd="0" parTransId="{814AB266-91F6-44A9-BD79-AF6D5BCFEE1D}" sibTransId="{0C1D40A2-F460-4575-841B-FC5AB5FB2AF2}"/>
    <dgm:cxn modelId="{731D1959-67EF-4370-9904-21DFE1145489}" type="presOf" srcId="{EFACDDC5-4506-4EB7-9477-EB5F6D045581}" destId="{037D690C-7D12-404B-8113-70F1A06CD15A}" srcOrd="0" destOrd="0" presId="urn:microsoft.com/office/officeart/2005/8/layout/hierarchy6"/>
    <dgm:cxn modelId="{ACC3197B-75DC-4F4C-AA72-540FDC3C9466}" srcId="{C299EEB8-CFD8-45D0-AFC4-49517B809CB3}" destId="{6E3A9ED2-D2E7-46FE-BD3C-379518E82786}" srcOrd="0" destOrd="0" parTransId="{C9266A2A-9BB5-43E4-B983-7594C7E5B89C}" sibTransId="{D50A5D2F-D9A8-4B3E-9301-89C6C704BF27}"/>
    <dgm:cxn modelId="{8EF52F7B-B5A7-48F2-B9E2-6A1336BE07B2}" type="presOf" srcId="{D4EB9C65-C75F-4141-B23C-9145EB5B4741}" destId="{3D4BD37B-7CAF-4C3E-B667-773ACDABD6E1}" srcOrd="0" destOrd="0" presId="urn:microsoft.com/office/officeart/2005/8/layout/hierarchy6"/>
    <dgm:cxn modelId="{DF3AF47B-BA50-458C-81B1-5F012D3FFC42}" type="presOf" srcId="{A98FAFE5-5C5C-42D9-BAE9-1F26E91A204B}" destId="{248C4005-DA1D-40AD-BD90-DF751E27E283}" srcOrd="0" destOrd="0" presId="urn:microsoft.com/office/officeart/2005/8/layout/hierarchy6"/>
    <dgm:cxn modelId="{E3983989-23C4-4090-9F75-DF5D259E6C7D}" type="presOf" srcId="{C9266A2A-9BB5-43E4-B983-7594C7E5B89C}" destId="{CD8EE827-1FFE-415E-AEF0-774E9C0A72C5}" srcOrd="0" destOrd="0" presId="urn:microsoft.com/office/officeart/2005/8/layout/hierarchy6"/>
    <dgm:cxn modelId="{1F952390-54AC-464B-B8E6-BD98E9EBC121}" type="presOf" srcId="{C7F88A94-A06E-45F4-9723-14AE22FFD27A}" destId="{527AD7DD-D656-474E-AE98-ED7D51837B6E}" srcOrd="0" destOrd="0" presId="urn:microsoft.com/office/officeart/2005/8/layout/hierarchy6"/>
    <dgm:cxn modelId="{73B697AB-0BE2-4453-A3C4-2675D9E4F304}" type="presOf" srcId="{A63B9F3B-741D-4A5F-8198-15212076B54F}" destId="{56E2AAF0-DDA1-401A-A151-C1BA6586C513}" srcOrd="0" destOrd="0" presId="urn:microsoft.com/office/officeart/2005/8/layout/hierarchy6"/>
    <dgm:cxn modelId="{B75E59B7-CEFF-456E-8B2C-E4090CFC3118}" srcId="{9571F2BA-6C95-4574-A81A-2F278AF9B8FD}" destId="{C2967FFC-4A33-4EFF-8B27-6C1C457D327D}" srcOrd="0" destOrd="0" parTransId="{A98FAFE5-5C5C-42D9-BAE9-1F26E91A204B}" sibTransId="{E4F8EE7B-CFBB-490D-8FE1-0B9746ABA012}"/>
    <dgm:cxn modelId="{092603BE-522E-4E7E-8AEB-361B4189D17B}" srcId="{720ADC8A-D8AE-4D08-9234-FD8E9D81C1BA}" destId="{C299EEB8-CFD8-45D0-AFC4-49517B809CB3}" srcOrd="1" destOrd="0" parTransId="{F6EFEBD1-8FED-4E7F-8AF0-147347FC01CD}" sibTransId="{C7DECEFD-A973-43FA-AAD2-723FE0A93EA8}"/>
    <dgm:cxn modelId="{924FBEC2-0AD8-4DCB-BC26-273D24203C40}" srcId="{720ADC8A-D8AE-4D08-9234-FD8E9D81C1BA}" destId="{B9182C16-D34B-41E3-808C-7757457FF1E5}" srcOrd="2" destOrd="0" parTransId="{D4EB9C65-C75F-4141-B23C-9145EB5B4741}" sibTransId="{430AAAAD-D0FA-4FA4-93C5-7FE45378811B}"/>
    <dgm:cxn modelId="{40F846C3-E613-4EB8-83B4-9FDDA505408B}" type="presOf" srcId="{720ADC8A-D8AE-4D08-9234-FD8E9D81C1BA}" destId="{0265831F-4628-401A-9312-04301D016411}" srcOrd="0" destOrd="0" presId="urn:microsoft.com/office/officeart/2005/8/layout/hierarchy6"/>
    <dgm:cxn modelId="{599797D5-6C0D-4FDD-8DE9-06652E318C83}" srcId="{B9182C16-D34B-41E3-808C-7757457FF1E5}" destId="{A63B9F3B-741D-4A5F-8198-15212076B54F}" srcOrd="0" destOrd="0" parTransId="{EFACDDC5-4506-4EB7-9477-EB5F6D045581}" sibTransId="{3A0EADBE-16CD-4FA0-B946-AD0733DEFEEF}"/>
    <dgm:cxn modelId="{692513DA-6736-4699-9ADB-10A9D5DCADD0}" type="presOf" srcId="{C7F88A94-A06E-45F4-9723-14AE22FFD27A}" destId="{F1693839-4ADA-445C-8B6A-48B424C3B8BB}" srcOrd="1" destOrd="0" presId="urn:microsoft.com/office/officeart/2005/8/layout/hierarchy6"/>
    <dgm:cxn modelId="{BAEA27DB-C872-4979-B7CE-6F58BC93691D}" srcId="{E62ED2BE-E657-421E-A9C8-5145C68824FC}" destId="{720ADC8A-D8AE-4D08-9234-FD8E9D81C1BA}" srcOrd="0" destOrd="0" parTransId="{6E818A35-C377-4396-A0EE-34F4F4997CAE}" sibTransId="{DAD98F85-8226-429E-A62C-3979EF5FA8DC}"/>
    <dgm:cxn modelId="{B1D10CF4-259D-4E4E-9570-5E557B64BD69}" type="presOf" srcId="{9571F2BA-6C95-4574-A81A-2F278AF9B8FD}" destId="{214F8825-8214-4F12-A318-48E9D9CDB040}" srcOrd="0" destOrd="0" presId="urn:microsoft.com/office/officeart/2005/8/layout/hierarchy6"/>
    <dgm:cxn modelId="{E28948B8-B596-4459-B885-675AFFE7ECA2}" type="presParOf" srcId="{1DCC6BF2-7564-4DC9-A6EB-D181784DDC9A}" destId="{66FF9509-2960-42B3-8451-DC93D9FFF829}" srcOrd="0" destOrd="0" presId="urn:microsoft.com/office/officeart/2005/8/layout/hierarchy6"/>
    <dgm:cxn modelId="{5C86A529-F017-4000-BBF0-502DFD866D75}" type="presParOf" srcId="{66FF9509-2960-42B3-8451-DC93D9FFF829}" destId="{1109D6F1-40D0-4D54-AC1C-53CABAAFF9E4}" srcOrd="0" destOrd="0" presId="urn:microsoft.com/office/officeart/2005/8/layout/hierarchy6"/>
    <dgm:cxn modelId="{25CE5C67-368D-4E1C-906F-0313AF6A376F}" type="presParOf" srcId="{66FF9509-2960-42B3-8451-DC93D9FFF829}" destId="{71356CC1-77EC-4A24-833D-70F03A0D363E}" srcOrd="1" destOrd="0" presId="urn:microsoft.com/office/officeart/2005/8/layout/hierarchy6"/>
    <dgm:cxn modelId="{12FA5EED-3335-47FE-AD12-29DA2B5FFEE1}" type="presParOf" srcId="{71356CC1-77EC-4A24-833D-70F03A0D363E}" destId="{A9966CD7-8FA7-4448-8822-E4AF31339DB9}" srcOrd="0" destOrd="0" presId="urn:microsoft.com/office/officeart/2005/8/layout/hierarchy6"/>
    <dgm:cxn modelId="{3098A16F-0FE7-40FE-847A-E9ECFE4CCF6D}" type="presParOf" srcId="{A9966CD7-8FA7-4448-8822-E4AF31339DB9}" destId="{0265831F-4628-401A-9312-04301D016411}" srcOrd="0" destOrd="0" presId="urn:microsoft.com/office/officeart/2005/8/layout/hierarchy6"/>
    <dgm:cxn modelId="{4E5D7549-68D2-4F29-A85B-E7526E013767}" type="presParOf" srcId="{A9966CD7-8FA7-4448-8822-E4AF31339DB9}" destId="{F9E8D419-6240-409B-8B39-D379804D17BD}" srcOrd="1" destOrd="0" presId="urn:microsoft.com/office/officeart/2005/8/layout/hierarchy6"/>
    <dgm:cxn modelId="{2B6984AE-4ED6-44F4-AA7C-AF6830D81617}" type="presParOf" srcId="{F9E8D419-6240-409B-8B39-D379804D17BD}" destId="{8FC3FD44-0E68-4339-A510-2ECBA74A7277}" srcOrd="0" destOrd="0" presId="urn:microsoft.com/office/officeart/2005/8/layout/hierarchy6"/>
    <dgm:cxn modelId="{6ECDB64F-894A-49E2-BBD9-4E5753C8BA75}" type="presParOf" srcId="{F9E8D419-6240-409B-8B39-D379804D17BD}" destId="{007ED088-9383-4F25-AD53-5B91A86CBE59}" srcOrd="1" destOrd="0" presId="urn:microsoft.com/office/officeart/2005/8/layout/hierarchy6"/>
    <dgm:cxn modelId="{A2D8D210-BA01-40D1-8712-18AF25B00795}" type="presParOf" srcId="{007ED088-9383-4F25-AD53-5B91A86CBE59}" destId="{214F8825-8214-4F12-A318-48E9D9CDB040}" srcOrd="0" destOrd="0" presId="urn:microsoft.com/office/officeart/2005/8/layout/hierarchy6"/>
    <dgm:cxn modelId="{5C10467B-C7C3-4D60-B393-CEB037ADE892}" type="presParOf" srcId="{007ED088-9383-4F25-AD53-5B91A86CBE59}" destId="{2E617490-E1F8-49B6-9BAA-A6E0B2D64699}" srcOrd="1" destOrd="0" presId="urn:microsoft.com/office/officeart/2005/8/layout/hierarchy6"/>
    <dgm:cxn modelId="{15DEA297-54E0-43CF-AB65-0FCF0CB65E86}" type="presParOf" srcId="{2E617490-E1F8-49B6-9BAA-A6E0B2D64699}" destId="{248C4005-DA1D-40AD-BD90-DF751E27E283}" srcOrd="0" destOrd="0" presId="urn:microsoft.com/office/officeart/2005/8/layout/hierarchy6"/>
    <dgm:cxn modelId="{B7094B9E-6E1A-426D-A5BC-4752B50D952A}" type="presParOf" srcId="{2E617490-E1F8-49B6-9BAA-A6E0B2D64699}" destId="{C8E8C853-E51D-4C61-8C42-CB3379B32CB3}" srcOrd="1" destOrd="0" presId="urn:microsoft.com/office/officeart/2005/8/layout/hierarchy6"/>
    <dgm:cxn modelId="{76BFED4E-19F6-44C2-8CD9-D11513B8944D}" type="presParOf" srcId="{C8E8C853-E51D-4C61-8C42-CB3379B32CB3}" destId="{87D22657-381C-4389-9E87-5990B3695948}" srcOrd="0" destOrd="0" presId="urn:microsoft.com/office/officeart/2005/8/layout/hierarchy6"/>
    <dgm:cxn modelId="{4CD74C7D-88D7-4BB0-A9CC-790A153D3839}" type="presParOf" srcId="{C8E8C853-E51D-4C61-8C42-CB3379B32CB3}" destId="{519A173B-F583-47B9-A2FF-1AC8454594D5}" srcOrd="1" destOrd="0" presId="urn:microsoft.com/office/officeart/2005/8/layout/hierarchy6"/>
    <dgm:cxn modelId="{7FA273C0-5B7F-4A68-A69B-18EF6118E51C}" type="presParOf" srcId="{2E617490-E1F8-49B6-9BAA-A6E0B2D64699}" destId="{A6F24B4A-C3C1-42A5-8625-D76476F8B3E7}" srcOrd="2" destOrd="0" presId="urn:microsoft.com/office/officeart/2005/8/layout/hierarchy6"/>
    <dgm:cxn modelId="{3D1A2076-F19D-4112-A23C-0EE53AB0F1DF}" type="presParOf" srcId="{2E617490-E1F8-49B6-9BAA-A6E0B2D64699}" destId="{1D76554F-3E88-4454-A5CA-C112C2589549}" srcOrd="3" destOrd="0" presId="urn:microsoft.com/office/officeart/2005/8/layout/hierarchy6"/>
    <dgm:cxn modelId="{0A3EDE27-22B2-4CEC-8DE5-797A961084F4}" type="presParOf" srcId="{1D76554F-3E88-4454-A5CA-C112C2589549}" destId="{9A7B0E54-E78C-43F6-8098-B15466F6D48D}" srcOrd="0" destOrd="0" presId="urn:microsoft.com/office/officeart/2005/8/layout/hierarchy6"/>
    <dgm:cxn modelId="{03D36A4B-2BC6-48EA-B647-81CB4BFECD49}" type="presParOf" srcId="{1D76554F-3E88-4454-A5CA-C112C2589549}" destId="{F026F1D7-0FAB-425D-A76F-9AC6F2BA7B16}" srcOrd="1" destOrd="0" presId="urn:microsoft.com/office/officeart/2005/8/layout/hierarchy6"/>
    <dgm:cxn modelId="{4134C4E5-7018-45A2-8C61-E05F44F5F7D8}" type="presParOf" srcId="{F9E8D419-6240-409B-8B39-D379804D17BD}" destId="{9535889D-C57D-4258-9078-EC8C74FE335C}" srcOrd="2" destOrd="0" presId="urn:microsoft.com/office/officeart/2005/8/layout/hierarchy6"/>
    <dgm:cxn modelId="{C7CFC788-29CC-46D8-AA0B-2265B66FFECC}" type="presParOf" srcId="{F9E8D419-6240-409B-8B39-D379804D17BD}" destId="{3ED12C5C-E4C3-4FD2-9A97-8B71E6B79440}" srcOrd="3" destOrd="0" presId="urn:microsoft.com/office/officeart/2005/8/layout/hierarchy6"/>
    <dgm:cxn modelId="{4CFB6D62-A275-4A20-B365-BF15927F84C9}" type="presParOf" srcId="{3ED12C5C-E4C3-4FD2-9A97-8B71E6B79440}" destId="{57A80215-47F3-4D49-8791-4CEC129E1952}" srcOrd="0" destOrd="0" presId="urn:microsoft.com/office/officeart/2005/8/layout/hierarchy6"/>
    <dgm:cxn modelId="{93F866E0-0F42-43C5-A6CD-8064BBDB7F8C}" type="presParOf" srcId="{3ED12C5C-E4C3-4FD2-9A97-8B71E6B79440}" destId="{7F46240D-2642-4F30-8A9B-8AC21B4B17EC}" srcOrd="1" destOrd="0" presId="urn:microsoft.com/office/officeart/2005/8/layout/hierarchy6"/>
    <dgm:cxn modelId="{AC929BE0-A559-4D4C-A808-116D9A6C79C1}" type="presParOf" srcId="{7F46240D-2642-4F30-8A9B-8AC21B4B17EC}" destId="{CD8EE827-1FFE-415E-AEF0-774E9C0A72C5}" srcOrd="0" destOrd="0" presId="urn:microsoft.com/office/officeart/2005/8/layout/hierarchy6"/>
    <dgm:cxn modelId="{4BCDCC65-4422-4878-BB72-AE13DC1D7611}" type="presParOf" srcId="{7F46240D-2642-4F30-8A9B-8AC21B4B17EC}" destId="{44E65AC2-F462-4475-A822-6440F6E73079}" srcOrd="1" destOrd="0" presId="urn:microsoft.com/office/officeart/2005/8/layout/hierarchy6"/>
    <dgm:cxn modelId="{388B24E4-7B10-48A8-B508-549DF49AFBB1}" type="presParOf" srcId="{44E65AC2-F462-4475-A822-6440F6E73079}" destId="{A8EC0565-8A0F-4B53-BE3A-DE9BAFA62137}" srcOrd="0" destOrd="0" presId="urn:microsoft.com/office/officeart/2005/8/layout/hierarchy6"/>
    <dgm:cxn modelId="{5A93606A-9746-4592-B9E6-9127325CBECC}" type="presParOf" srcId="{44E65AC2-F462-4475-A822-6440F6E73079}" destId="{8303A399-EFB5-4FA3-A19B-BC123A2E7A99}" srcOrd="1" destOrd="0" presId="urn:microsoft.com/office/officeart/2005/8/layout/hierarchy6"/>
    <dgm:cxn modelId="{D02EFFD9-0F42-4C84-87CD-C3424B341589}" type="presParOf" srcId="{F9E8D419-6240-409B-8B39-D379804D17BD}" destId="{3D4BD37B-7CAF-4C3E-B667-773ACDABD6E1}" srcOrd="4" destOrd="0" presId="urn:microsoft.com/office/officeart/2005/8/layout/hierarchy6"/>
    <dgm:cxn modelId="{3375A2C0-206A-4D43-9865-B79DB88AAEA8}" type="presParOf" srcId="{F9E8D419-6240-409B-8B39-D379804D17BD}" destId="{10E0372E-66F6-4C89-A1B3-92E82F6292C3}" srcOrd="5" destOrd="0" presId="urn:microsoft.com/office/officeart/2005/8/layout/hierarchy6"/>
    <dgm:cxn modelId="{3267A2CC-B217-4201-BBF5-923AEF7A633D}" type="presParOf" srcId="{10E0372E-66F6-4C89-A1B3-92E82F6292C3}" destId="{45D733E1-1D67-4B12-ABD6-E7808238AC20}" srcOrd="0" destOrd="0" presId="urn:microsoft.com/office/officeart/2005/8/layout/hierarchy6"/>
    <dgm:cxn modelId="{3BFA1138-67DD-4947-91C7-C1EDEB6BE9D1}" type="presParOf" srcId="{10E0372E-66F6-4C89-A1B3-92E82F6292C3}" destId="{32533741-71D8-49AC-83DC-F0612D6F92CB}" srcOrd="1" destOrd="0" presId="urn:microsoft.com/office/officeart/2005/8/layout/hierarchy6"/>
    <dgm:cxn modelId="{62CEAC92-32AE-48D8-AAC6-3401FE8C9C79}" type="presParOf" srcId="{32533741-71D8-49AC-83DC-F0612D6F92CB}" destId="{037D690C-7D12-404B-8113-70F1A06CD15A}" srcOrd="0" destOrd="0" presId="urn:microsoft.com/office/officeart/2005/8/layout/hierarchy6"/>
    <dgm:cxn modelId="{B6D42F7F-00FC-47E1-8324-002A27015E2A}" type="presParOf" srcId="{32533741-71D8-49AC-83DC-F0612D6F92CB}" destId="{57CA4EF9-D50B-4BEA-BF94-62139C450E6B}" srcOrd="1" destOrd="0" presId="urn:microsoft.com/office/officeart/2005/8/layout/hierarchy6"/>
    <dgm:cxn modelId="{3944F147-5B42-44B9-A893-AC5E7BF697E5}" type="presParOf" srcId="{57CA4EF9-D50B-4BEA-BF94-62139C450E6B}" destId="{56E2AAF0-DDA1-401A-A151-C1BA6586C513}" srcOrd="0" destOrd="0" presId="urn:microsoft.com/office/officeart/2005/8/layout/hierarchy6"/>
    <dgm:cxn modelId="{FF2C20B0-87FF-4E0B-9058-C2F38A58177D}" type="presParOf" srcId="{57CA4EF9-D50B-4BEA-BF94-62139C450E6B}" destId="{D78C864C-7E41-4752-B83A-DDD8A77DA40F}" srcOrd="1" destOrd="0" presId="urn:microsoft.com/office/officeart/2005/8/layout/hierarchy6"/>
    <dgm:cxn modelId="{434A5FE0-278A-471A-8142-90765331215C}" type="presParOf" srcId="{1DCC6BF2-7564-4DC9-A6EB-D181784DDC9A}" destId="{671804C8-5581-4AE8-8A9F-A1E7870A783F}" srcOrd="1" destOrd="0" presId="urn:microsoft.com/office/officeart/2005/8/layout/hierarchy6"/>
    <dgm:cxn modelId="{BE52129B-FA6F-4283-B041-28EBE1FD35C4}" type="presParOf" srcId="{671804C8-5581-4AE8-8A9F-A1E7870A783F}" destId="{62A9DBA6-BB48-4EC8-A5AA-6956CA27A6C1}" srcOrd="0" destOrd="0" presId="urn:microsoft.com/office/officeart/2005/8/layout/hierarchy6"/>
    <dgm:cxn modelId="{8B76D870-078D-445B-B694-83074748199C}" type="presParOf" srcId="{62A9DBA6-BB48-4EC8-A5AA-6956CA27A6C1}" destId="{B9C513A6-6779-4B32-9E4A-4341E39388FA}" srcOrd="0" destOrd="0" presId="urn:microsoft.com/office/officeart/2005/8/layout/hierarchy6"/>
    <dgm:cxn modelId="{79C65689-9DE6-46AC-AD9F-28B6AE1EBAC1}" type="presParOf" srcId="{62A9DBA6-BB48-4EC8-A5AA-6956CA27A6C1}" destId="{93A6E46B-FEEC-435A-B272-0BE17D414D25}" srcOrd="1" destOrd="0" presId="urn:microsoft.com/office/officeart/2005/8/layout/hierarchy6"/>
    <dgm:cxn modelId="{66C4460D-F1DD-4CB3-B0E1-B091F8C43D1D}" type="presParOf" srcId="{671804C8-5581-4AE8-8A9F-A1E7870A783F}" destId="{54558BE0-FC50-487F-9D65-AD41719993AB}" srcOrd="1" destOrd="0" presId="urn:microsoft.com/office/officeart/2005/8/layout/hierarchy6"/>
    <dgm:cxn modelId="{082D321E-3C42-49E4-8204-3B85DF5FF5B8}" type="presParOf" srcId="{54558BE0-FC50-487F-9D65-AD41719993AB}" destId="{DD4CF431-E34A-493C-AF0D-8D32C6B211C6}" srcOrd="0" destOrd="0" presId="urn:microsoft.com/office/officeart/2005/8/layout/hierarchy6"/>
    <dgm:cxn modelId="{23C747A5-09D7-404D-86E0-157D43B22A32}" type="presParOf" srcId="{671804C8-5581-4AE8-8A9F-A1E7870A783F}" destId="{F14ED184-E168-4FA8-B6D8-1A2668F95FAC}" srcOrd="2" destOrd="0" presId="urn:microsoft.com/office/officeart/2005/8/layout/hierarchy6"/>
    <dgm:cxn modelId="{6B84ECB9-2059-42BE-AA31-11F5C74E47A4}" type="presParOf" srcId="{F14ED184-E168-4FA8-B6D8-1A2668F95FAC}" destId="{60928DFF-8544-478A-B163-8CD57C484109}" srcOrd="0" destOrd="0" presId="urn:microsoft.com/office/officeart/2005/8/layout/hierarchy6"/>
    <dgm:cxn modelId="{BF5E7788-B7D1-4248-A2AD-F8C96215735A}" type="presParOf" srcId="{F14ED184-E168-4FA8-B6D8-1A2668F95FAC}" destId="{11416981-D827-43F6-9144-BCCF1074616B}" srcOrd="1" destOrd="0" presId="urn:microsoft.com/office/officeart/2005/8/layout/hierarchy6"/>
    <dgm:cxn modelId="{D63E9632-C8E2-414E-A97C-04A6CCF4A725}" type="presParOf" srcId="{671804C8-5581-4AE8-8A9F-A1E7870A783F}" destId="{CBD41872-4D46-4166-B3F0-65F1E9DFB823}" srcOrd="3" destOrd="0" presId="urn:microsoft.com/office/officeart/2005/8/layout/hierarchy6"/>
    <dgm:cxn modelId="{D3EE8015-D808-4F9D-8F7A-7E3D560ECADC}" type="presParOf" srcId="{CBD41872-4D46-4166-B3F0-65F1E9DFB823}" destId="{58FD14F4-1BFB-4BBF-8153-E2147B78DA20}" srcOrd="0" destOrd="0" presId="urn:microsoft.com/office/officeart/2005/8/layout/hierarchy6"/>
    <dgm:cxn modelId="{77FE76C1-4955-4D80-ADBB-ED09B8035BC0}" type="presParOf" srcId="{671804C8-5581-4AE8-8A9F-A1E7870A783F}" destId="{C493339A-6EF5-4720-9654-E2FEFB1F935A}" srcOrd="4" destOrd="0" presId="urn:microsoft.com/office/officeart/2005/8/layout/hierarchy6"/>
    <dgm:cxn modelId="{9F8DD3A6-3532-4D2B-853B-75F64524CAF2}" type="presParOf" srcId="{C493339A-6EF5-4720-9654-E2FEFB1F935A}" destId="{527AD7DD-D656-474E-AE98-ED7D51837B6E}" srcOrd="0" destOrd="0" presId="urn:microsoft.com/office/officeart/2005/8/layout/hierarchy6"/>
    <dgm:cxn modelId="{AB88E87B-06C6-4996-AE7B-790BE623BE6A}" type="presParOf" srcId="{C493339A-6EF5-4720-9654-E2FEFB1F935A}" destId="{F1693839-4ADA-445C-8B6A-48B424C3B8BB}"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767265-CDDD-4F8D-AE6B-271CA20B3DFC}"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CEE50B01-EFBB-4EFD-968E-047A29DC703B}">
      <dgm:prSet phldrT="[Text]" custT="1"/>
      <dgm:spPr/>
      <dgm:t>
        <a:bodyPr/>
        <a:lstStyle/>
        <a:p>
          <a:r>
            <a:rPr lang="en-US" sz="1200" b="1"/>
            <a:t>Inputs</a:t>
          </a:r>
          <a:endParaRPr lang="en-US" sz="1200"/>
        </a:p>
      </dgm:t>
    </dgm:pt>
    <dgm:pt modelId="{4F5F6374-5ECB-4F0C-B399-AF24240C0C15}" type="parTrans" cxnId="{69BA6681-775F-4D6B-810A-2145A9CDFD29}">
      <dgm:prSet/>
      <dgm:spPr/>
      <dgm:t>
        <a:bodyPr/>
        <a:lstStyle/>
        <a:p>
          <a:endParaRPr lang="en-US" sz="800"/>
        </a:p>
      </dgm:t>
    </dgm:pt>
    <dgm:pt modelId="{F459C6DE-C16F-4DCB-B794-0DC25FFD3629}" type="sibTrans" cxnId="{69BA6681-775F-4D6B-810A-2145A9CDFD29}">
      <dgm:prSet/>
      <dgm:spPr/>
      <dgm:t>
        <a:bodyPr/>
        <a:lstStyle/>
        <a:p>
          <a:endParaRPr lang="en-US" sz="800"/>
        </a:p>
      </dgm:t>
    </dgm:pt>
    <dgm:pt modelId="{3B891F1F-A423-4154-A36F-A9B40B7DFB5C}">
      <dgm:prSet phldrT="[Text]" custT="1"/>
      <dgm:spPr/>
      <dgm:t>
        <a:bodyPr/>
        <a:lstStyle/>
        <a:p>
          <a:r>
            <a:rPr lang="en-US" sz="800" b="1"/>
            <a:t>Satellite Data</a:t>
          </a:r>
        </a:p>
        <a:p>
          <a:r>
            <a:rPr lang="en-US" sz="800"/>
            <a:t>MODIS, Landsat, Sentinel </a:t>
          </a:r>
        </a:p>
      </dgm:t>
    </dgm:pt>
    <dgm:pt modelId="{7A2AA2FC-5D4E-4199-BC82-4780556B76F6}" type="parTrans" cxnId="{0A41A25A-C45B-4525-BA7C-33C7F5DD52BF}">
      <dgm:prSet/>
      <dgm:spPr/>
      <dgm:t>
        <a:bodyPr/>
        <a:lstStyle/>
        <a:p>
          <a:endParaRPr lang="en-US" sz="800"/>
        </a:p>
      </dgm:t>
    </dgm:pt>
    <dgm:pt modelId="{6331D100-E5B3-411B-ACD2-18853C0AD181}" type="sibTrans" cxnId="{0A41A25A-C45B-4525-BA7C-33C7F5DD52BF}">
      <dgm:prSet/>
      <dgm:spPr/>
      <dgm:t>
        <a:bodyPr/>
        <a:lstStyle/>
        <a:p>
          <a:endParaRPr lang="en-US" sz="800"/>
        </a:p>
      </dgm:t>
    </dgm:pt>
    <dgm:pt modelId="{376416DC-DFE7-465C-B8CB-7872E1DDB126}">
      <dgm:prSet phldrT="[Text]" custT="1"/>
      <dgm:spPr/>
      <dgm:t>
        <a:bodyPr/>
        <a:lstStyle/>
        <a:p>
          <a:r>
            <a:rPr lang="en-US" sz="800" b="1"/>
            <a:t>NDVI </a:t>
          </a:r>
          <a:endParaRPr lang="en-US" sz="800"/>
        </a:p>
      </dgm:t>
    </dgm:pt>
    <dgm:pt modelId="{7E5FC42D-DD22-4FB0-94EE-D621A8170073}" type="parTrans" cxnId="{DD640B3F-A543-4853-B55A-CAE57C103EE7}">
      <dgm:prSet/>
      <dgm:spPr/>
      <dgm:t>
        <a:bodyPr/>
        <a:lstStyle/>
        <a:p>
          <a:endParaRPr lang="en-US" sz="800"/>
        </a:p>
      </dgm:t>
    </dgm:pt>
    <dgm:pt modelId="{A145D128-2DF8-499C-85AD-CA9A4B54BBF3}" type="sibTrans" cxnId="{DD640B3F-A543-4853-B55A-CAE57C103EE7}">
      <dgm:prSet/>
      <dgm:spPr/>
      <dgm:t>
        <a:bodyPr/>
        <a:lstStyle/>
        <a:p>
          <a:endParaRPr lang="en-US" sz="800"/>
        </a:p>
      </dgm:t>
    </dgm:pt>
    <dgm:pt modelId="{192F72BA-C5BF-4391-A945-1A9FC7E5AC84}">
      <dgm:prSet phldrT="[Text]" custT="1"/>
      <dgm:spPr/>
      <dgm:t>
        <a:bodyPr/>
        <a:lstStyle/>
        <a:p>
          <a:r>
            <a:rPr lang="en-US" sz="800" b="1"/>
            <a:t>Albedo and Surface Temperature</a:t>
          </a:r>
          <a:endParaRPr lang="en-US" sz="800"/>
        </a:p>
      </dgm:t>
    </dgm:pt>
    <dgm:pt modelId="{AAE54034-28A3-4307-A589-2B75C2A38E80}" type="parTrans" cxnId="{8C258BB7-419D-403D-8E2C-81A082E61116}">
      <dgm:prSet/>
      <dgm:spPr/>
      <dgm:t>
        <a:bodyPr/>
        <a:lstStyle/>
        <a:p>
          <a:endParaRPr lang="en-US" sz="800"/>
        </a:p>
      </dgm:t>
    </dgm:pt>
    <dgm:pt modelId="{88588CEF-456A-49CC-A1A7-80280C7F2763}" type="sibTrans" cxnId="{8C258BB7-419D-403D-8E2C-81A082E61116}">
      <dgm:prSet/>
      <dgm:spPr/>
      <dgm:t>
        <a:bodyPr/>
        <a:lstStyle/>
        <a:p>
          <a:endParaRPr lang="en-US" sz="800"/>
        </a:p>
      </dgm:t>
    </dgm:pt>
    <dgm:pt modelId="{03A17B73-43E7-4095-86D0-DFD5B5AF30A1}">
      <dgm:prSet phldrT="[Text]" custT="1"/>
      <dgm:spPr/>
      <dgm:t>
        <a:bodyPr/>
        <a:lstStyle/>
        <a:p>
          <a:r>
            <a:rPr lang="en-US" sz="800" b="1"/>
            <a:t>Meteorological Data</a:t>
          </a:r>
        </a:p>
        <a:p>
          <a:r>
            <a:rPr lang="en-US" sz="800"/>
            <a:t>Temperature, solar radiation, humidity</a:t>
          </a:r>
        </a:p>
      </dgm:t>
    </dgm:pt>
    <dgm:pt modelId="{9D323B65-7445-4A8B-B4D2-66097DF74C7A}" type="parTrans" cxnId="{A8BCB064-004B-4385-82CA-CB4A0C9C5234}">
      <dgm:prSet/>
      <dgm:spPr/>
      <dgm:t>
        <a:bodyPr/>
        <a:lstStyle/>
        <a:p>
          <a:endParaRPr lang="en-US" sz="800"/>
        </a:p>
      </dgm:t>
    </dgm:pt>
    <dgm:pt modelId="{A1C3BCCB-367F-4A7A-9DB1-850661AAA155}" type="sibTrans" cxnId="{A8BCB064-004B-4385-82CA-CB4A0C9C5234}">
      <dgm:prSet/>
      <dgm:spPr/>
      <dgm:t>
        <a:bodyPr/>
        <a:lstStyle/>
        <a:p>
          <a:endParaRPr lang="en-US" sz="800"/>
        </a:p>
      </dgm:t>
    </dgm:pt>
    <dgm:pt modelId="{E55A456D-F5B8-45F7-A80A-BA2FDBF82F23}">
      <dgm:prSet phldrT="[Text]" custT="1"/>
      <dgm:spPr/>
      <dgm:t>
        <a:bodyPr/>
        <a:lstStyle/>
        <a:p>
          <a:r>
            <a:rPr lang="en-US" sz="800" b="1"/>
            <a:t>Net Radiation (Rn)</a:t>
          </a:r>
        </a:p>
      </dgm:t>
    </dgm:pt>
    <dgm:pt modelId="{C3D24749-ED5D-41B9-BF91-DA4FEBFDA312}" type="parTrans" cxnId="{B9729831-85E1-43CD-97AD-6ACACEED4D7A}">
      <dgm:prSet/>
      <dgm:spPr/>
      <dgm:t>
        <a:bodyPr/>
        <a:lstStyle/>
        <a:p>
          <a:endParaRPr lang="en-US" sz="800"/>
        </a:p>
      </dgm:t>
    </dgm:pt>
    <dgm:pt modelId="{59EDF6BD-C21C-40FA-BD30-594849406F6F}" type="sibTrans" cxnId="{B9729831-85E1-43CD-97AD-6ACACEED4D7A}">
      <dgm:prSet/>
      <dgm:spPr/>
      <dgm:t>
        <a:bodyPr/>
        <a:lstStyle/>
        <a:p>
          <a:endParaRPr lang="en-US" sz="800"/>
        </a:p>
      </dgm:t>
    </dgm:pt>
    <dgm:pt modelId="{9A4C4736-0FC0-4DCB-B2F2-62F294A4486A}">
      <dgm:prSet phldrT="[Text]" custT="1"/>
      <dgm:spPr/>
      <dgm:t>
        <a:bodyPr/>
        <a:lstStyle/>
        <a:p>
          <a:r>
            <a:rPr lang="en-US" sz="800" b="1"/>
            <a:t>Soil Heat Flux (G)</a:t>
          </a:r>
        </a:p>
      </dgm:t>
    </dgm:pt>
    <dgm:pt modelId="{1DAABA98-9151-498E-B93D-612E48B91936}" type="parTrans" cxnId="{00FE6506-8142-454A-9839-A7D94EE25455}">
      <dgm:prSet/>
      <dgm:spPr/>
      <dgm:t>
        <a:bodyPr/>
        <a:lstStyle/>
        <a:p>
          <a:endParaRPr lang="en-US" sz="800"/>
        </a:p>
      </dgm:t>
    </dgm:pt>
    <dgm:pt modelId="{FB26725C-54AD-4A1F-92D5-0A55D43CFC20}" type="sibTrans" cxnId="{00FE6506-8142-454A-9839-A7D94EE25455}">
      <dgm:prSet/>
      <dgm:spPr/>
      <dgm:t>
        <a:bodyPr/>
        <a:lstStyle/>
        <a:p>
          <a:endParaRPr lang="en-US" sz="800"/>
        </a:p>
      </dgm:t>
    </dgm:pt>
    <dgm:pt modelId="{553CFBC4-5EB8-4B78-9FE2-6D406737BB41}">
      <dgm:prSet phldrT="[Text]" custT="1"/>
      <dgm:spPr/>
      <dgm:t>
        <a:bodyPr/>
        <a:lstStyle/>
        <a:p>
          <a:r>
            <a:rPr lang="en-US" sz="800" b="1"/>
            <a:t>Latent Heat Flux (LE)</a:t>
          </a:r>
        </a:p>
      </dgm:t>
    </dgm:pt>
    <dgm:pt modelId="{702600E4-BA10-4030-BD43-1D5C84F29942}" type="parTrans" cxnId="{5E3B4974-2137-4824-BE2F-81209E37FDCB}">
      <dgm:prSet/>
      <dgm:spPr/>
      <dgm:t>
        <a:bodyPr/>
        <a:lstStyle/>
        <a:p>
          <a:endParaRPr lang="en-US" sz="800"/>
        </a:p>
      </dgm:t>
    </dgm:pt>
    <dgm:pt modelId="{39A3EB0E-980F-452F-A1B6-52E2E3694B7F}" type="sibTrans" cxnId="{5E3B4974-2137-4824-BE2F-81209E37FDCB}">
      <dgm:prSet/>
      <dgm:spPr/>
      <dgm:t>
        <a:bodyPr/>
        <a:lstStyle/>
        <a:p>
          <a:endParaRPr lang="en-US" sz="800"/>
        </a:p>
      </dgm:t>
    </dgm:pt>
    <dgm:pt modelId="{3314C581-C904-4EF2-8255-B111C4694570}" type="pres">
      <dgm:prSet presAssocID="{81767265-CDDD-4F8D-AE6B-271CA20B3DFC}" presName="mainComposite" presStyleCnt="0">
        <dgm:presLayoutVars>
          <dgm:chPref val="1"/>
          <dgm:dir/>
          <dgm:animOne val="branch"/>
          <dgm:animLvl val="lvl"/>
          <dgm:resizeHandles val="exact"/>
        </dgm:presLayoutVars>
      </dgm:prSet>
      <dgm:spPr/>
    </dgm:pt>
    <dgm:pt modelId="{6391B0EF-03DD-4794-A2D3-DFA614A7BB8A}" type="pres">
      <dgm:prSet presAssocID="{81767265-CDDD-4F8D-AE6B-271CA20B3DFC}" presName="hierFlow" presStyleCnt="0"/>
      <dgm:spPr/>
    </dgm:pt>
    <dgm:pt modelId="{31492832-BF21-4953-B2CA-FA9EFEFD3663}" type="pres">
      <dgm:prSet presAssocID="{81767265-CDDD-4F8D-AE6B-271CA20B3DFC}" presName="hierChild1" presStyleCnt="0">
        <dgm:presLayoutVars>
          <dgm:chPref val="1"/>
          <dgm:animOne val="branch"/>
          <dgm:animLvl val="lvl"/>
        </dgm:presLayoutVars>
      </dgm:prSet>
      <dgm:spPr/>
    </dgm:pt>
    <dgm:pt modelId="{3338DF83-CDE6-4B8D-95B5-E14772CFDCCF}" type="pres">
      <dgm:prSet presAssocID="{CEE50B01-EFBB-4EFD-968E-047A29DC703B}" presName="Name14" presStyleCnt="0"/>
      <dgm:spPr/>
    </dgm:pt>
    <dgm:pt modelId="{27F3BA31-62C1-4B0D-B951-525D9534DB0E}" type="pres">
      <dgm:prSet presAssocID="{CEE50B01-EFBB-4EFD-968E-047A29DC703B}" presName="level1Shape" presStyleLbl="node0" presStyleIdx="0" presStyleCnt="1">
        <dgm:presLayoutVars>
          <dgm:chPref val="3"/>
        </dgm:presLayoutVars>
      </dgm:prSet>
      <dgm:spPr/>
    </dgm:pt>
    <dgm:pt modelId="{059699D4-E717-45B7-A985-DD8931F7D2AC}" type="pres">
      <dgm:prSet presAssocID="{CEE50B01-EFBB-4EFD-968E-047A29DC703B}" presName="hierChild2" presStyleCnt="0"/>
      <dgm:spPr/>
    </dgm:pt>
    <dgm:pt modelId="{9D929318-3999-4F30-904E-10F77E721C03}" type="pres">
      <dgm:prSet presAssocID="{7A2AA2FC-5D4E-4199-BC82-4780556B76F6}" presName="Name19" presStyleLbl="parChTrans1D2" presStyleIdx="0" presStyleCnt="2"/>
      <dgm:spPr/>
    </dgm:pt>
    <dgm:pt modelId="{5A189975-6454-4941-AEAB-3625AAE3C617}" type="pres">
      <dgm:prSet presAssocID="{3B891F1F-A423-4154-A36F-A9B40B7DFB5C}" presName="Name21" presStyleCnt="0"/>
      <dgm:spPr/>
    </dgm:pt>
    <dgm:pt modelId="{350BAA79-3B25-465F-89D0-EFD6AA20953B}" type="pres">
      <dgm:prSet presAssocID="{3B891F1F-A423-4154-A36F-A9B40B7DFB5C}" presName="level2Shape" presStyleLbl="node2" presStyleIdx="0" presStyleCnt="2"/>
      <dgm:spPr/>
    </dgm:pt>
    <dgm:pt modelId="{276EA1A6-22E3-4FC7-B2F9-D85198056510}" type="pres">
      <dgm:prSet presAssocID="{3B891F1F-A423-4154-A36F-A9B40B7DFB5C}" presName="hierChild3" presStyleCnt="0"/>
      <dgm:spPr/>
    </dgm:pt>
    <dgm:pt modelId="{11292680-5129-486C-B490-E04F66A1BE06}" type="pres">
      <dgm:prSet presAssocID="{7E5FC42D-DD22-4FB0-94EE-D621A8170073}" presName="Name19" presStyleLbl="parChTrans1D3" presStyleIdx="0" presStyleCnt="5"/>
      <dgm:spPr/>
    </dgm:pt>
    <dgm:pt modelId="{CDA4A06A-9E0E-45A7-91C0-CE24536FF433}" type="pres">
      <dgm:prSet presAssocID="{376416DC-DFE7-465C-B8CB-7872E1DDB126}" presName="Name21" presStyleCnt="0"/>
      <dgm:spPr/>
    </dgm:pt>
    <dgm:pt modelId="{5D64C41B-5E68-4307-975D-D927C909DA5F}" type="pres">
      <dgm:prSet presAssocID="{376416DC-DFE7-465C-B8CB-7872E1DDB126}" presName="level2Shape" presStyleLbl="node3" presStyleIdx="0" presStyleCnt="5"/>
      <dgm:spPr/>
    </dgm:pt>
    <dgm:pt modelId="{726A55EC-121A-4278-A05C-E08692F14E0A}" type="pres">
      <dgm:prSet presAssocID="{376416DC-DFE7-465C-B8CB-7872E1DDB126}" presName="hierChild3" presStyleCnt="0"/>
      <dgm:spPr/>
    </dgm:pt>
    <dgm:pt modelId="{B2304389-05CD-46B1-88CB-BC0F79C45261}" type="pres">
      <dgm:prSet presAssocID="{AAE54034-28A3-4307-A589-2B75C2A38E80}" presName="Name19" presStyleLbl="parChTrans1D3" presStyleIdx="1" presStyleCnt="5"/>
      <dgm:spPr/>
    </dgm:pt>
    <dgm:pt modelId="{3C1462F1-674D-4324-BB0F-255BE3CF6BAF}" type="pres">
      <dgm:prSet presAssocID="{192F72BA-C5BF-4391-A945-1A9FC7E5AC84}" presName="Name21" presStyleCnt="0"/>
      <dgm:spPr/>
    </dgm:pt>
    <dgm:pt modelId="{AAF4D545-50A9-44CB-94E4-6BB61D12D6AD}" type="pres">
      <dgm:prSet presAssocID="{192F72BA-C5BF-4391-A945-1A9FC7E5AC84}" presName="level2Shape" presStyleLbl="node3" presStyleIdx="1" presStyleCnt="5"/>
      <dgm:spPr/>
    </dgm:pt>
    <dgm:pt modelId="{4BAD8652-4C4A-4AE0-A6E8-5E2F2588D80B}" type="pres">
      <dgm:prSet presAssocID="{192F72BA-C5BF-4391-A945-1A9FC7E5AC84}" presName="hierChild3" presStyleCnt="0"/>
      <dgm:spPr/>
    </dgm:pt>
    <dgm:pt modelId="{52D7921E-92E9-4FCE-A191-60007AC401ED}" type="pres">
      <dgm:prSet presAssocID="{9D323B65-7445-4A8B-B4D2-66097DF74C7A}" presName="Name19" presStyleLbl="parChTrans1D2" presStyleIdx="1" presStyleCnt="2"/>
      <dgm:spPr/>
    </dgm:pt>
    <dgm:pt modelId="{CA5E5C8E-5402-4107-A12D-A2F6D5DEFC85}" type="pres">
      <dgm:prSet presAssocID="{03A17B73-43E7-4095-86D0-DFD5B5AF30A1}" presName="Name21" presStyleCnt="0"/>
      <dgm:spPr/>
    </dgm:pt>
    <dgm:pt modelId="{8B0C4F10-C3C9-48B9-96C0-5DC0C9297618}" type="pres">
      <dgm:prSet presAssocID="{03A17B73-43E7-4095-86D0-DFD5B5AF30A1}" presName="level2Shape" presStyleLbl="node2" presStyleIdx="1" presStyleCnt="2"/>
      <dgm:spPr/>
    </dgm:pt>
    <dgm:pt modelId="{A91D8891-580E-46DE-9150-1BEC0B7B4A6C}" type="pres">
      <dgm:prSet presAssocID="{03A17B73-43E7-4095-86D0-DFD5B5AF30A1}" presName="hierChild3" presStyleCnt="0"/>
      <dgm:spPr/>
    </dgm:pt>
    <dgm:pt modelId="{16A2538F-EAB3-4D2F-82CA-32C7E693E172}" type="pres">
      <dgm:prSet presAssocID="{C3D24749-ED5D-41B9-BF91-DA4FEBFDA312}" presName="Name19" presStyleLbl="parChTrans1D3" presStyleIdx="2" presStyleCnt="5"/>
      <dgm:spPr/>
    </dgm:pt>
    <dgm:pt modelId="{B8926856-E635-4268-8358-44B2385C007F}" type="pres">
      <dgm:prSet presAssocID="{E55A456D-F5B8-45F7-A80A-BA2FDBF82F23}" presName="Name21" presStyleCnt="0"/>
      <dgm:spPr/>
    </dgm:pt>
    <dgm:pt modelId="{7D2BFB40-48EF-4F49-9BE7-247DC2C0C54D}" type="pres">
      <dgm:prSet presAssocID="{E55A456D-F5B8-45F7-A80A-BA2FDBF82F23}" presName="level2Shape" presStyleLbl="node3" presStyleIdx="2" presStyleCnt="5"/>
      <dgm:spPr/>
    </dgm:pt>
    <dgm:pt modelId="{FE66E994-19D8-4C4C-AFAA-A91B873F12F9}" type="pres">
      <dgm:prSet presAssocID="{E55A456D-F5B8-45F7-A80A-BA2FDBF82F23}" presName="hierChild3" presStyleCnt="0"/>
      <dgm:spPr/>
    </dgm:pt>
    <dgm:pt modelId="{F01878EE-A568-4FB7-B5D8-3313DE584E00}" type="pres">
      <dgm:prSet presAssocID="{1DAABA98-9151-498E-B93D-612E48B91936}" presName="Name19" presStyleLbl="parChTrans1D3" presStyleIdx="3" presStyleCnt="5"/>
      <dgm:spPr/>
    </dgm:pt>
    <dgm:pt modelId="{AF75FBB5-6E15-4191-8A16-2D2635854811}" type="pres">
      <dgm:prSet presAssocID="{9A4C4736-0FC0-4DCB-B2F2-62F294A4486A}" presName="Name21" presStyleCnt="0"/>
      <dgm:spPr/>
    </dgm:pt>
    <dgm:pt modelId="{C869E95B-43E6-4CA0-8EA6-BFB2A112A840}" type="pres">
      <dgm:prSet presAssocID="{9A4C4736-0FC0-4DCB-B2F2-62F294A4486A}" presName="level2Shape" presStyleLbl="node3" presStyleIdx="3" presStyleCnt="5"/>
      <dgm:spPr/>
    </dgm:pt>
    <dgm:pt modelId="{FEFD4FB2-F515-42BE-93B1-D7EA111EB4C1}" type="pres">
      <dgm:prSet presAssocID="{9A4C4736-0FC0-4DCB-B2F2-62F294A4486A}" presName="hierChild3" presStyleCnt="0"/>
      <dgm:spPr/>
    </dgm:pt>
    <dgm:pt modelId="{FC18236E-D24C-40EB-BBBB-222B9927BB8A}" type="pres">
      <dgm:prSet presAssocID="{702600E4-BA10-4030-BD43-1D5C84F29942}" presName="Name19" presStyleLbl="parChTrans1D3" presStyleIdx="4" presStyleCnt="5"/>
      <dgm:spPr/>
    </dgm:pt>
    <dgm:pt modelId="{4E0C7B3D-8E22-42F5-A148-880F30A74D6A}" type="pres">
      <dgm:prSet presAssocID="{553CFBC4-5EB8-4B78-9FE2-6D406737BB41}" presName="Name21" presStyleCnt="0"/>
      <dgm:spPr/>
    </dgm:pt>
    <dgm:pt modelId="{6103768D-0BCA-4030-8783-8BCD3A336FDB}" type="pres">
      <dgm:prSet presAssocID="{553CFBC4-5EB8-4B78-9FE2-6D406737BB41}" presName="level2Shape" presStyleLbl="node3" presStyleIdx="4" presStyleCnt="5"/>
      <dgm:spPr/>
    </dgm:pt>
    <dgm:pt modelId="{339E0D41-6854-45DA-B4C7-943F9551CCC4}" type="pres">
      <dgm:prSet presAssocID="{553CFBC4-5EB8-4B78-9FE2-6D406737BB41}" presName="hierChild3" presStyleCnt="0"/>
      <dgm:spPr/>
    </dgm:pt>
    <dgm:pt modelId="{BA90A7BB-E8C2-429C-AD45-4070F635D748}" type="pres">
      <dgm:prSet presAssocID="{81767265-CDDD-4F8D-AE6B-271CA20B3DFC}" presName="bgShapesFlow" presStyleCnt="0"/>
      <dgm:spPr/>
    </dgm:pt>
  </dgm:ptLst>
  <dgm:cxnLst>
    <dgm:cxn modelId="{00FE6506-8142-454A-9839-A7D94EE25455}" srcId="{03A17B73-43E7-4095-86D0-DFD5B5AF30A1}" destId="{9A4C4736-0FC0-4DCB-B2F2-62F294A4486A}" srcOrd="1" destOrd="0" parTransId="{1DAABA98-9151-498E-B93D-612E48B91936}" sibTransId="{FB26725C-54AD-4A1F-92D5-0A55D43CFC20}"/>
    <dgm:cxn modelId="{3F60C318-B65F-42FF-B2F2-5C45CA5E20F1}" type="presOf" srcId="{9D323B65-7445-4A8B-B4D2-66097DF74C7A}" destId="{52D7921E-92E9-4FCE-A191-60007AC401ED}" srcOrd="0" destOrd="0" presId="urn:microsoft.com/office/officeart/2005/8/layout/hierarchy6"/>
    <dgm:cxn modelId="{AFB20E28-2DD5-4D57-A6CE-A84288F2DAE6}" type="presOf" srcId="{03A17B73-43E7-4095-86D0-DFD5B5AF30A1}" destId="{8B0C4F10-C3C9-48B9-96C0-5DC0C9297618}" srcOrd="0" destOrd="0" presId="urn:microsoft.com/office/officeart/2005/8/layout/hierarchy6"/>
    <dgm:cxn modelId="{67771C2C-1F07-4926-B403-EFACCDCA5271}" type="presOf" srcId="{702600E4-BA10-4030-BD43-1D5C84F29942}" destId="{FC18236E-D24C-40EB-BBBB-222B9927BB8A}" srcOrd="0" destOrd="0" presId="urn:microsoft.com/office/officeart/2005/8/layout/hierarchy6"/>
    <dgm:cxn modelId="{B9729831-85E1-43CD-97AD-6ACACEED4D7A}" srcId="{03A17B73-43E7-4095-86D0-DFD5B5AF30A1}" destId="{E55A456D-F5B8-45F7-A80A-BA2FDBF82F23}" srcOrd="0" destOrd="0" parTransId="{C3D24749-ED5D-41B9-BF91-DA4FEBFDA312}" sibTransId="{59EDF6BD-C21C-40FA-BD30-594849406F6F}"/>
    <dgm:cxn modelId="{58969A39-ECC5-4AA2-8B8E-4F1A39AB8CD5}" type="presOf" srcId="{7E5FC42D-DD22-4FB0-94EE-D621A8170073}" destId="{11292680-5129-486C-B490-E04F66A1BE06}" srcOrd="0" destOrd="0" presId="urn:microsoft.com/office/officeart/2005/8/layout/hierarchy6"/>
    <dgm:cxn modelId="{DD640B3F-A543-4853-B55A-CAE57C103EE7}" srcId="{3B891F1F-A423-4154-A36F-A9B40B7DFB5C}" destId="{376416DC-DFE7-465C-B8CB-7872E1DDB126}" srcOrd="0" destOrd="0" parTransId="{7E5FC42D-DD22-4FB0-94EE-D621A8170073}" sibTransId="{A145D128-2DF8-499C-85AD-CA9A4B54BBF3}"/>
    <dgm:cxn modelId="{A8BCB064-004B-4385-82CA-CB4A0C9C5234}" srcId="{CEE50B01-EFBB-4EFD-968E-047A29DC703B}" destId="{03A17B73-43E7-4095-86D0-DFD5B5AF30A1}" srcOrd="1" destOrd="0" parTransId="{9D323B65-7445-4A8B-B4D2-66097DF74C7A}" sibTransId="{A1C3BCCB-367F-4A7A-9DB1-850661AAA155}"/>
    <dgm:cxn modelId="{FA76C14C-50B1-44C7-9E94-38395BC7743F}" type="presOf" srcId="{9A4C4736-0FC0-4DCB-B2F2-62F294A4486A}" destId="{C869E95B-43E6-4CA0-8EA6-BFB2A112A840}" srcOrd="0" destOrd="0" presId="urn:microsoft.com/office/officeart/2005/8/layout/hierarchy6"/>
    <dgm:cxn modelId="{3BF70C70-FF56-4B40-87B2-69C6F93F0DB1}" type="presOf" srcId="{AAE54034-28A3-4307-A589-2B75C2A38E80}" destId="{B2304389-05CD-46B1-88CB-BC0F79C45261}" srcOrd="0" destOrd="0" presId="urn:microsoft.com/office/officeart/2005/8/layout/hierarchy6"/>
    <dgm:cxn modelId="{5E3B4974-2137-4824-BE2F-81209E37FDCB}" srcId="{03A17B73-43E7-4095-86D0-DFD5B5AF30A1}" destId="{553CFBC4-5EB8-4B78-9FE2-6D406737BB41}" srcOrd="2" destOrd="0" parTransId="{702600E4-BA10-4030-BD43-1D5C84F29942}" sibTransId="{39A3EB0E-980F-452F-A1B6-52E2E3694B7F}"/>
    <dgm:cxn modelId="{0A41A25A-C45B-4525-BA7C-33C7F5DD52BF}" srcId="{CEE50B01-EFBB-4EFD-968E-047A29DC703B}" destId="{3B891F1F-A423-4154-A36F-A9B40B7DFB5C}" srcOrd="0" destOrd="0" parTransId="{7A2AA2FC-5D4E-4199-BC82-4780556B76F6}" sibTransId="{6331D100-E5B3-411B-ACD2-18853C0AD181}"/>
    <dgm:cxn modelId="{69BA6681-775F-4D6B-810A-2145A9CDFD29}" srcId="{81767265-CDDD-4F8D-AE6B-271CA20B3DFC}" destId="{CEE50B01-EFBB-4EFD-968E-047A29DC703B}" srcOrd="0" destOrd="0" parTransId="{4F5F6374-5ECB-4F0C-B399-AF24240C0C15}" sibTransId="{F459C6DE-C16F-4DCB-B794-0DC25FFD3629}"/>
    <dgm:cxn modelId="{3E92DD83-8AB2-476E-9F99-3433A57441E6}" type="presOf" srcId="{1DAABA98-9151-498E-B93D-612E48B91936}" destId="{F01878EE-A568-4FB7-B5D8-3313DE584E00}" srcOrd="0" destOrd="0" presId="urn:microsoft.com/office/officeart/2005/8/layout/hierarchy6"/>
    <dgm:cxn modelId="{A1BF4199-B99C-47BD-AA77-348A0B286269}" type="presOf" srcId="{553CFBC4-5EB8-4B78-9FE2-6D406737BB41}" destId="{6103768D-0BCA-4030-8783-8BCD3A336FDB}" srcOrd="0" destOrd="0" presId="urn:microsoft.com/office/officeart/2005/8/layout/hierarchy6"/>
    <dgm:cxn modelId="{5A727FA1-CD0E-46D8-B640-9D9DA64622D8}" type="presOf" srcId="{7A2AA2FC-5D4E-4199-BC82-4780556B76F6}" destId="{9D929318-3999-4F30-904E-10F77E721C03}" srcOrd="0" destOrd="0" presId="urn:microsoft.com/office/officeart/2005/8/layout/hierarchy6"/>
    <dgm:cxn modelId="{9FF13EAD-A945-44C3-B4EE-75BC4F626348}" type="presOf" srcId="{81767265-CDDD-4F8D-AE6B-271CA20B3DFC}" destId="{3314C581-C904-4EF2-8255-B111C4694570}" srcOrd="0" destOrd="0" presId="urn:microsoft.com/office/officeart/2005/8/layout/hierarchy6"/>
    <dgm:cxn modelId="{8C258BB7-419D-403D-8E2C-81A082E61116}" srcId="{3B891F1F-A423-4154-A36F-A9B40B7DFB5C}" destId="{192F72BA-C5BF-4391-A945-1A9FC7E5AC84}" srcOrd="1" destOrd="0" parTransId="{AAE54034-28A3-4307-A589-2B75C2A38E80}" sibTransId="{88588CEF-456A-49CC-A1A7-80280C7F2763}"/>
    <dgm:cxn modelId="{8BF5E7B7-2B2D-48AB-BDE2-1B0514CA522B}" type="presOf" srcId="{CEE50B01-EFBB-4EFD-968E-047A29DC703B}" destId="{27F3BA31-62C1-4B0D-B951-525D9534DB0E}" srcOrd="0" destOrd="0" presId="urn:microsoft.com/office/officeart/2005/8/layout/hierarchy6"/>
    <dgm:cxn modelId="{9372D4C4-17CD-4EDF-9596-B7E601EB7FBA}" type="presOf" srcId="{376416DC-DFE7-465C-B8CB-7872E1DDB126}" destId="{5D64C41B-5E68-4307-975D-D927C909DA5F}" srcOrd="0" destOrd="0" presId="urn:microsoft.com/office/officeart/2005/8/layout/hierarchy6"/>
    <dgm:cxn modelId="{E93B0CD7-3D6B-4807-95C1-9A3CEB67EFD9}" type="presOf" srcId="{3B891F1F-A423-4154-A36F-A9B40B7DFB5C}" destId="{350BAA79-3B25-465F-89D0-EFD6AA20953B}" srcOrd="0" destOrd="0" presId="urn:microsoft.com/office/officeart/2005/8/layout/hierarchy6"/>
    <dgm:cxn modelId="{959E20DA-6A89-49F3-9AD2-EB41192DD7E4}" type="presOf" srcId="{C3D24749-ED5D-41B9-BF91-DA4FEBFDA312}" destId="{16A2538F-EAB3-4D2F-82CA-32C7E693E172}" srcOrd="0" destOrd="0" presId="urn:microsoft.com/office/officeart/2005/8/layout/hierarchy6"/>
    <dgm:cxn modelId="{165672F1-E197-48DD-953F-DD1AFA08E234}" type="presOf" srcId="{192F72BA-C5BF-4391-A945-1A9FC7E5AC84}" destId="{AAF4D545-50A9-44CB-94E4-6BB61D12D6AD}" srcOrd="0" destOrd="0" presId="urn:microsoft.com/office/officeart/2005/8/layout/hierarchy6"/>
    <dgm:cxn modelId="{32BEDBFA-158D-442F-975A-4C9B62437719}" type="presOf" srcId="{E55A456D-F5B8-45F7-A80A-BA2FDBF82F23}" destId="{7D2BFB40-48EF-4F49-9BE7-247DC2C0C54D}" srcOrd="0" destOrd="0" presId="urn:microsoft.com/office/officeart/2005/8/layout/hierarchy6"/>
    <dgm:cxn modelId="{8B18D14A-08A8-4737-8DFF-3A65F962D15A}" type="presParOf" srcId="{3314C581-C904-4EF2-8255-B111C4694570}" destId="{6391B0EF-03DD-4794-A2D3-DFA614A7BB8A}" srcOrd="0" destOrd="0" presId="urn:microsoft.com/office/officeart/2005/8/layout/hierarchy6"/>
    <dgm:cxn modelId="{99019FAE-E25F-4D6A-9EB0-69DE3AA36943}" type="presParOf" srcId="{6391B0EF-03DD-4794-A2D3-DFA614A7BB8A}" destId="{31492832-BF21-4953-B2CA-FA9EFEFD3663}" srcOrd="0" destOrd="0" presId="urn:microsoft.com/office/officeart/2005/8/layout/hierarchy6"/>
    <dgm:cxn modelId="{7C3F74A6-FF47-4A07-9E4B-51EA0261768F}" type="presParOf" srcId="{31492832-BF21-4953-B2CA-FA9EFEFD3663}" destId="{3338DF83-CDE6-4B8D-95B5-E14772CFDCCF}" srcOrd="0" destOrd="0" presId="urn:microsoft.com/office/officeart/2005/8/layout/hierarchy6"/>
    <dgm:cxn modelId="{9EDE5FD2-D0E4-414F-8AE0-68F1BCDEC97F}" type="presParOf" srcId="{3338DF83-CDE6-4B8D-95B5-E14772CFDCCF}" destId="{27F3BA31-62C1-4B0D-B951-525D9534DB0E}" srcOrd="0" destOrd="0" presId="urn:microsoft.com/office/officeart/2005/8/layout/hierarchy6"/>
    <dgm:cxn modelId="{E28CF139-AB5B-4657-9448-8893EB62EDE9}" type="presParOf" srcId="{3338DF83-CDE6-4B8D-95B5-E14772CFDCCF}" destId="{059699D4-E717-45B7-A985-DD8931F7D2AC}" srcOrd="1" destOrd="0" presId="urn:microsoft.com/office/officeart/2005/8/layout/hierarchy6"/>
    <dgm:cxn modelId="{0B21A60C-CC19-4207-AA25-E432E4EE73EC}" type="presParOf" srcId="{059699D4-E717-45B7-A985-DD8931F7D2AC}" destId="{9D929318-3999-4F30-904E-10F77E721C03}" srcOrd="0" destOrd="0" presId="urn:microsoft.com/office/officeart/2005/8/layout/hierarchy6"/>
    <dgm:cxn modelId="{502AB081-8FE0-4ABF-B6F4-FDCA2D7B00A2}" type="presParOf" srcId="{059699D4-E717-45B7-A985-DD8931F7D2AC}" destId="{5A189975-6454-4941-AEAB-3625AAE3C617}" srcOrd="1" destOrd="0" presId="urn:microsoft.com/office/officeart/2005/8/layout/hierarchy6"/>
    <dgm:cxn modelId="{0C658AC1-7B7C-4A2F-BAA2-CC9C77735EA3}" type="presParOf" srcId="{5A189975-6454-4941-AEAB-3625AAE3C617}" destId="{350BAA79-3B25-465F-89D0-EFD6AA20953B}" srcOrd="0" destOrd="0" presId="urn:microsoft.com/office/officeart/2005/8/layout/hierarchy6"/>
    <dgm:cxn modelId="{BC969459-04BB-403C-8736-1E845940877D}" type="presParOf" srcId="{5A189975-6454-4941-AEAB-3625AAE3C617}" destId="{276EA1A6-22E3-4FC7-B2F9-D85198056510}" srcOrd="1" destOrd="0" presId="urn:microsoft.com/office/officeart/2005/8/layout/hierarchy6"/>
    <dgm:cxn modelId="{7B6BC15A-A3DC-4647-803C-7E1EE6AEEA29}" type="presParOf" srcId="{276EA1A6-22E3-4FC7-B2F9-D85198056510}" destId="{11292680-5129-486C-B490-E04F66A1BE06}" srcOrd="0" destOrd="0" presId="urn:microsoft.com/office/officeart/2005/8/layout/hierarchy6"/>
    <dgm:cxn modelId="{90A0124D-91FB-4694-BD4A-CF6326E492BD}" type="presParOf" srcId="{276EA1A6-22E3-4FC7-B2F9-D85198056510}" destId="{CDA4A06A-9E0E-45A7-91C0-CE24536FF433}" srcOrd="1" destOrd="0" presId="urn:microsoft.com/office/officeart/2005/8/layout/hierarchy6"/>
    <dgm:cxn modelId="{379C624B-2C1E-4E27-A8C2-588A9679C0CE}" type="presParOf" srcId="{CDA4A06A-9E0E-45A7-91C0-CE24536FF433}" destId="{5D64C41B-5E68-4307-975D-D927C909DA5F}" srcOrd="0" destOrd="0" presId="urn:microsoft.com/office/officeart/2005/8/layout/hierarchy6"/>
    <dgm:cxn modelId="{64C66FCC-3AC8-4350-B3F7-D0D6E73F09D0}" type="presParOf" srcId="{CDA4A06A-9E0E-45A7-91C0-CE24536FF433}" destId="{726A55EC-121A-4278-A05C-E08692F14E0A}" srcOrd="1" destOrd="0" presId="urn:microsoft.com/office/officeart/2005/8/layout/hierarchy6"/>
    <dgm:cxn modelId="{EA2D845A-265D-418A-89F4-7B3AAB54706A}" type="presParOf" srcId="{276EA1A6-22E3-4FC7-B2F9-D85198056510}" destId="{B2304389-05CD-46B1-88CB-BC0F79C45261}" srcOrd="2" destOrd="0" presId="urn:microsoft.com/office/officeart/2005/8/layout/hierarchy6"/>
    <dgm:cxn modelId="{120D601B-9298-4D77-AA78-05FF9B50D7AF}" type="presParOf" srcId="{276EA1A6-22E3-4FC7-B2F9-D85198056510}" destId="{3C1462F1-674D-4324-BB0F-255BE3CF6BAF}" srcOrd="3" destOrd="0" presId="urn:microsoft.com/office/officeart/2005/8/layout/hierarchy6"/>
    <dgm:cxn modelId="{36A9B002-C277-4C59-9DB7-9862D121B521}" type="presParOf" srcId="{3C1462F1-674D-4324-BB0F-255BE3CF6BAF}" destId="{AAF4D545-50A9-44CB-94E4-6BB61D12D6AD}" srcOrd="0" destOrd="0" presId="urn:microsoft.com/office/officeart/2005/8/layout/hierarchy6"/>
    <dgm:cxn modelId="{94232E50-2A49-485C-9228-EC5D000E9357}" type="presParOf" srcId="{3C1462F1-674D-4324-BB0F-255BE3CF6BAF}" destId="{4BAD8652-4C4A-4AE0-A6E8-5E2F2588D80B}" srcOrd="1" destOrd="0" presId="urn:microsoft.com/office/officeart/2005/8/layout/hierarchy6"/>
    <dgm:cxn modelId="{7C0D3E7A-A687-41E2-BE95-F03E037AB555}" type="presParOf" srcId="{059699D4-E717-45B7-A985-DD8931F7D2AC}" destId="{52D7921E-92E9-4FCE-A191-60007AC401ED}" srcOrd="2" destOrd="0" presId="urn:microsoft.com/office/officeart/2005/8/layout/hierarchy6"/>
    <dgm:cxn modelId="{CE115C86-C663-4D35-89C1-CCA4E441C374}" type="presParOf" srcId="{059699D4-E717-45B7-A985-DD8931F7D2AC}" destId="{CA5E5C8E-5402-4107-A12D-A2F6D5DEFC85}" srcOrd="3" destOrd="0" presId="urn:microsoft.com/office/officeart/2005/8/layout/hierarchy6"/>
    <dgm:cxn modelId="{17E52771-2C31-4DE1-A13E-4A37B45FB8FE}" type="presParOf" srcId="{CA5E5C8E-5402-4107-A12D-A2F6D5DEFC85}" destId="{8B0C4F10-C3C9-48B9-96C0-5DC0C9297618}" srcOrd="0" destOrd="0" presId="urn:microsoft.com/office/officeart/2005/8/layout/hierarchy6"/>
    <dgm:cxn modelId="{C1D4D5C6-8D4E-43DC-A198-1E917DC8986B}" type="presParOf" srcId="{CA5E5C8E-5402-4107-A12D-A2F6D5DEFC85}" destId="{A91D8891-580E-46DE-9150-1BEC0B7B4A6C}" srcOrd="1" destOrd="0" presId="urn:microsoft.com/office/officeart/2005/8/layout/hierarchy6"/>
    <dgm:cxn modelId="{B3CDE5FB-A8CB-43F9-8D54-88EA54D62B40}" type="presParOf" srcId="{A91D8891-580E-46DE-9150-1BEC0B7B4A6C}" destId="{16A2538F-EAB3-4D2F-82CA-32C7E693E172}" srcOrd="0" destOrd="0" presId="urn:microsoft.com/office/officeart/2005/8/layout/hierarchy6"/>
    <dgm:cxn modelId="{5E0F921E-8A66-42BB-944B-6C0BC388F6E1}" type="presParOf" srcId="{A91D8891-580E-46DE-9150-1BEC0B7B4A6C}" destId="{B8926856-E635-4268-8358-44B2385C007F}" srcOrd="1" destOrd="0" presId="urn:microsoft.com/office/officeart/2005/8/layout/hierarchy6"/>
    <dgm:cxn modelId="{92AAC782-830D-4AAC-B6D1-8E8194C3A21B}" type="presParOf" srcId="{B8926856-E635-4268-8358-44B2385C007F}" destId="{7D2BFB40-48EF-4F49-9BE7-247DC2C0C54D}" srcOrd="0" destOrd="0" presId="urn:microsoft.com/office/officeart/2005/8/layout/hierarchy6"/>
    <dgm:cxn modelId="{E53D434A-0C12-49FA-A2A3-2668B5DB4F4E}" type="presParOf" srcId="{B8926856-E635-4268-8358-44B2385C007F}" destId="{FE66E994-19D8-4C4C-AFAA-A91B873F12F9}" srcOrd="1" destOrd="0" presId="urn:microsoft.com/office/officeart/2005/8/layout/hierarchy6"/>
    <dgm:cxn modelId="{FFED0B67-CF30-48C4-9B6C-7E42AED09D58}" type="presParOf" srcId="{A91D8891-580E-46DE-9150-1BEC0B7B4A6C}" destId="{F01878EE-A568-4FB7-B5D8-3313DE584E00}" srcOrd="2" destOrd="0" presId="urn:microsoft.com/office/officeart/2005/8/layout/hierarchy6"/>
    <dgm:cxn modelId="{FFE696C8-04F5-4480-87AE-92F3393BE92E}" type="presParOf" srcId="{A91D8891-580E-46DE-9150-1BEC0B7B4A6C}" destId="{AF75FBB5-6E15-4191-8A16-2D2635854811}" srcOrd="3" destOrd="0" presId="urn:microsoft.com/office/officeart/2005/8/layout/hierarchy6"/>
    <dgm:cxn modelId="{B812B920-637B-4A5D-A28B-30FE28C6A3AC}" type="presParOf" srcId="{AF75FBB5-6E15-4191-8A16-2D2635854811}" destId="{C869E95B-43E6-4CA0-8EA6-BFB2A112A840}" srcOrd="0" destOrd="0" presId="urn:microsoft.com/office/officeart/2005/8/layout/hierarchy6"/>
    <dgm:cxn modelId="{D8FED394-C610-4682-AE22-90B4C33DAA05}" type="presParOf" srcId="{AF75FBB5-6E15-4191-8A16-2D2635854811}" destId="{FEFD4FB2-F515-42BE-93B1-D7EA111EB4C1}" srcOrd="1" destOrd="0" presId="urn:microsoft.com/office/officeart/2005/8/layout/hierarchy6"/>
    <dgm:cxn modelId="{F805186A-F70F-4C50-819C-8E032486C069}" type="presParOf" srcId="{A91D8891-580E-46DE-9150-1BEC0B7B4A6C}" destId="{FC18236E-D24C-40EB-BBBB-222B9927BB8A}" srcOrd="4" destOrd="0" presId="urn:microsoft.com/office/officeart/2005/8/layout/hierarchy6"/>
    <dgm:cxn modelId="{B2E759A0-6095-4651-B660-B980F28A26CF}" type="presParOf" srcId="{A91D8891-580E-46DE-9150-1BEC0B7B4A6C}" destId="{4E0C7B3D-8E22-42F5-A148-880F30A74D6A}" srcOrd="5" destOrd="0" presId="urn:microsoft.com/office/officeart/2005/8/layout/hierarchy6"/>
    <dgm:cxn modelId="{62E38300-7F17-4B1C-964C-43320198382F}" type="presParOf" srcId="{4E0C7B3D-8E22-42F5-A148-880F30A74D6A}" destId="{6103768D-0BCA-4030-8783-8BCD3A336FDB}" srcOrd="0" destOrd="0" presId="urn:microsoft.com/office/officeart/2005/8/layout/hierarchy6"/>
    <dgm:cxn modelId="{127E0560-123C-4662-A397-57E485DFD359}" type="presParOf" srcId="{4E0C7B3D-8E22-42F5-A148-880F30A74D6A}" destId="{339E0D41-6854-45DA-B4C7-943F9551CCC4}" srcOrd="1" destOrd="0" presId="urn:microsoft.com/office/officeart/2005/8/layout/hierarchy6"/>
    <dgm:cxn modelId="{C7E735C3-529F-4EE9-9514-A827B2FFD61D}" type="presParOf" srcId="{3314C581-C904-4EF2-8255-B111C4694570}" destId="{BA90A7BB-E8C2-429C-AD45-4070F635D748}" srcOrd="1" destOrd="0" presId="urn:microsoft.com/office/officeart/2005/8/layout/hierarchy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7AD7DD-D656-474E-AE98-ED7D51837B6E}">
      <dsp:nvSpPr>
        <dsp:cNvPr id="0" name=""/>
        <dsp:cNvSpPr/>
      </dsp:nvSpPr>
      <dsp:spPr>
        <a:xfrm>
          <a:off x="0" y="1315884"/>
          <a:ext cx="5486400" cy="56357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t>Calculations</a:t>
          </a:r>
        </a:p>
      </dsp:txBody>
      <dsp:txXfrm>
        <a:off x="0" y="1315884"/>
        <a:ext cx="1645920" cy="563574"/>
      </dsp:txXfrm>
    </dsp:sp>
    <dsp:sp modelId="{60928DFF-8544-478A-B163-8CD57C484109}">
      <dsp:nvSpPr>
        <dsp:cNvPr id="0" name=""/>
        <dsp:cNvSpPr/>
      </dsp:nvSpPr>
      <dsp:spPr>
        <a:xfrm>
          <a:off x="0" y="658012"/>
          <a:ext cx="5486400" cy="56357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t>Inputs</a:t>
          </a:r>
        </a:p>
      </dsp:txBody>
      <dsp:txXfrm>
        <a:off x="0" y="658012"/>
        <a:ext cx="1645920" cy="563574"/>
      </dsp:txXfrm>
    </dsp:sp>
    <dsp:sp modelId="{B9C513A6-6779-4B32-9E4A-4341E39388FA}">
      <dsp:nvSpPr>
        <dsp:cNvPr id="0" name=""/>
        <dsp:cNvSpPr/>
      </dsp:nvSpPr>
      <dsp:spPr>
        <a:xfrm>
          <a:off x="0" y="140"/>
          <a:ext cx="5486400" cy="56357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solidFill>
                <a:schemeClr val="bg2">
                  <a:lumMod val="90000"/>
                </a:schemeClr>
              </a:solidFill>
            </a:rPr>
            <a:t>.</a:t>
          </a:r>
        </a:p>
      </dsp:txBody>
      <dsp:txXfrm>
        <a:off x="0" y="140"/>
        <a:ext cx="1645920" cy="563574"/>
      </dsp:txXfrm>
    </dsp:sp>
    <dsp:sp modelId="{0265831F-4628-401A-9312-04301D016411}">
      <dsp:nvSpPr>
        <dsp:cNvPr id="0" name=""/>
        <dsp:cNvSpPr/>
      </dsp:nvSpPr>
      <dsp:spPr>
        <a:xfrm>
          <a:off x="3387530" y="47288"/>
          <a:ext cx="707231" cy="471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MODIS 16 A 2</a:t>
          </a:r>
          <a:endParaRPr lang="en-US" sz="600" kern="1200"/>
        </a:p>
      </dsp:txBody>
      <dsp:txXfrm>
        <a:off x="3401339" y="61097"/>
        <a:ext cx="679613" cy="443869"/>
      </dsp:txXfrm>
    </dsp:sp>
    <dsp:sp modelId="{8FC3FD44-0E68-4339-A510-2ECBA74A7277}">
      <dsp:nvSpPr>
        <dsp:cNvPr id="0" name=""/>
        <dsp:cNvSpPr/>
      </dsp:nvSpPr>
      <dsp:spPr>
        <a:xfrm>
          <a:off x="2591895" y="518776"/>
          <a:ext cx="1149250" cy="188595"/>
        </a:xfrm>
        <a:custGeom>
          <a:avLst/>
          <a:gdLst/>
          <a:ahLst/>
          <a:cxnLst/>
          <a:rect l="0" t="0" r="0" b="0"/>
          <a:pathLst>
            <a:path>
              <a:moveTo>
                <a:pt x="1149250" y="0"/>
              </a:moveTo>
              <a:lnTo>
                <a:pt x="1149250" y="94297"/>
              </a:lnTo>
              <a:lnTo>
                <a:pt x="0" y="94297"/>
              </a:lnTo>
              <a:lnTo>
                <a:pt x="0" y="1885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4F8825-8214-4F12-A318-48E9D9CDB040}">
      <dsp:nvSpPr>
        <dsp:cNvPr id="0" name=""/>
        <dsp:cNvSpPr/>
      </dsp:nvSpPr>
      <dsp:spPr>
        <a:xfrm>
          <a:off x="2238279" y="707371"/>
          <a:ext cx="707231" cy="471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Vegetation Parameters</a:t>
          </a:r>
          <a:endParaRPr lang="en-US" sz="600" kern="1200"/>
        </a:p>
      </dsp:txBody>
      <dsp:txXfrm>
        <a:off x="2252088" y="721180"/>
        <a:ext cx="679613" cy="443869"/>
      </dsp:txXfrm>
    </dsp:sp>
    <dsp:sp modelId="{248C4005-DA1D-40AD-BD90-DF751E27E283}">
      <dsp:nvSpPr>
        <dsp:cNvPr id="0" name=""/>
        <dsp:cNvSpPr/>
      </dsp:nvSpPr>
      <dsp:spPr>
        <a:xfrm>
          <a:off x="2132195" y="1178858"/>
          <a:ext cx="459700" cy="188595"/>
        </a:xfrm>
        <a:custGeom>
          <a:avLst/>
          <a:gdLst/>
          <a:ahLst/>
          <a:cxnLst/>
          <a:rect l="0" t="0" r="0" b="0"/>
          <a:pathLst>
            <a:path>
              <a:moveTo>
                <a:pt x="459700" y="0"/>
              </a:moveTo>
              <a:lnTo>
                <a:pt x="459700" y="94297"/>
              </a:lnTo>
              <a:lnTo>
                <a:pt x="0" y="94297"/>
              </a:lnTo>
              <a:lnTo>
                <a:pt x="0" y="1885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D22657-381C-4389-9E87-5990B3695948}">
      <dsp:nvSpPr>
        <dsp:cNvPr id="0" name=""/>
        <dsp:cNvSpPr/>
      </dsp:nvSpPr>
      <dsp:spPr>
        <a:xfrm>
          <a:off x="1778579" y="1367453"/>
          <a:ext cx="707231" cy="471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Net Radiation Calculation</a:t>
          </a:r>
          <a:endParaRPr lang="en-US" sz="600" kern="1200"/>
        </a:p>
      </dsp:txBody>
      <dsp:txXfrm>
        <a:off x="1792388" y="1381262"/>
        <a:ext cx="679613" cy="443869"/>
      </dsp:txXfrm>
    </dsp:sp>
    <dsp:sp modelId="{A6F24B4A-C3C1-42A5-8625-D76476F8B3E7}">
      <dsp:nvSpPr>
        <dsp:cNvPr id="0" name=""/>
        <dsp:cNvSpPr/>
      </dsp:nvSpPr>
      <dsp:spPr>
        <a:xfrm>
          <a:off x="2591895" y="1178858"/>
          <a:ext cx="459700" cy="188595"/>
        </a:xfrm>
        <a:custGeom>
          <a:avLst/>
          <a:gdLst/>
          <a:ahLst/>
          <a:cxnLst/>
          <a:rect l="0" t="0" r="0" b="0"/>
          <a:pathLst>
            <a:path>
              <a:moveTo>
                <a:pt x="0" y="0"/>
              </a:moveTo>
              <a:lnTo>
                <a:pt x="0" y="94297"/>
              </a:lnTo>
              <a:lnTo>
                <a:pt x="459700" y="94297"/>
              </a:lnTo>
              <a:lnTo>
                <a:pt x="459700" y="1885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7B0E54-E78C-43F6-8098-B15466F6D48D}">
      <dsp:nvSpPr>
        <dsp:cNvPr id="0" name=""/>
        <dsp:cNvSpPr/>
      </dsp:nvSpPr>
      <dsp:spPr>
        <a:xfrm>
          <a:off x="2697980" y="1367453"/>
          <a:ext cx="707231" cy="471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Soil Heat Flux (G)</a:t>
          </a:r>
          <a:endParaRPr lang="en-US" sz="600" kern="1200"/>
        </a:p>
      </dsp:txBody>
      <dsp:txXfrm>
        <a:off x="2711789" y="1381262"/>
        <a:ext cx="679613" cy="443869"/>
      </dsp:txXfrm>
    </dsp:sp>
    <dsp:sp modelId="{9535889D-C57D-4258-9078-EC8C74FE335C}">
      <dsp:nvSpPr>
        <dsp:cNvPr id="0" name=""/>
        <dsp:cNvSpPr/>
      </dsp:nvSpPr>
      <dsp:spPr>
        <a:xfrm>
          <a:off x="3741146" y="518776"/>
          <a:ext cx="229850" cy="188595"/>
        </a:xfrm>
        <a:custGeom>
          <a:avLst/>
          <a:gdLst/>
          <a:ahLst/>
          <a:cxnLst/>
          <a:rect l="0" t="0" r="0" b="0"/>
          <a:pathLst>
            <a:path>
              <a:moveTo>
                <a:pt x="0" y="0"/>
              </a:moveTo>
              <a:lnTo>
                <a:pt x="0" y="94297"/>
              </a:lnTo>
              <a:lnTo>
                <a:pt x="229850" y="94297"/>
              </a:lnTo>
              <a:lnTo>
                <a:pt x="229850" y="1885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A80215-47F3-4D49-8791-4CEC129E1952}">
      <dsp:nvSpPr>
        <dsp:cNvPr id="0" name=""/>
        <dsp:cNvSpPr/>
      </dsp:nvSpPr>
      <dsp:spPr>
        <a:xfrm>
          <a:off x="3617380" y="707371"/>
          <a:ext cx="707231" cy="471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Meteorological Data</a:t>
          </a:r>
          <a:endParaRPr lang="en-US" sz="600" kern="1200"/>
        </a:p>
      </dsp:txBody>
      <dsp:txXfrm>
        <a:off x="3631189" y="721180"/>
        <a:ext cx="679613" cy="443869"/>
      </dsp:txXfrm>
    </dsp:sp>
    <dsp:sp modelId="{CD8EE827-1FFE-415E-AEF0-774E9C0A72C5}">
      <dsp:nvSpPr>
        <dsp:cNvPr id="0" name=""/>
        <dsp:cNvSpPr/>
      </dsp:nvSpPr>
      <dsp:spPr>
        <a:xfrm>
          <a:off x="3925276" y="1178858"/>
          <a:ext cx="91440" cy="188595"/>
        </a:xfrm>
        <a:custGeom>
          <a:avLst/>
          <a:gdLst/>
          <a:ahLst/>
          <a:cxnLst/>
          <a:rect l="0" t="0" r="0" b="0"/>
          <a:pathLst>
            <a:path>
              <a:moveTo>
                <a:pt x="45720" y="0"/>
              </a:moveTo>
              <a:lnTo>
                <a:pt x="45720" y="1885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EC0565-8A0F-4B53-BE3A-DE9BAFA62137}">
      <dsp:nvSpPr>
        <dsp:cNvPr id="0" name=""/>
        <dsp:cNvSpPr/>
      </dsp:nvSpPr>
      <dsp:spPr>
        <a:xfrm>
          <a:off x="3617380" y="1367453"/>
          <a:ext cx="707231" cy="471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Vapor Pressure Deficit (VPD)</a:t>
          </a:r>
          <a:endParaRPr lang="en-US" sz="600" kern="1200"/>
        </a:p>
      </dsp:txBody>
      <dsp:txXfrm>
        <a:off x="3631189" y="1381262"/>
        <a:ext cx="679613" cy="443869"/>
      </dsp:txXfrm>
    </dsp:sp>
    <dsp:sp modelId="{3D4BD37B-7CAF-4C3E-B667-773ACDABD6E1}">
      <dsp:nvSpPr>
        <dsp:cNvPr id="0" name=""/>
        <dsp:cNvSpPr/>
      </dsp:nvSpPr>
      <dsp:spPr>
        <a:xfrm>
          <a:off x="3741146" y="518776"/>
          <a:ext cx="1149250" cy="188595"/>
        </a:xfrm>
        <a:custGeom>
          <a:avLst/>
          <a:gdLst/>
          <a:ahLst/>
          <a:cxnLst/>
          <a:rect l="0" t="0" r="0" b="0"/>
          <a:pathLst>
            <a:path>
              <a:moveTo>
                <a:pt x="0" y="0"/>
              </a:moveTo>
              <a:lnTo>
                <a:pt x="0" y="94297"/>
              </a:lnTo>
              <a:lnTo>
                <a:pt x="1149250" y="94297"/>
              </a:lnTo>
              <a:lnTo>
                <a:pt x="1149250" y="1885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D733E1-1D67-4B12-ABD6-E7808238AC20}">
      <dsp:nvSpPr>
        <dsp:cNvPr id="0" name=""/>
        <dsp:cNvSpPr/>
      </dsp:nvSpPr>
      <dsp:spPr>
        <a:xfrm>
          <a:off x="4536781" y="707371"/>
          <a:ext cx="707231" cy="471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Surface Resistance and Aerodynamic Resistance</a:t>
          </a:r>
          <a:endParaRPr lang="en-US" sz="600" kern="1200"/>
        </a:p>
      </dsp:txBody>
      <dsp:txXfrm>
        <a:off x="4550590" y="721180"/>
        <a:ext cx="679613" cy="443869"/>
      </dsp:txXfrm>
    </dsp:sp>
    <dsp:sp modelId="{037D690C-7D12-404B-8113-70F1A06CD15A}">
      <dsp:nvSpPr>
        <dsp:cNvPr id="0" name=""/>
        <dsp:cNvSpPr/>
      </dsp:nvSpPr>
      <dsp:spPr>
        <a:xfrm>
          <a:off x="4844676" y="1178858"/>
          <a:ext cx="91440" cy="188595"/>
        </a:xfrm>
        <a:custGeom>
          <a:avLst/>
          <a:gdLst/>
          <a:ahLst/>
          <a:cxnLst/>
          <a:rect l="0" t="0" r="0" b="0"/>
          <a:pathLst>
            <a:path>
              <a:moveTo>
                <a:pt x="45720" y="0"/>
              </a:moveTo>
              <a:lnTo>
                <a:pt x="45720" y="1885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E2AAF0-DDA1-401A-A151-C1BA6586C513}">
      <dsp:nvSpPr>
        <dsp:cNvPr id="0" name=""/>
        <dsp:cNvSpPr/>
      </dsp:nvSpPr>
      <dsp:spPr>
        <a:xfrm>
          <a:off x="4536781" y="1367453"/>
          <a:ext cx="707231" cy="4714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Penman-Monteith ET</a:t>
          </a:r>
          <a:endParaRPr lang="en-US" sz="600" kern="1200"/>
        </a:p>
      </dsp:txBody>
      <dsp:txXfrm>
        <a:off x="4550590" y="1381262"/>
        <a:ext cx="679613" cy="4438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F3BA31-62C1-4B0D-B951-525D9534DB0E}">
      <dsp:nvSpPr>
        <dsp:cNvPr id="0" name=""/>
        <dsp:cNvSpPr/>
      </dsp:nvSpPr>
      <dsp:spPr>
        <a:xfrm>
          <a:off x="2349512" y="425231"/>
          <a:ext cx="1031378" cy="6875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Inputs</a:t>
          </a:r>
          <a:endParaRPr lang="en-US" sz="1200" kern="1200"/>
        </a:p>
      </dsp:txBody>
      <dsp:txXfrm>
        <a:off x="2369651" y="445370"/>
        <a:ext cx="991100" cy="647307"/>
      </dsp:txXfrm>
    </dsp:sp>
    <dsp:sp modelId="{9D929318-3999-4F30-904E-10F77E721C03}">
      <dsp:nvSpPr>
        <dsp:cNvPr id="0" name=""/>
        <dsp:cNvSpPr/>
      </dsp:nvSpPr>
      <dsp:spPr>
        <a:xfrm>
          <a:off x="1189211" y="1112817"/>
          <a:ext cx="1675990" cy="275034"/>
        </a:xfrm>
        <a:custGeom>
          <a:avLst/>
          <a:gdLst/>
          <a:ahLst/>
          <a:cxnLst/>
          <a:rect l="0" t="0" r="0" b="0"/>
          <a:pathLst>
            <a:path>
              <a:moveTo>
                <a:pt x="1675990" y="0"/>
              </a:moveTo>
              <a:lnTo>
                <a:pt x="1675990" y="137517"/>
              </a:lnTo>
              <a:lnTo>
                <a:pt x="0" y="137517"/>
              </a:lnTo>
              <a:lnTo>
                <a:pt x="0" y="2750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0BAA79-3B25-465F-89D0-EFD6AA20953B}">
      <dsp:nvSpPr>
        <dsp:cNvPr id="0" name=""/>
        <dsp:cNvSpPr/>
      </dsp:nvSpPr>
      <dsp:spPr>
        <a:xfrm>
          <a:off x="673521" y="1387852"/>
          <a:ext cx="1031378" cy="6875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Satellite Data</a:t>
          </a:r>
        </a:p>
        <a:p>
          <a:pPr marL="0" lvl="0" indent="0" algn="ctr" defTabSz="355600">
            <a:lnSpc>
              <a:spcPct val="90000"/>
            </a:lnSpc>
            <a:spcBef>
              <a:spcPct val="0"/>
            </a:spcBef>
            <a:spcAft>
              <a:spcPct val="35000"/>
            </a:spcAft>
            <a:buNone/>
          </a:pPr>
          <a:r>
            <a:rPr lang="en-US" sz="800" kern="1200"/>
            <a:t>MODIS, Landsat, Sentinel </a:t>
          </a:r>
        </a:p>
      </dsp:txBody>
      <dsp:txXfrm>
        <a:off x="693660" y="1407991"/>
        <a:ext cx="991100" cy="647307"/>
      </dsp:txXfrm>
    </dsp:sp>
    <dsp:sp modelId="{11292680-5129-486C-B490-E04F66A1BE06}">
      <dsp:nvSpPr>
        <dsp:cNvPr id="0" name=""/>
        <dsp:cNvSpPr/>
      </dsp:nvSpPr>
      <dsp:spPr>
        <a:xfrm>
          <a:off x="518814" y="2075437"/>
          <a:ext cx="670396" cy="275034"/>
        </a:xfrm>
        <a:custGeom>
          <a:avLst/>
          <a:gdLst/>
          <a:ahLst/>
          <a:cxnLst/>
          <a:rect l="0" t="0" r="0" b="0"/>
          <a:pathLst>
            <a:path>
              <a:moveTo>
                <a:pt x="670396" y="0"/>
              </a:moveTo>
              <a:lnTo>
                <a:pt x="670396" y="137517"/>
              </a:lnTo>
              <a:lnTo>
                <a:pt x="0" y="137517"/>
              </a:lnTo>
              <a:lnTo>
                <a:pt x="0" y="2750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64C41B-5E68-4307-975D-D927C909DA5F}">
      <dsp:nvSpPr>
        <dsp:cNvPr id="0" name=""/>
        <dsp:cNvSpPr/>
      </dsp:nvSpPr>
      <dsp:spPr>
        <a:xfrm>
          <a:off x="3125" y="2350472"/>
          <a:ext cx="1031378" cy="6875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NDVI </a:t>
          </a:r>
          <a:endParaRPr lang="en-US" sz="800" kern="1200"/>
        </a:p>
      </dsp:txBody>
      <dsp:txXfrm>
        <a:off x="23264" y="2370611"/>
        <a:ext cx="991100" cy="647307"/>
      </dsp:txXfrm>
    </dsp:sp>
    <dsp:sp modelId="{B2304389-05CD-46B1-88CB-BC0F79C45261}">
      <dsp:nvSpPr>
        <dsp:cNvPr id="0" name=""/>
        <dsp:cNvSpPr/>
      </dsp:nvSpPr>
      <dsp:spPr>
        <a:xfrm>
          <a:off x="1189211" y="2075437"/>
          <a:ext cx="670396" cy="275034"/>
        </a:xfrm>
        <a:custGeom>
          <a:avLst/>
          <a:gdLst/>
          <a:ahLst/>
          <a:cxnLst/>
          <a:rect l="0" t="0" r="0" b="0"/>
          <a:pathLst>
            <a:path>
              <a:moveTo>
                <a:pt x="0" y="0"/>
              </a:moveTo>
              <a:lnTo>
                <a:pt x="0" y="137517"/>
              </a:lnTo>
              <a:lnTo>
                <a:pt x="670396" y="137517"/>
              </a:lnTo>
              <a:lnTo>
                <a:pt x="670396" y="2750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F4D545-50A9-44CB-94E4-6BB61D12D6AD}">
      <dsp:nvSpPr>
        <dsp:cNvPr id="0" name=""/>
        <dsp:cNvSpPr/>
      </dsp:nvSpPr>
      <dsp:spPr>
        <a:xfrm>
          <a:off x="1343917" y="2350472"/>
          <a:ext cx="1031378" cy="6875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Albedo and Surface Temperature</a:t>
          </a:r>
          <a:endParaRPr lang="en-US" sz="800" kern="1200"/>
        </a:p>
      </dsp:txBody>
      <dsp:txXfrm>
        <a:off x="1364056" y="2370611"/>
        <a:ext cx="991100" cy="647307"/>
      </dsp:txXfrm>
    </dsp:sp>
    <dsp:sp modelId="{52D7921E-92E9-4FCE-A191-60007AC401ED}">
      <dsp:nvSpPr>
        <dsp:cNvPr id="0" name=""/>
        <dsp:cNvSpPr/>
      </dsp:nvSpPr>
      <dsp:spPr>
        <a:xfrm>
          <a:off x="2865201" y="1112817"/>
          <a:ext cx="1675990" cy="275034"/>
        </a:xfrm>
        <a:custGeom>
          <a:avLst/>
          <a:gdLst/>
          <a:ahLst/>
          <a:cxnLst/>
          <a:rect l="0" t="0" r="0" b="0"/>
          <a:pathLst>
            <a:path>
              <a:moveTo>
                <a:pt x="0" y="0"/>
              </a:moveTo>
              <a:lnTo>
                <a:pt x="0" y="137517"/>
              </a:lnTo>
              <a:lnTo>
                <a:pt x="1675990" y="137517"/>
              </a:lnTo>
              <a:lnTo>
                <a:pt x="1675990" y="2750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0C4F10-C3C9-48B9-96C0-5DC0C9297618}">
      <dsp:nvSpPr>
        <dsp:cNvPr id="0" name=""/>
        <dsp:cNvSpPr/>
      </dsp:nvSpPr>
      <dsp:spPr>
        <a:xfrm>
          <a:off x="4025503" y="1387852"/>
          <a:ext cx="1031378" cy="6875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Meteorological Data</a:t>
          </a:r>
        </a:p>
        <a:p>
          <a:pPr marL="0" lvl="0" indent="0" algn="ctr" defTabSz="355600">
            <a:lnSpc>
              <a:spcPct val="90000"/>
            </a:lnSpc>
            <a:spcBef>
              <a:spcPct val="0"/>
            </a:spcBef>
            <a:spcAft>
              <a:spcPct val="35000"/>
            </a:spcAft>
            <a:buNone/>
          </a:pPr>
          <a:r>
            <a:rPr lang="en-US" sz="800" kern="1200"/>
            <a:t>Temperature, solar radiation, humidity</a:t>
          </a:r>
        </a:p>
      </dsp:txBody>
      <dsp:txXfrm>
        <a:off x="4045642" y="1407991"/>
        <a:ext cx="991100" cy="647307"/>
      </dsp:txXfrm>
    </dsp:sp>
    <dsp:sp modelId="{16A2538F-EAB3-4D2F-82CA-32C7E693E172}">
      <dsp:nvSpPr>
        <dsp:cNvPr id="0" name=""/>
        <dsp:cNvSpPr/>
      </dsp:nvSpPr>
      <dsp:spPr>
        <a:xfrm>
          <a:off x="3200400" y="2075437"/>
          <a:ext cx="1340792" cy="275034"/>
        </a:xfrm>
        <a:custGeom>
          <a:avLst/>
          <a:gdLst/>
          <a:ahLst/>
          <a:cxnLst/>
          <a:rect l="0" t="0" r="0" b="0"/>
          <a:pathLst>
            <a:path>
              <a:moveTo>
                <a:pt x="1340792" y="0"/>
              </a:moveTo>
              <a:lnTo>
                <a:pt x="1340792" y="137517"/>
              </a:lnTo>
              <a:lnTo>
                <a:pt x="0" y="137517"/>
              </a:lnTo>
              <a:lnTo>
                <a:pt x="0" y="2750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2BFB40-48EF-4F49-9BE7-247DC2C0C54D}">
      <dsp:nvSpPr>
        <dsp:cNvPr id="0" name=""/>
        <dsp:cNvSpPr/>
      </dsp:nvSpPr>
      <dsp:spPr>
        <a:xfrm>
          <a:off x="2684710" y="2350472"/>
          <a:ext cx="1031378" cy="6875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Net Radiation (Rn)</a:t>
          </a:r>
        </a:p>
      </dsp:txBody>
      <dsp:txXfrm>
        <a:off x="2704849" y="2370611"/>
        <a:ext cx="991100" cy="647307"/>
      </dsp:txXfrm>
    </dsp:sp>
    <dsp:sp modelId="{F01878EE-A568-4FB7-B5D8-3313DE584E00}">
      <dsp:nvSpPr>
        <dsp:cNvPr id="0" name=""/>
        <dsp:cNvSpPr/>
      </dsp:nvSpPr>
      <dsp:spPr>
        <a:xfrm>
          <a:off x="4495472" y="2075437"/>
          <a:ext cx="91440" cy="275034"/>
        </a:xfrm>
        <a:custGeom>
          <a:avLst/>
          <a:gdLst/>
          <a:ahLst/>
          <a:cxnLst/>
          <a:rect l="0" t="0" r="0" b="0"/>
          <a:pathLst>
            <a:path>
              <a:moveTo>
                <a:pt x="45720" y="0"/>
              </a:moveTo>
              <a:lnTo>
                <a:pt x="45720" y="2750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69E95B-43E6-4CA0-8EA6-BFB2A112A840}">
      <dsp:nvSpPr>
        <dsp:cNvPr id="0" name=""/>
        <dsp:cNvSpPr/>
      </dsp:nvSpPr>
      <dsp:spPr>
        <a:xfrm>
          <a:off x="4025503" y="2350472"/>
          <a:ext cx="1031378" cy="6875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Soil Heat Flux (G)</a:t>
          </a:r>
        </a:p>
      </dsp:txBody>
      <dsp:txXfrm>
        <a:off x="4045642" y="2370611"/>
        <a:ext cx="991100" cy="647307"/>
      </dsp:txXfrm>
    </dsp:sp>
    <dsp:sp modelId="{FC18236E-D24C-40EB-BBBB-222B9927BB8A}">
      <dsp:nvSpPr>
        <dsp:cNvPr id="0" name=""/>
        <dsp:cNvSpPr/>
      </dsp:nvSpPr>
      <dsp:spPr>
        <a:xfrm>
          <a:off x="4541192" y="2075437"/>
          <a:ext cx="1340792" cy="275034"/>
        </a:xfrm>
        <a:custGeom>
          <a:avLst/>
          <a:gdLst/>
          <a:ahLst/>
          <a:cxnLst/>
          <a:rect l="0" t="0" r="0" b="0"/>
          <a:pathLst>
            <a:path>
              <a:moveTo>
                <a:pt x="0" y="0"/>
              </a:moveTo>
              <a:lnTo>
                <a:pt x="0" y="137517"/>
              </a:lnTo>
              <a:lnTo>
                <a:pt x="1340792" y="137517"/>
              </a:lnTo>
              <a:lnTo>
                <a:pt x="1340792" y="2750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03768D-0BCA-4030-8783-8BCD3A336FDB}">
      <dsp:nvSpPr>
        <dsp:cNvPr id="0" name=""/>
        <dsp:cNvSpPr/>
      </dsp:nvSpPr>
      <dsp:spPr>
        <a:xfrm>
          <a:off x="5366295" y="2350472"/>
          <a:ext cx="1031378" cy="6875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Latent Heat Flux (LE)</a:t>
          </a:r>
        </a:p>
      </dsp:txBody>
      <dsp:txXfrm>
        <a:off x="5386434" y="2370611"/>
        <a:ext cx="991100" cy="6473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FAO23</b:Tag>
    <b:SourceType>Book</b:SourceType>
    <b:Guid>{8FA5C3F0-9519-40D0-AF6E-B6B87F4757C3}</b:Guid>
    <b:Author>
      <b:Author>
        <b:NameList>
          <b:Person>
            <b:Last>FAO</b:Last>
          </b:Person>
        </b:NameList>
      </b:Author>
    </b:Author>
    <b:Title>Remote sensing determination of evapotranspiration – Algorithms, strengths, weaknesses, uncertainty and best fit-forpurpose</b:Title>
    <b:Year>2023.</b:Year>
    <b:RefOrder>1</b:RefOrder>
  </b:Source>
  <b:Source>
    <b:Tag>FAO231</b:Tag>
    <b:SourceType>InternetSite</b:SourceType>
    <b:Guid>{AC61D303-AFBD-4467-AB7F-B4FFC14DB9B3}</b:Guid>
    <b:Title>WaPOR - portal</b:Title>
    <b:Year>2023.</b:Year>
    <b:Author>
      <b:Author>
        <b:NameList>
          <b:Person>
            <b:Last>FAO</b:Last>
          </b:Person>
        </b:NameList>
      </b:Author>
    </b:Author>
    <b:URL>https://www.fao.org/land-water/databases-and-software/wapor/en/</b:URL>
    <b:InternetSiteTitle>WaPOR - FAO portal to monitor Water Productivity through Open access of remotely sensed derived data.</b:InternetSiteTitle>
    <b:RefOrder>13</b:RefOrder>
  </b:Source>
  <b:Source>
    <b:Tag>NAS13</b:Tag>
    <b:SourceType>Report</b:SourceType>
    <b:Guid>{C313402B-DEE8-43C8-8F22-D9A0F573308D}</b:Guid>
    <b:Title>MODIS Global Terrestrial Evapotranspiration (ET) Product</b:Title>
    <b:Year>2013</b:Year>
    <b:Author>
      <b:Author>
        <b:NameList>
          <b:Person>
            <b:Last>NASA</b:Last>
          </b:Person>
        </b:NameList>
      </b:Author>
    </b:Author>
    <b:Publisher>NASA</b:Publisher>
    <b:RefOrder>15</b:RefOrder>
  </b:Source>
  <b:Source>
    <b:Tag>Mos19</b:Tag>
    <b:SourceType>JournalArticle</b:SourceType>
    <b:Guid>{7CA5B6B8-B563-4C9F-8D24-C77FEF74D3BB}</b:Guid>
    <b:Title>METRIC and WaPOR Estimates of Evapotranspiration over the Lake Urmia Basin: Comparative Analysis and Composite Assessment</b:Title>
    <b:Year>2019</b:Year>
    <b:Author>
      <b:Author>
        <b:Corporate>Mostafa Javadian, et. al.</b:Corporate>
      </b:Author>
    </b:Author>
    <b:JournalName>MDPI</b:JournalName>
    <b:RefOrder>14</b:RefOrder>
  </b:Source>
  <b:Source>
    <b:Tag>Dun17</b:Tag>
    <b:SourceType>JournalArticle</b:SourceType>
    <b:Guid>{20439A3B-3C41-4A07-AD53-C8626CB331FE}</b:Guid>
    <b:Author>
      <b:Author>
        <b:Corporate>Dunxian She, et. al.</b:Corporate>
      </b:Author>
    </b:Author>
    <b:Title>Changes in reference evapotranspiration and its driving factors in the middle reaches of Yellow River Basin, China</b:Title>
    <b:JournalName>ELSEVIER</b:JournalName>
    <b:Year>2017</b:Year>
    <b:Pages>1151-1162</b:Pages>
    <b:RefOrder>2</b:RefOrder>
  </b:Source>
  <b:Source>
    <b:Tag>SMo96</b:Tag>
    <b:SourceType>JournalArticle</b:SourceType>
    <b:Guid>{96BB8DE1-ADD2-4263-8C41-47AFD9E586C0}</b:Guid>
    <b:Author>
      <b:Author>
        <b:Corporate>S. Mohan, et. al.</b:Corporate>
      </b:Author>
    </b:Author>
    <b:Title>Relative importance of meteorological variables in evapotranspiration: Factor analysis approach</b:Title>
    <b:JournalName>springer nature</b:JournalName>
    <b:Year>1996</b:Year>
    <b:Pages>1-10</b:Pages>
    <b:RefOrder>3</b:RefOrder>
  </b:Source>
  <b:Source>
    <b:Tag>ZeX13</b:Tag>
    <b:SourceType>JournalArticle</b:SourceType>
    <b:Guid>{59864469-E9DF-4681-993F-F0CDCE1A8C96}</b:Guid>
    <b:Author>
      <b:Author>
        <b:Corporate>Ze-Xin Fan, et. al.</b:Corporate>
      </b:Author>
    </b:Author>
    <b:Title>Spatiotemporal variability of reference evapotranspiration and its contributing climatic factors in Yunnan Province, SW China, 1961–2004</b:Title>
    <b:JournalName>Springer Nature</b:JournalName>
    <b:Year>2013</b:Year>
    <b:Pages>309–325</b:Pages>
    <b:RefOrder>4</b:RefOrder>
  </b:Source>
  <b:Source>
    <b:Tag>ERL57</b:Tag>
    <b:SourceType>JournalArticle</b:SourceType>
    <b:Guid>{026028B4-0C8B-445A-95D7-DCE0336F2981}</b:Guid>
    <b:Author>
      <b:Author>
        <b:Corporate>E. R. Lemon, et. al.</b:Corporate>
      </b:Author>
    </b:Author>
    <b:Title>Some Aspects of the Relationship of Soil, Plant, and Meteorological Factors to Evapotranspiration</b:Title>
    <b:JournalName>Soil Science Society of America Jornal</b:JournalName>
    <b:Year>1957</b:Year>
    <b:RefOrder>5</b:RefOrder>
  </b:Source>
  <b:Source>
    <b:Tag>Xue23</b:Tag>
    <b:SourceType>JournalArticle</b:SourceType>
    <b:Guid>{533BA232-7B7A-4FCB-9250-9BDF71F32401}</b:Guid>
    <b:Author>
      <b:Author>
        <b:Corporate>Xueyi Yang, et. al.</b:Corporate>
      </b:Author>
    </b:Author>
    <b:Title>Response of Evapotranspiration (ET) to Climate Factors and Crop Planting Structures in the Shiyang River Basin, Northwestern China</b:Title>
    <b:JournalName>MDPI</b:JournalName>
    <b:Year>2023</b:Year>
    <b:RefOrder>6</b:RefOrder>
  </b:Source>
  <b:Source>
    <b:Tag>Hui18</b:Tag>
    <b:SourceType>JournalArticle</b:SourceType>
    <b:Guid>{E6C02D28-019D-4C7B-ADE6-829819452FE2}</b:Guid>
    <b:Author>
      <b:Author>
        <b:Corporate>Huimin Lei, et. al</b:Corporate>
      </b:Author>
    </b:Author>
    <b:Title>Biological factors dominate the interannual variability of evapotranspiration in an irrigated cropland in the North China Plain</b:Title>
    <b:JournalName>ELSEVIR</b:JournalName>
    <b:Year>2018</b:Year>
    <b:Pages>262-276</b:Pages>
    <b:RefOrder>7</b:RefOrder>
  </b:Source>
  <b:Source>
    <b:Tag>Yas15</b:Tag>
    <b:SourceType>JournalArticle</b:SourceType>
    <b:Guid>{77229B2E-76E3-408F-8923-9A92BA3304F5}</b:Guid>
    <b:Author>
      <b:Author>
        <b:Corporate>Yasunori Igarashi, et. al.</b:Corporate>
      </b:Author>
    </b:Author>
    <b:Title>Separating physical and biological controls on long-term evapotranspiration fluctuations in a tropical deciduous forest subjected to monsoonal rainfall</b:Title>
    <b:JournalName>Advancing Earth and Space Sciences</b:JournalName>
    <b:Year>2015</b:Year>
    <b:Pages>1262-1278</b:Pages>
    <b:RefOrder>8</b:RefOrder>
  </b:Source>
  <b:Source>
    <b:Tag>Wil19</b:Tag>
    <b:SourceType>JournalArticle</b:SourceType>
    <b:Guid>{849A2BB0-B6C7-4622-AB22-0B5BF2F318F1}</b:Guid>
    <b:Author>
      <b:Author>
        <b:Corporate>William Fenner, et. al.</b:Corporate>
      </b:Author>
    </b:Author>
    <b:Title>Development, calibration and validation of weighing lysimeters for measurement of evapotranspiration of crops</b:Title>
    <b:JournalName>Revista Brasileira de Engenharia Agricola e Ambiental</b:JournalName>
    <b:Year>2019</b:Year>
    <b:RefOrder>9</b:RefOrder>
  </b:Source>
  <b:Source>
    <b:Tag>DEA84</b:Tag>
    <b:SourceType>JournalArticle</b:SourceType>
    <b:Guid>{8DF5DF6E-4EA1-471F-A2DC-633ACF3D792B}</b:Guid>
    <b:Author>
      <b:Author>
        <b:Corporate>D.E. Angus, el. at.</b:Corporate>
      </b:Author>
    </b:Author>
    <b:Title>Evapotranspiration — How good is the Bowen ratio method?</b:Title>
    <b:JournalName>ELSEVIER</b:JournalName>
    <b:Year>1984</b:Year>
    <b:Pages>133-150</b:Pages>
    <b:RefOrder>10</b:RefOrder>
  </b:Source>
  <b:Source>
    <b:Tag>Oma19</b:Tag>
    <b:SourceType>JournalArticle</b:SourceType>
    <b:Guid>{746550FD-D675-4070-9F70-DA77A9FA926F}</b:Guid>
    <b:Title>Estimating Actual Evapotranspiration over a Large and Complex Irrigation System of the Nile Delta in Egypt</b:Title>
    <b:Year>2019</b:Year>
    <b:Pages>2432-2439</b:Pages>
    <b:Author>
      <b:Author>
        <b:Corporate>Omar, Mohie et al.</b:Corporate>
      </b:Author>
    </b:Author>
    <b:JournalName>nternational Journal of Recent Technology and Engineering (IJRTE)</b:JournalName>
    <b:RefOrder>11</b:RefOrder>
  </b:Source>
  <b:Source>
    <b:Tag>IGh21</b:Tag>
    <b:SourceType>JournalArticle</b:SourceType>
    <b:Guid>{81D29A6B-E15A-42FA-AE20-745F99EB4ED5}</b:Guid>
    <b:Author>
      <b:Author>
        <b:Corporate>I. Ghiat et al.</b:Corporate>
      </b:Author>
    </b:Author>
    <b:Title>A Review of Evapotranspiration Measurement Models , Field Applications</b:Title>
    <b:JournalName>Water</b:JournalName>
    <b:Year>2021</b:Year>
    <b:RefOrder>12</b:RefOrder>
  </b:Source>
</b:Sources>
</file>

<file path=customXml/itemProps1.xml><?xml version="1.0" encoding="utf-8"?>
<ds:datastoreItem xmlns:ds="http://schemas.openxmlformats.org/officeDocument/2006/customXml" ds:itemID="{E2FD166A-44C8-47E1-AB2E-97E7AE49D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6553</Words>
  <Characters>36244</Characters>
  <Application>Microsoft Office Word</Application>
  <DocSecurity>0</DocSecurity>
  <Lines>805</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Elbendary, Naglaa (FAOEG)</dc:creator>
  <cp:keywords/>
  <dc:description/>
  <cp:lastModifiedBy>Sherien Zahran</cp:lastModifiedBy>
  <cp:revision>3</cp:revision>
  <dcterms:created xsi:type="dcterms:W3CDTF">2024-11-23T20:31:00Z</dcterms:created>
  <dcterms:modified xsi:type="dcterms:W3CDTF">2024-11-23T20:33:00Z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c7f3bd026de16d250d69d8aa667c414e5dc87ec6f4fddb4d96567e56a3e5b20d</vt:lpwstr>
  </property>
</Properties>
</file>