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E0AA2" w14:textId="67266D04" w:rsidR="004E5CF8" w:rsidRPr="00AC045F" w:rsidRDefault="00560084" w:rsidP="000D7C31">
      <w:pPr>
        <w:pStyle w:val="AbstractLiteratur"/>
        <w:spacing w:before="0" w:after="0" w:line="240" w:lineRule="auto"/>
        <w:rPr>
          <w:sz w:val="32"/>
          <w:szCs w:val="20"/>
          <w:lang w:val="vi-VN"/>
        </w:rPr>
      </w:pPr>
      <w:r w:rsidRPr="00AC045F">
        <w:rPr>
          <w:sz w:val="32"/>
          <w:szCs w:val="20"/>
          <w:lang w:val="vi-VN"/>
        </w:rPr>
        <w:t>C</w:t>
      </w:r>
      <w:proofErr w:type="spellStart"/>
      <w:r w:rsidRPr="00AC045F">
        <w:rPr>
          <w:sz w:val="32"/>
          <w:szCs w:val="20"/>
        </w:rPr>
        <w:t>urrent</w:t>
      </w:r>
      <w:proofErr w:type="spellEnd"/>
      <w:r w:rsidRPr="00AC045F">
        <w:rPr>
          <w:sz w:val="32"/>
          <w:szCs w:val="20"/>
        </w:rPr>
        <w:t xml:space="preserve"> </w:t>
      </w:r>
      <w:proofErr w:type="spellStart"/>
      <w:r w:rsidRPr="00AC045F">
        <w:rPr>
          <w:sz w:val="32"/>
          <w:szCs w:val="20"/>
        </w:rPr>
        <w:t>situation</w:t>
      </w:r>
      <w:proofErr w:type="spellEnd"/>
      <w:r w:rsidRPr="00AC045F">
        <w:rPr>
          <w:sz w:val="32"/>
          <w:szCs w:val="20"/>
        </w:rPr>
        <w:t xml:space="preserve">, constraints and potential approaches in </w:t>
      </w:r>
      <w:proofErr w:type="spellStart"/>
      <w:r w:rsidRPr="00AC045F">
        <w:rPr>
          <w:sz w:val="32"/>
          <w:szCs w:val="20"/>
        </w:rPr>
        <w:t>the</w:t>
      </w:r>
      <w:proofErr w:type="spellEnd"/>
      <w:r w:rsidRPr="00AC045F">
        <w:rPr>
          <w:sz w:val="32"/>
          <w:szCs w:val="20"/>
        </w:rPr>
        <w:t xml:space="preserve"> </w:t>
      </w:r>
      <w:proofErr w:type="spellStart"/>
      <w:r w:rsidRPr="00AC045F">
        <w:rPr>
          <w:sz w:val="32"/>
          <w:szCs w:val="20"/>
        </w:rPr>
        <w:t>utilisation</w:t>
      </w:r>
      <w:proofErr w:type="spellEnd"/>
      <w:r w:rsidRPr="00AC045F">
        <w:rPr>
          <w:sz w:val="32"/>
          <w:szCs w:val="20"/>
        </w:rPr>
        <w:t xml:space="preserve"> and </w:t>
      </w:r>
      <w:proofErr w:type="spellStart"/>
      <w:r w:rsidRPr="00AC045F">
        <w:rPr>
          <w:sz w:val="32"/>
          <w:szCs w:val="20"/>
        </w:rPr>
        <w:t>recycling</w:t>
      </w:r>
      <w:proofErr w:type="spellEnd"/>
      <w:r w:rsidRPr="00AC045F">
        <w:rPr>
          <w:sz w:val="32"/>
          <w:szCs w:val="20"/>
        </w:rPr>
        <w:t xml:space="preserve"> </w:t>
      </w:r>
      <w:proofErr w:type="spellStart"/>
      <w:r w:rsidRPr="00AC045F">
        <w:rPr>
          <w:sz w:val="32"/>
          <w:szCs w:val="20"/>
        </w:rPr>
        <w:t>of</w:t>
      </w:r>
      <w:proofErr w:type="spellEnd"/>
      <w:r w:rsidRPr="00AC045F">
        <w:rPr>
          <w:sz w:val="32"/>
          <w:szCs w:val="20"/>
        </w:rPr>
        <w:t xml:space="preserve"> </w:t>
      </w:r>
      <w:proofErr w:type="spellStart"/>
      <w:r w:rsidRPr="00AC045F">
        <w:rPr>
          <w:sz w:val="32"/>
          <w:szCs w:val="20"/>
        </w:rPr>
        <w:t>durian</w:t>
      </w:r>
      <w:proofErr w:type="spellEnd"/>
      <w:r w:rsidRPr="00AC045F">
        <w:rPr>
          <w:sz w:val="32"/>
          <w:szCs w:val="20"/>
        </w:rPr>
        <w:t xml:space="preserve"> (</w:t>
      </w:r>
      <w:r w:rsidRPr="00AC045F">
        <w:rPr>
          <w:i/>
          <w:iCs/>
          <w:sz w:val="32"/>
          <w:szCs w:val="20"/>
          <w:lang w:val="vi-VN"/>
        </w:rPr>
        <w:t>D</w:t>
      </w:r>
      <w:proofErr w:type="spellStart"/>
      <w:r w:rsidRPr="00AC045F">
        <w:rPr>
          <w:i/>
          <w:iCs/>
          <w:sz w:val="32"/>
          <w:szCs w:val="20"/>
        </w:rPr>
        <w:t>urio</w:t>
      </w:r>
      <w:proofErr w:type="spellEnd"/>
      <w:r w:rsidRPr="00AC045F">
        <w:rPr>
          <w:sz w:val="32"/>
          <w:szCs w:val="20"/>
        </w:rPr>
        <w:t xml:space="preserve"> </w:t>
      </w:r>
      <w:proofErr w:type="spellStart"/>
      <w:r w:rsidRPr="00AC045F">
        <w:rPr>
          <w:sz w:val="32"/>
          <w:szCs w:val="20"/>
        </w:rPr>
        <w:t>spp</w:t>
      </w:r>
      <w:proofErr w:type="spellEnd"/>
      <w:r w:rsidRPr="00AC045F">
        <w:rPr>
          <w:sz w:val="32"/>
          <w:szCs w:val="20"/>
        </w:rPr>
        <w:t xml:space="preserve">.) </w:t>
      </w:r>
      <w:proofErr w:type="spellStart"/>
      <w:r w:rsidRPr="00AC045F">
        <w:rPr>
          <w:sz w:val="32"/>
          <w:szCs w:val="20"/>
        </w:rPr>
        <w:t>shell</w:t>
      </w:r>
      <w:proofErr w:type="spellEnd"/>
      <w:r w:rsidRPr="00AC045F">
        <w:rPr>
          <w:sz w:val="32"/>
          <w:szCs w:val="20"/>
        </w:rPr>
        <w:t xml:space="preserve"> </w:t>
      </w:r>
      <w:proofErr w:type="spellStart"/>
      <w:r w:rsidRPr="00AC045F">
        <w:rPr>
          <w:sz w:val="32"/>
          <w:szCs w:val="20"/>
        </w:rPr>
        <w:t>waste</w:t>
      </w:r>
      <w:proofErr w:type="spellEnd"/>
      <w:r w:rsidRPr="00AC045F">
        <w:rPr>
          <w:sz w:val="32"/>
          <w:szCs w:val="20"/>
        </w:rPr>
        <w:t xml:space="preserve"> in </w:t>
      </w:r>
      <w:r w:rsidRPr="00AC045F">
        <w:rPr>
          <w:sz w:val="32"/>
          <w:szCs w:val="20"/>
          <w:lang w:val="vi-VN"/>
        </w:rPr>
        <w:t>V</w:t>
      </w:r>
      <w:proofErr w:type="spellStart"/>
      <w:r w:rsidRPr="00AC045F">
        <w:rPr>
          <w:sz w:val="32"/>
          <w:szCs w:val="20"/>
        </w:rPr>
        <w:t>ietnam</w:t>
      </w:r>
      <w:proofErr w:type="spellEnd"/>
      <w:r w:rsidRPr="00AC045F">
        <w:rPr>
          <w:sz w:val="32"/>
          <w:szCs w:val="20"/>
        </w:rPr>
        <w:t xml:space="preserve">: </w:t>
      </w:r>
      <w:r w:rsidR="00975914" w:rsidRPr="00AC045F">
        <w:rPr>
          <w:sz w:val="32"/>
          <w:szCs w:val="20"/>
          <w:lang w:val="vi-VN"/>
        </w:rPr>
        <w:t>a</w:t>
      </w:r>
      <w:r w:rsidRPr="00AC045F">
        <w:rPr>
          <w:sz w:val="32"/>
          <w:szCs w:val="20"/>
        </w:rPr>
        <w:t xml:space="preserve"> review</w:t>
      </w:r>
    </w:p>
    <w:p w14:paraId="36DAC4B7" w14:textId="77777777" w:rsidR="000D7C31" w:rsidRPr="00AC045F" w:rsidRDefault="000D7C31" w:rsidP="00A730AA">
      <w:pPr>
        <w:pStyle w:val="Default"/>
        <w:jc w:val="both"/>
        <w:rPr>
          <w:b/>
          <w:bCs/>
          <w:sz w:val="20"/>
          <w:szCs w:val="20"/>
        </w:rPr>
      </w:pPr>
    </w:p>
    <w:p w14:paraId="01B96E7C" w14:textId="77777777" w:rsidR="004E5CF8" w:rsidRPr="00AC045F" w:rsidRDefault="002D4610" w:rsidP="000D7C31">
      <w:pPr>
        <w:pStyle w:val="Default"/>
        <w:jc w:val="center"/>
        <w:rPr>
          <w:bCs/>
          <w:sz w:val="28"/>
          <w:szCs w:val="20"/>
          <w:lang w:val="vi-VN"/>
        </w:rPr>
      </w:pPr>
      <w:r w:rsidRPr="00AC045F">
        <w:rPr>
          <w:bCs/>
          <w:sz w:val="28"/>
          <w:szCs w:val="20"/>
        </w:rPr>
        <w:t>An D</w:t>
      </w:r>
      <w:r w:rsidRPr="00AC045F">
        <w:rPr>
          <w:bCs/>
          <w:sz w:val="28"/>
          <w:szCs w:val="20"/>
          <w:lang w:val="vi-VN"/>
        </w:rPr>
        <w:t>.</w:t>
      </w:r>
      <w:r w:rsidRPr="00AC045F">
        <w:rPr>
          <w:bCs/>
          <w:sz w:val="28"/>
          <w:szCs w:val="20"/>
        </w:rPr>
        <w:t xml:space="preserve"> X</w:t>
      </w:r>
      <w:r w:rsidRPr="00AC045F">
        <w:rPr>
          <w:bCs/>
          <w:sz w:val="28"/>
          <w:szCs w:val="20"/>
          <w:lang w:val="vi-VN"/>
        </w:rPr>
        <w:t>.</w:t>
      </w:r>
      <w:r w:rsidRPr="00AC045F">
        <w:rPr>
          <w:bCs/>
          <w:sz w:val="28"/>
          <w:szCs w:val="20"/>
        </w:rPr>
        <w:t xml:space="preserve"> </w:t>
      </w:r>
      <w:proofErr w:type="spellStart"/>
      <w:r w:rsidRPr="00AC045F">
        <w:rPr>
          <w:bCs/>
          <w:sz w:val="28"/>
          <w:szCs w:val="20"/>
        </w:rPr>
        <w:t>Nguyen</w:t>
      </w:r>
      <w:r w:rsidRPr="00AC045F">
        <w:rPr>
          <w:bCs/>
          <w:sz w:val="28"/>
          <w:szCs w:val="20"/>
          <w:vertAlign w:val="superscript"/>
        </w:rPr>
        <w:t>1</w:t>
      </w:r>
      <w:proofErr w:type="spellEnd"/>
      <w:r w:rsidRPr="00AC045F">
        <w:rPr>
          <w:bCs/>
          <w:sz w:val="28"/>
          <w:szCs w:val="20"/>
        </w:rPr>
        <w:t>, Phuc N</w:t>
      </w:r>
      <w:r w:rsidRPr="00AC045F">
        <w:rPr>
          <w:bCs/>
          <w:sz w:val="28"/>
          <w:szCs w:val="20"/>
          <w:lang w:val="vi-VN"/>
        </w:rPr>
        <w:t>.</w:t>
      </w:r>
      <w:r w:rsidRPr="00AC045F">
        <w:rPr>
          <w:bCs/>
          <w:sz w:val="28"/>
          <w:szCs w:val="20"/>
        </w:rPr>
        <w:t xml:space="preserve"> T</w:t>
      </w:r>
      <w:r w:rsidRPr="00AC045F">
        <w:rPr>
          <w:bCs/>
          <w:sz w:val="28"/>
          <w:szCs w:val="20"/>
          <w:lang w:val="vi-VN"/>
        </w:rPr>
        <w:t>.</w:t>
      </w:r>
      <w:r w:rsidRPr="00AC045F">
        <w:rPr>
          <w:bCs/>
          <w:sz w:val="28"/>
          <w:szCs w:val="20"/>
        </w:rPr>
        <w:t xml:space="preserve"> </w:t>
      </w:r>
      <w:proofErr w:type="spellStart"/>
      <w:r w:rsidRPr="00AC045F">
        <w:rPr>
          <w:bCs/>
          <w:sz w:val="28"/>
          <w:szCs w:val="20"/>
        </w:rPr>
        <w:t>Le</w:t>
      </w:r>
      <w:r w:rsidRPr="00AC045F">
        <w:rPr>
          <w:bCs/>
          <w:sz w:val="28"/>
          <w:szCs w:val="20"/>
          <w:vertAlign w:val="superscript"/>
        </w:rPr>
        <w:t>2</w:t>
      </w:r>
      <w:proofErr w:type="spellEnd"/>
      <w:r w:rsidRPr="00AC045F">
        <w:rPr>
          <w:bCs/>
          <w:sz w:val="28"/>
          <w:szCs w:val="20"/>
        </w:rPr>
        <w:t>, Anh N</w:t>
      </w:r>
      <w:r w:rsidRPr="00AC045F">
        <w:rPr>
          <w:bCs/>
          <w:sz w:val="28"/>
          <w:szCs w:val="20"/>
          <w:lang w:val="vi-VN"/>
        </w:rPr>
        <w:t>.</w:t>
      </w:r>
      <w:r w:rsidRPr="00AC045F">
        <w:rPr>
          <w:bCs/>
          <w:sz w:val="28"/>
          <w:szCs w:val="20"/>
        </w:rPr>
        <w:t xml:space="preserve"> </w:t>
      </w:r>
      <w:proofErr w:type="spellStart"/>
      <w:r w:rsidRPr="00AC045F">
        <w:rPr>
          <w:bCs/>
          <w:sz w:val="28"/>
          <w:szCs w:val="20"/>
        </w:rPr>
        <w:t>Nguyen</w:t>
      </w:r>
      <w:r w:rsidRPr="00AC045F">
        <w:rPr>
          <w:bCs/>
          <w:sz w:val="28"/>
          <w:szCs w:val="20"/>
          <w:vertAlign w:val="superscript"/>
        </w:rPr>
        <w:t>2</w:t>
      </w:r>
      <w:proofErr w:type="spellEnd"/>
      <w:r w:rsidRPr="00AC045F">
        <w:rPr>
          <w:bCs/>
          <w:sz w:val="28"/>
          <w:szCs w:val="20"/>
        </w:rPr>
        <w:t>, Uyen P</w:t>
      </w:r>
      <w:r w:rsidRPr="00AC045F">
        <w:rPr>
          <w:bCs/>
          <w:sz w:val="28"/>
          <w:szCs w:val="20"/>
          <w:lang w:val="vi-VN"/>
        </w:rPr>
        <w:t>.</w:t>
      </w:r>
      <w:r w:rsidRPr="00AC045F">
        <w:rPr>
          <w:bCs/>
          <w:sz w:val="28"/>
          <w:szCs w:val="20"/>
        </w:rPr>
        <w:t xml:space="preserve"> </w:t>
      </w:r>
      <w:proofErr w:type="spellStart"/>
      <w:r w:rsidRPr="00AC045F">
        <w:rPr>
          <w:bCs/>
          <w:sz w:val="28"/>
          <w:szCs w:val="20"/>
        </w:rPr>
        <w:t>Le</w:t>
      </w:r>
      <w:r w:rsidRPr="00AC045F">
        <w:rPr>
          <w:bCs/>
          <w:sz w:val="28"/>
          <w:szCs w:val="20"/>
          <w:vertAlign w:val="superscript"/>
        </w:rPr>
        <w:t>2</w:t>
      </w:r>
      <w:proofErr w:type="spellEnd"/>
      <w:r w:rsidRPr="00AC045F">
        <w:rPr>
          <w:bCs/>
          <w:sz w:val="28"/>
          <w:szCs w:val="20"/>
        </w:rPr>
        <w:t>, Nghi B</w:t>
      </w:r>
      <w:r w:rsidRPr="00AC045F">
        <w:rPr>
          <w:bCs/>
          <w:sz w:val="28"/>
          <w:szCs w:val="20"/>
          <w:lang w:val="vi-VN"/>
        </w:rPr>
        <w:t>.</w:t>
      </w:r>
      <w:r w:rsidRPr="00AC045F">
        <w:rPr>
          <w:bCs/>
          <w:sz w:val="28"/>
          <w:szCs w:val="20"/>
        </w:rPr>
        <w:t xml:space="preserve"> P</w:t>
      </w:r>
      <w:r w:rsidRPr="00AC045F">
        <w:rPr>
          <w:bCs/>
          <w:sz w:val="28"/>
          <w:szCs w:val="20"/>
          <w:lang w:val="vi-VN"/>
        </w:rPr>
        <w:t>.</w:t>
      </w:r>
      <w:r w:rsidRPr="00AC045F">
        <w:rPr>
          <w:bCs/>
          <w:sz w:val="28"/>
          <w:szCs w:val="20"/>
        </w:rPr>
        <w:t xml:space="preserve">  </w:t>
      </w:r>
      <w:proofErr w:type="spellStart"/>
      <w:r w:rsidRPr="00AC045F">
        <w:rPr>
          <w:bCs/>
          <w:sz w:val="28"/>
          <w:szCs w:val="20"/>
        </w:rPr>
        <w:t>Nguyen</w:t>
      </w:r>
      <w:r w:rsidRPr="00AC045F">
        <w:rPr>
          <w:bCs/>
          <w:sz w:val="28"/>
          <w:szCs w:val="20"/>
          <w:vertAlign w:val="superscript"/>
        </w:rPr>
        <w:t>3</w:t>
      </w:r>
      <w:proofErr w:type="spellEnd"/>
      <w:r w:rsidRPr="00AC045F">
        <w:rPr>
          <w:bCs/>
          <w:sz w:val="28"/>
          <w:szCs w:val="20"/>
        </w:rPr>
        <w:t>, Phu H</w:t>
      </w:r>
      <w:r w:rsidRPr="00AC045F">
        <w:rPr>
          <w:bCs/>
          <w:sz w:val="28"/>
          <w:szCs w:val="20"/>
          <w:lang w:val="vi-VN"/>
        </w:rPr>
        <w:t>.</w:t>
      </w:r>
      <w:r w:rsidRPr="00AC045F">
        <w:rPr>
          <w:bCs/>
          <w:sz w:val="28"/>
          <w:szCs w:val="20"/>
        </w:rPr>
        <w:t xml:space="preserve"> </w:t>
      </w:r>
      <w:proofErr w:type="spellStart"/>
      <w:r w:rsidRPr="00AC045F">
        <w:rPr>
          <w:bCs/>
          <w:sz w:val="28"/>
          <w:szCs w:val="20"/>
        </w:rPr>
        <w:t>Le</w:t>
      </w:r>
      <w:r w:rsidRPr="00AC045F">
        <w:rPr>
          <w:bCs/>
          <w:sz w:val="28"/>
          <w:szCs w:val="20"/>
          <w:vertAlign w:val="superscript"/>
        </w:rPr>
        <w:t>1</w:t>
      </w:r>
      <w:proofErr w:type="spellEnd"/>
    </w:p>
    <w:p w14:paraId="41D041E5" w14:textId="77777777" w:rsidR="00C846E2" w:rsidRPr="00AC045F" w:rsidRDefault="005E34EB" w:rsidP="000D7C31">
      <w:pPr>
        <w:spacing w:after="0" w:line="240" w:lineRule="auto"/>
        <w:jc w:val="center"/>
        <w:rPr>
          <w:i/>
          <w:sz w:val="20"/>
          <w:szCs w:val="20"/>
          <w:lang w:val="vi-VN"/>
        </w:rPr>
      </w:pPr>
      <w:r w:rsidRPr="00AC045F">
        <w:rPr>
          <w:i/>
          <w:sz w:val="20"/>
          <w:szCs w:val="20"/>
          <w:vertAlign w:val="superscript"/>
        </w:rPr>
        <w:t>1</w:t>
      </w:r>
      <w:r w:rsidR="002D4610" w:rsidRPr="00AC045F">
        <w:rPr>
          <w:i/>
          <w:sz w:val="20"/>
          <w:szCs w:val="20"/>
          <w:lang w:val="vi-VN"/>
        </w:rPr>
        <w:t>D</w:t>
      </w:r>
      <w:proofErr w:type="spellStart"/>
      <w:r w:rsidR="002D4610" w:rsidRPr="00AC045F">
        <w:rPr>
          <w:i/>
          <w:sz w:val="20"/>
          <w:szCs w:val="20"/>
        </w:rPr>
        <w:t>epartment</w:t>
      </w:r>
      <w:proofErr w:type="spellEnd"/>
      <w:r w:rsidR="002D4610" w:rsidRPr="00AC045F">
        <w:rPr>
          <w:i/>
          <w:sz w:val="20"/>
          <w:szCs w:val="20"/>
        </w:rPr>
        <w:t xml:space="preserve"> </w:t>
      </w:r>
      <w:proofErr w:type="spellStart"/>
      <w:r w:rsidR="002D4610" w:rsidRPr="00AC045F">
        <w:rPr>
          <w:i/>
          <w:sz w:val="20"/>
          <w:szCs w:val="20"/>
        </w:rPr>
        <w:t>of</w:t>
      </w:r>
      <w:proofErr w:type="spellEnd"/>
      <w:r w:rsidR="002D4610" w:rsidRPr="00AC045F">
        <w:rPr>
          <w:i/>
          <w:sz w:val="20"/>
          <w:szCs w:val="20"/>
        </w:rPr>
        <w:t xml:space="preserve"> Food Technology, School </w:t>
      </w:r>
      <w:proofErr w:type="spellStart"/>
      <w:r w:rsidR="002D4610" w:rsidRPr="00AC045F">
        <w:rPr>
          <w:i/>
          <w:sz w:val="20"/>
          <w:szCs w:val="20"/>
        </w:rPr>
        <w:t>of</w:t>
      </w:r>
      <w:proofErr w:type="spellEnd"/>
      <w:r w:rsidR="002D4610" w:rsidRPr="00AC045F">
        <w:rPr>
          <w:i/>
          <w:sz w:val="20"/>
          <w:szCs w:val="20"/>
        </w:rPr>
        <w:t xml:space="preserve"> Biotechnology, International University – Vietnam National University </w:t>
      </w:r>
      <w:proofErr w:type="spellStart"/>
      <w:r w:rsidR="002D4610" w:rsidRPr="00AC045F">
        <w:rPr>
          <w:i/>
          <w:sz w:val="20"/>
          <w:szCs w:val="20"/>
        </w:rPr>
        <w:t>of</w:t>
      </w:r>
      <w:proofErr w:type="spellEnd"/>
      <w:r w:rsidR="002D4610" w:rsidRPr="00AC045F">
        <w:rPr>
          <w:i/>
          <w:sz w:val="20"/>
          <w:szCs w:val="20"/>
        </w:rPr>
        <w:t xml:space="preserve"> Ho Chi Minh City, Linh </w:t>
      </w:r>
      <w:proofErr w:type="spellStart"/>
      <w:r w:rsidR="002D4610" w:rsidRPr="00AC045F">
        <w:rPr>
          <w:i/>
          <w:sz w:val="20"/>
          <w:szCs w:val="20"/>
        </w:rPr>
        <w:t>Trung</w:t>
      </w:r>
      <w:proofErr w:type="spellEnd"/>
      <w:r w:rsidR="002D4610" w:rsidRPr="00AC045F">
        <w:rPr>
          <w:i/>
          <w:sz w:val="20"/>
          <w:szCs w:val="20"/>
        </w:rPr>
        <w:t xml:space="preserve"> Ward, Thu Duc City, Ho Chi Minh City, Vietnam</w:t>
      </w:r>
      <w:r w:rsidR="00C846E2" w:rsidRPr="00AC045F">
        <w:rPr>
          <w:i/>
          <w:sz w:val="20"/>
          <w:szCs w:val="20"/>
        </w:rPr>
        <w:t>.</w:t>
      </w:r>
    </w:p>
    <w:p w14:paraId="6D7CC688" w14:textId="77777777" w:rsidR="002D4610" w:rsidRPr="00AC045F" w:rsidRDefault="00560084" w:rsidP="002D4610">
      <w:pPr>
        <w:spacing w:after="0" w:line="240" w:lineRule="auto"/>
        <w:jc w:val="center"/>
        <w:rPr>
          <w:rFonts w:eastAsia="Times New Roman"/>
          <w:i/>
          <w:sz w:val="20"/>
          <w:szCs w:val="20"/>
          <w:lang w:val="en-US"/>
        </w:rPr>
      </w:pPr>
      <w:r w:rsidRPr="00AC045F">
        <w:rPr>
          <w:i/>
          <w:sz w:val="20"/>
          <w:szCs w:val="20"/>
          <w:vertAlign w:val="superscript"/>
          <w:lang w:val="vi-VN"/>
        </w:rPr>
        <w:t>2</w:t>
      </w:r>
      <w:r w:rsidR="002D4610" w:rsidRPr="00AC045F">
        <w:rPr>
          <w:i/>
          <w:sz w:val="20"/>
          <w:szCs w:val="20"/>
          <w:lang w:val="vi-VN"/>
        </w:rPr>
        <w:t>D</w:t>
      </w:r>
      <w:proofErr w:type="spellStart"/>
      <w:r w:rsidR="002D4610" w:rsidRPr="00AC045F">
        <w:rPr>
          <w:i/>
          <w:sz w:val="20"/>
          <w:szCs w:val="20"/>
        </w:rPr>
        <w:t>epartment</w:t>
      </w:r>
      <w:proofErr w:type="spellEnd"/>
      <w:r w:rsidR="002D4610" w:rsidRPr="00AC045F">
        <w:rPr>
          <w:i/>
          <w:sz w:val="20"/>
          <w:szCs w:val="20"/>
        </w:rPr>
        <w:t xml:space="preserve"> </w:t>
      </w:r>
      <w:proofErr w:type="spellStart"/>
      <w:r w:rsidR="002D4610" w:rsidRPr="00AC045F">
        <w:rPr>
          <w:i/>
          <w:sz w:val="20"/>
          <w:szCs w:val="20"/>
        </w:rPr>
        <w:t>of</w:t>
      </w:r>
      <w:proofErr w:type="spellEnd"/>
      <w:r w:rsidR="002D4610" w:rsidRPr="00AC045F">
        <w:rPr>
          <w:i/>
          <w:sz w:val="20"/>
          <w:szCs w:val="20"/>
        </w:rPr>
        <w:t xml:space="preserve"> </w:t>
      </w:r>
      <w:r w:rsidRPr="00AC045F">
        <w:rPr>
          <w:i/>
          <w:sz w:val="20"/>
          <w:szCs w:val="20"/>
        </w:rPr>
        <w:t>Biot</w:t>
      </w:r>
      <w:r w:rsidR="002D4610" w:rsidRPr="00AC045F">
        <w:rPr>
          <w:i/>
          <w:sz w:val="20"/>
          <w:szCs w:val="20"/>
        </w:rPr>
        <w:t xml:space="preserve">echnology, School </w:t>
      </w:r>
      <w:proofErr w:type="spellStart"/>
      <w:r w:rsidR="002D4610" w:rsidRPr="00AC045F">
        <w:rPr>
          <w:i/>
          <w:sz w:val="20"/>
          <w:szCs w:val="20"/>
        </w:rPr>
        <w:t>of</w:t>
      </w:r>
      <w:proofErr w:type="spellEnd"/>
      <w:r w:rsidR="002D4610" w:rsidRPr="00AC045F">
        <w:rPr>
          <w:i/>
          <w:sz w:val="20"/>
          <w:szCs w:val="20"/>
        </w:rPr>
        <w:t xml:space="preserve"> Biotechnology, International University – Vietnam National University </w:t>
      </w:r>
      <w:proofErr w:type="spellStart"/>
      <w:r w:rsidR="002D4610" w:rsidRPr="00AC045F">
        <w:rPr>
          <w:i/>
          <w:sz w:val="20"/>
          <w:szCs w:val="20"/>
        </w:rPr>
        <w:t>of</w:t>
      </w:r>
      <w:proofErr w:type="spellEnd"/>
      <w:r w:rsidR="002D4610" w:rsidRPr="00AC045F">
        <w:rPr>
          <w:i/>
          <w:sz w:val="20"/>
          <w:szCs w:val="20"/>
        </w:rPr>
        <w:t xml:space="preserve"> Ho Chi Minh City, Linh </w:t>
      </w:r>
      <w:proofErr w:type="spellStart"/>
      <w:r w:rsidR="002D4610" w:rsidRPr="00AC045F">
        <w:rPr>
          <w:i/>
          <w:sz w:val="20"/>
          <w:szCs w:val="20"/>
        </w:rPr>
        <w:t>Trung</w:t>
      </w:r>
      <w:proofErr w:type="spellEnd"/>
      <w:r w:rsidR="002D4610" w:rsidRPr="00AC045F">
        <w:rPr>
          <w:i/>
          <w:sz w:val="20"/>
          <w:szCs w:val="20"/>
        </w:rPr>
        <w:t xml:space="preserve"> Ward, Thu Duc City, Ho Chi Minh City, Vietnam.</w:t>
      </w:r>
    </w:p>
    <w:p w14:paraId="66D9462A" w14:textId="77777777" w:rsidR="002D4610" w:rsidRPr="00AC045F" w:rsidRDefault="00560084" w:rsidP="00560084">
      <w:pPr>
        <w:spacing w:after="0" w:line="240" w:lineRule="auto"/>
        <w:jc w:val="center"/>
        <w:rPr>
          <w:rFonts w:eastAsia="Times New Roman"/>
          <w:i/>
          <w:sz w:val="20"/>
          <w:szCs w:val="20"/>
          <w:lang w:val="vi-VN"/>
        </w:rPr>
      </w:pPr>
      <w:r w:rsidRPr="00AC045F">
        <w:rPr>
          <w:i/>
          <w:sz w:val="20"/>
          <w:szCs w:val="20"/>
          <w:vertAlign w:val="superscript"/>
          <w:lang w:val="vi-VN"/>
        </w:rPr>
        <w:t>3</w:t>
      </w:r>
      <w:r w:rsidRPr="00AC045F">
        <w:rPr>
          <w:i/>
          <w:sz w:val="20"/>
          <w:szCs w:val="20"/>
          <w:lang w:val="vi-VN"/>
        </w:rPr>
        <w:t>D</w:t>
      </w:r>
      <w:proofErr w:type="spellStart"/>
      <w:r w:rsidRPr="00AC045F">
        <w:rPr>
          <w:i/>
          <w:sz w:val="20"/>
          <w:szCs w:val="20"/>
        </w:rPr>
        <w:t>epartment</w:t>
      </w:r>
      <w:proofErr w:type="spellEnd"/>
      <w:r w:rsidRPr="00AC045F">
        <w:rPr>
          <w:i/>
          <w:sz w:val="20"/>
          <w:szCs w:val="20"/>
        </w:rPr>
        <w:t xml:space="preserve"> </w:t>
      </w:r>
      <w:proofErr w:type="spellStart"/>
      <w:r w:rsidRPr="00AC045F">
        <w:rPr>
          <w:i/>
          <w:sz w:val="20"/>
          <w:szCs w:val="20"/>
        </w:rPr>
        <w:t>of</w:t>
      </w:r>
      <w:proofErr w:type="spellEnd"/>
      <w:r w:rsidRPr="00AC045F">
        <w:rPr>
          <w:i/>
          <w:sz w:val="20"/>
          <w:szCs w:val="20"/>
        </w:rPr>
        <w:t xml:space="preserve"> Applied</w:t>
      </w:r>
      <w:r w:rsidRPr="00AC045F">
        <w:rPr>
          <w:i/>
          <w:sz w:val="20"/>
          <w:szCs w:val="20"/>
          <w:lang w:val="vi-VN"/>
        </w:rPr>
        <w:t xml:space="preserve"> Chemistry</w:t>
      </w:r>
      <w:r w:rsidRPr="00AC045F">
        <w:rPr>
          <w:i/>
          <w:sz w:val="20"/>
          <w:szCs w:val="20"/>
        </w:rPr>
        <w:t xml:space="preserve">, School </w:t>
      </w:r>
      <w:proofErr w:type="spellStart"/>
      <w:r w:rsidRPr="00AC045F">
        <w:rPr>
          <w:i/>
          <w:sz w:val="20"/>
          <w:szCs w:val="20"/>
        </w:rPr>
        <w:t>of</w:t>
      </w:r>
      <w:proofErr w:type="spellEnd"/>
      <w:r w:rsidRPr="00AC045F">
        <w:rPr>
          <w:i/>
          <w:sz w:val="20"/>
          <w:szCs w:val="20"/>
        </w:rPr>
        <w:t xml:space="preserve"> Biotechnology, International University – Vietnam National University </w:t>
      </w:r>
      <w:proofErr w:type="spellStart"/>
      <w:r w:rsidRPr="00AC045F">
        <w:rPr>
          <w:i/>
          <w:sz w:val="20"/>
          <w:szCs w:val="20"/>
        </w:rPr>
        <w:t>of</w:t>
      </w:r>
      <w:proofErr w:type="spellEnd"/>
      <w:r w:rsidRPr="00AC045F">
        <w:rPr>
          <w:i/>
          <w:sz w:val="20"/>
          <w:szCs w:val="20"/>
        </w:rPr>
        <w:t xml:space="preserve"> Ho Chi Minh City, Linh </w:t>
      </w:r>
      <w:proofErr w:type="spellStart"/>
      <w:r w:rsidRPr="00AC045F">
        <w:rPr>
          <w:i/>
          <w:sz w:val="20"/>
          <w:szCs w:val="20"/>
        </w:rPr>
        <w:t>Trung</w:t>
      </w:r>
      <w:proofErr w:type="spellEnd"/>
      <w:r w:rsidRPr="00AC045F">
        <w:rPr>
          <w:i/>
          <w:sz w:val="20"/>
          <w:szCs w:val="20"/>
        </w:rPr>
        <w:t xml:space="preserve"> Ward, Thu Duc City, Ho Chi Minh City, Vietnam.</w:t>
      </w:r>
    </w:p>
    <w:p w14:paraId="3865B5B7" w14:textId="77777777" w:rsidR="000D7C31" w:rsidRPr="00AC045F" w:rsidRDefault="00FD4499" w:rsidP="00FD4499">
      <w:pPr>
        <w:pStyle w:val="AbstractLiteratur"/>
        <w:spacing w:before="0" w:after="0" w:line="240" w:lineRule="auto"/>
        <w:rPr>
          <w:rFonts w:eastAsia="Times New Roman"/>
          <w:b w:val="0"/>
          <w:i/>
          <w:color w:val="000000"/>
          <w:sz w:val="20"/>
          <w:szCs w:val="20"/>
          <w:lang w:val="vi-VN"/>
        </w:rPr>
      </w:pPr>
      <w:proofErr w:type="spellStart"/>
      <w:r w:rsidRPr="00AC045F">
        <w:rPr>
          <w:rFonts w:eastAsia="Times New Roman"/>
          <w:b w:val="0"/>
          <w:i/>
          <w:color w:val="000000"/>
          <w:sz w:val="20"/>
          <w:szCs w:val="20"/>
        </w:rPr>
        <w:t>Corresponding</w:t>
      </w:r>
      <w:proofErr w:type="spellEnd"/>
      <w:r w:rsidRPr="00AC045F">
        <w:rPr>
          <w:rFonts w:eastAsia="Times New Roman"/>
          <w:b w:val="0"/>
          <w:i/>
          <w:color w:val="000000"/>
          <w:sz w:val="20"/>
          <w:szCs w:val="20"/>
        </w:rPr>
        <w:t xml:space="preserve"> </w:t>
      </w:r>
      <w:proofErr w:type="spellStart"/>
      <w:r w:rsidRPr="00AC045F">
        <w:rPr>
          <w:rFonts w:eastAsia="Times New Roman"/>
          <w:b w:val="0"/>
          <w:i/>
          <w:color w:val="000000"/>
          <w:sz w:val="20"/>
          <w:szCs w:val="20"/>
        </w:rPr>
        <w:t>Author</w:t>
      </w:r>
      <w:proofErr w:type="spellEnd"/>
      <w:r w:rsidRPr="00AC045F">
        <w:rPr>
          <w:rFonts w:eastAsia="Times New Roman"/>
          <w:b w:val="0"/>
          <w:i/>
          <w:color w:val="000000"/>
          <w:sz w:val="20"/>
          <w:szCs w:val="20"/>
        </w:rPr>
        <w:t xml:space="preserve">: </w:t>
      </w:r>
      <w:proofErr w:type="spellStart"/>
      <w:r w:rsidR="00560084" w:rsidRPr="00AC045F">
        <w:rPr>
          <w:rFonts w:eastAsia="Times New Roman"/>
          <w:b w:val="0"/>
          <w:i/>
          <w:color w:val="000000"/>
          <w:sz w:val="20"/>
          <w:szCs w:val="20"/>
        </w:rPr>
        <w:t>Phu</w:t>
      </w:r>
      <w:proofErr w:type="spellEnd"/>
      <w:r w:rsidR="00560084" w:rsidRPr="00AC045F">
        <w:rPr>
          <w:rFonts w:eastAsia="Times New Roman"/>
          <w:b w:val="0"/>
          <w:i/>
          <w:color w:val="000000"/>
          <w:sz w:val="20"/>
          <w:szCs w:val="20"/>
          <w:lang w:val="vi-VN"/>
        </w:rPr>
        <w:t xml:space="preserve"> H. Le</w:t>
      </w:r>
    </w:p>
    <w:p w14:paraId="30F8FC02" w14:textId="77777777" w:rsidR="00FD4499" w:rsidRPr="00AC045F" w:rsidRDefault="00FE29C6" w:rsidP="00FD4499">
      <w:pPr>
        <w:spacing w:after="0" w:line="240" w:lineRule="auto"/>
        <w:rPr>
          <w:sz w:val="20"/>
        </w:rPr>
      </w:pPr>
      <w:r>
        <w:rPr>
          <w:i/>
          <w:iCs/>
          <w:noProof/>
          <w:sz w:val="20"/>
          <w:szCs w:val="20"/>
          <w:lang w:val="en-US"/>
        </w:rPr>
        <w:pict w14:anchorId="4AC85AAC">
          <v:roundrect id="_x0000_s2050" alt="" style="position:absolute;left:0;text-align:left;margin-left:-1.05pt;margin-top:11.5pt;width:447.15pt;height:275.85pt;z-index:251658240;mso-wrap-style:square;mso-wrap-edited:f;mso-width-percent:0;mso-height-percent:0;mso-width-percent:0;mso-height-percent:0;v-text-anchor:top" arcsize="4245f" strokecolor="#d99594" strokeweight="1pt">
            <v:fill color2="#e5b8b7" focusposition="1" focussize="" focus="100%" type="gradient"/>
            <v:shadow on="t" type="perspective" color="#622423" opacity=".5" offset="1pt" offset2="-3pt"/>
            <v:textbox style="mso-next-textbox:#_x0000_s2050">
              <w:txbxContent>
                <w:p w14:paraId="355E34EA" w14:textId="3FA2CF3D" w:rsidR="007B62F3" w:rsidRPr="00560084" w:rsidRDefault="007B62F3" w:rsidP="00FD4499">
                  <w:pPr>
                    <w:pStyle w:val="AbstractLiteratur"/>
                    <w:spacing w:before="0" w:after="0" w:line="240" w:lineRule="auto"/>
                    <w:jc w:val="both"/>
                    <w:rPr>
                      <w:b w:val="0"/>
                      <w:i/>
                      <w:iCs/>
                      <w:sz w:val="20"/>
                      <w:szCs w:val="20"/>
                      <w:lang w:val="vi-VN"/>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560084" w:rsidRPr="00560084">
                    <w:rPr>
                      <w:b w:val="0"/>
                      <w:i/>
                      <w:iCs/>
                      <w:sz w:val="20"/>
                      <w:szCs w:val="20"/>
                    </w:rPr>
                    <w:t xml:space="preserve">This review </w:t>
                  </w:r>
                  <w:proofErr w:type="spellStart"/>
                  <w:r w:rsidR="00560084" w:rsidRPr="00560084">
                    <w:rPr>
                      <w:b w:val="0"/>
                      <w:i/>
                      <w:iCs/>
                      <w:sz w:val="20"/>
                      <w:szCs w:val="20"/>
                    </w:rPr>
                    <w:t>aimed</w:t>
                  </w:r>
                  <w:proofErr w:type="spellEnd"/>
                  <w:r w:rsidR="00560084" w:rsidRPr="00560084">
                    <w:rPr>
                      <w:b w:val="0"/>
                      <w:i/>
                      <w:iCs/>
                      <w:sz w:val="20"/>
                      <w:szCs w:val="20"/>
                    </w:rPr>
                    <w:t xml:space="preserve"> </w:t>
                  </w:r>
                  <w:proofErr w:type="spellStart"/>
                  <w:r w:rsidR="00560084" w:rsidRPr="00560084">
                    <w:rPr>
                      <w:b w:val="0"/>
                      <w:i/>
                      <w:iCs/>
                      <w:sz w:val="20"/>
                      <w:szCs w:val="20"/>
                    </w:rPr>
                    <w:t>to</w:t>
                  </w:r>
                  <w:proofErr w:type="spellEnd"/>
                  <w:r w:rsidR="00560084" w:rsidRPr="00560084">
                    <w:rPr>
                      <w:b w:val="0"/>
                      <w:i/>
                      <w:iCs/>
                      <w:sz w:val="20"/>
                      <w:szCs w:val="20"/>
                    </w:rPr>
                    <w:t xml:space="preserve"> </w:t>
                  </w:r>
                  <w:proofErr w:type="spellStart"/>
                  <w:r w:rsidR="00560084" w:rsidRPr="00560084">
                    <w:rPr>
                      <w:b w:val="0"/>
                      <w:i/>
                      <w:iCs/>
                      <w:sz w:val="20"/>
                      <w:szCs w:val="20"/>
                    </w:rPr>
                    <w:t>investigate</w:t>
                  </w:r>
                  <w:proofErr w:type="spellEnd"/>
                  <w:r w:rsidR="00560084" w:rsidRPr="00560084">
                    <w:rPr>
                      <w:b w:val="0"/>
                      <w:i/>
                      <w:iCs/>
                      <w:sz w:val="20"/>
                      <w:szCs w:val="20"/>
                    </w:rPr>
                    <w:t xml:space="preserve"> </w:t>
                  </w:r>
                  <w:proofErr w:type="spellStart"/>
                  <w:r w:rsidR="00560084" w:rsidRPr="00560084">
                    <w:rPr>
                      <w:b w:val="0"/>
                      <w:i/>
                      <w:iCs/>
                      <w:sz w:val="20"/>
                      <w:szCs w:val="20"/>
                    </w:rPr>
                    <w:t>the</w:t>
                  </w:r>
                  <w:proofErr w:type="spellEnd"/>
                  <w:r w:rsidR="00560084" w:rsidRPr="00560084">
                    <w:rPr>
                      <w:b w:val="0"/>
                      <w:i/>
                      <w:iCs/>
                      <w:sz w:val="20"/>
                      <w:szCs w:val="20"/>
                    </w:rPr>
                    <w:t xml:space="preserv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industry</w:t>
                  </w:r>
                  <w:proofErr w:type="spellEnd"/>
                  <w:r w:rsidR="00560084" w:rsidRPr="00560084">
                    <w:rPr>
                      <w:b w:val="0"/>
                      <w:i/>
                      <w:iCs/>
                      <w:sz w:val="20"/>
                      <w:szCs w:val="20"/>
                    </w:rPr>
                    <w:t xml:space="preserve"> in Vietnam </w:t>
                  </w:r>
                  <w:proofErr w:type="spellStart"/>
                  <w:r w:rsidR="00560084" w:rsidRPr="00560084">
                    <w:rPr>
                      <w:b w:val="0"/>
                      <w:i/>
                      <w:iCs/>
                      <w:sz w:val="20"/>
                      <w:szCs w:val="20"/>
                    </w:rPr>
                    <w:t>regarding</w:t>
                  </w:r>
                  <w:proofErr w:type="spellEnd"/>
                  <w:r w:rsidR="00560084" w:rsidRPr="00560084">
                    <w:rPr>
                      <w:b w:val="0"/>
                      <w:i/>
                      <w:iCs/>
                      <w:sz w:val="20"/>
                      <w:szCs w:val="20"/>
                    </w:rPr>
                    <w:t xml:space="preserve"> </w:t>
                  </w:r>
                  <w:proofErr w:type="spellStart"/>
                  <w:r w:rsidR="00560084" w:rsidRPr="00560084">
                    <w:rPr>
                      <w:b w:val="0"/>
                      <w:i/>
                      <w:iCs/>
                      <w:sz w:val="20"/>
                      <w:szCs w:val="20"/>
                    </w:rPr>
                    <w:t>its</w:t>
                  </w:r>
                  <w:proofErr w:type="spellEnd"/>
                  <w:r w:rsidR="00560084" w:rsidRPr="00560084">
                    <w:rPr>
                      <w:b w:val="0"/>
                      <w:i/>
                      <w:iCs/>
                      <w:sz w:val="20"/>
                      <w:szCs w:val="20"/>
                    </w:rPr>
                    <w:t xml:space="preserve"> </w:t>
                  </w:r>
                  <w:proofErr w:type="spellStart"/>
                  <w:r w:rsidR="00560084" w:rsidRPr="00560084">
                    <w:rPr>
                      <w:b w:val="0"/>
                      <w:i/>
                      <w:iCs/>
                      <w:sz w:val="20"/>
                      <w:szCs w:val="20"/>
                    </w:rPr>
                    <w:t>current</w:t>
                  </w:r>
                  <w:proofErr w:type="spellEnd"/>
                  <w:r w:rsidR="00560084" w:rsidRPr="00560084">
                    <w:rPr>
                      <w:b w:val="0"/>
                      <w:i/>
                      <w:iCs/>
                      <w:sz w:val="20"/>
                      <w:szCs w:val="20"/>
                    </w:rPr>
                    <w:t xml:space="preserve"> </w:t>
                  </w:r>
                  <w:proofErr w:type="spellStart"/>
                  <w:r w:rsidR="00560084" w:rsidRPr="00560084">
                    <w:rPr>
                      <w:b w:val="0"/>
                      <w:i/>
                      <w:iCs/>
                      <w:sz w:val="20"/>
                      <w:szCs w:val="20"/>
                    </w:rPr>
                    <w:t>situation</w:t>
                  </w:r>
                  <w:proofErr w:type="spellEnd"/>
                  <w:r w:rsidR="00560084" w:rsidRPr="00560084">
                    <w:rPr>
                      <w:b w:val="0"/>
                      <w:i/>
                      <w:iCs/>
                      <w:sz w:val="20"/>
                      <w:szCs w:val="20"/>
                    </w:rPr>
                    <w:t xml:space="preserve"> and constraints in </w:t>
                  </w:r>
                  <w:proofErr w:type="spellStart"/>
                  <w:r w:rsidR="00560084" w:rsidRPr="00560084">
                    <w:rPr>
                      <w:b w:val="0"/>
                      <w:i/>
                      <w:iCs/>
                      <w:sz w:val="20"/>
                      <w:szCs w:val="20"/>
                    </w:rPr>
                    <w:t>terms</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shell</w:t>
                  </w:r>
                  <w:proofErr w:type="spellEnd"/>
                  <w:r w:rsidR="00560084" w:rsidRPr="00560084">
                    <w:rPr>
                      <w:b w:val="0"/>
                      <w:i/>
                      <w:iCs/>
                      <w:sz w:val="20"/>
                      <w:szCs w:val="20"/>
                    </w:rPr>
                    <w:t xml:space="preserve"> </w:t>
                  </w:r>
                  <w:proofErr w:type="spellStart"/>
                  <w:r w:rsidR="00560084" w:rsidRPr="00560084">
                    <w:rPr>
                      <w:b w:val="0"/>
                      <w:i/>
                      <w:iCs/>
                      <w:sz w:val="20"/>
                      <w:szCs w:val="20"/>
                    </w:rPr>
                    <w:t>waste’s</w:t>
                  </w:r>
                  <w:proofErr w:type="spellEnd"/>
                  <w:r w:rsidR="00560084" w:rsidRPr="00560084">
                    <w:rPr>
                      <w:b w:val="0"/>
                      <w:i/>
                      <w:iCs/>
                      <w:sz w:val="20"/>
                      <w:szCs w:val="20"/>
                    </w:rPr>
                    <w:t xml:space="preserve"> </w:t>
                  </w:r>
                  <w:proofErr w:type="spellStart"/>
                  <w:r w:rsidR="00560084" w:rsidRPr="00560084">
                    <w:rPr>
                      <w:b w:val="0"/>
                      <w:i/>
                      <w:iCs/>
                      <w:sz w:val="20"/>
                      <w:szCs w:val="20"/>
                    </w:rPr>
                    <w:t>utilisation</w:t>
                  </w:r>
                  <w:proofErr w:type="spellEnd"/>
                  <w:r w:rsidR="00560084" w:rsidRPr="00560084">
                    <w:rPr>
                      <w:b w:val="0"/>
                      <w:i/>
                      <w:iCs/>
                      <w:sz w:val="20"/>
                      <w:szCs w:val="20"/>
                    </w:rPr>
                    <w:t xml:space="preserve"> and </w:t>
                  </w:r>
                  <w:proofErr w:type="spellStart"/>
                  <w:r w:rsidR="00560084" w:rsidRPr="00560084">
                    <w:rPr>
                      <w:b w:val="0"/>
                      <w:i/>
                      <w:iCs/>
                      <w:sz w:val="20"/>
                      <w:szCs w:val="20"/>
                    </w:rPr>
                    <w:t>recycling</w:t>
                  </w:r>
                  <w:proofErr w:type="spellEnd"/>
                  <w:r w:rsidR="00560084" w:rsidRPr="00560084">
                    <w:rPr>
                      <w:b w:val="0"/>
                      <w:i/>
                      <w:iCs/>
                      <w:sz w:val="20"/>
                      <w:szCs w:val="20"/>
                    </w:rPr>
                    <w:t xml:space="preserve">, </w:t>
                  </w:r>
                  <w:proofErr w:type="spellStart"/>
                  <w:r w:rsidR="00560084" w:rsidRPr="00560084">
                    <w:rPr>
                      <w:b w:val="0"/>
                      <w:i/>
                      <w:iCs/>
                      <w:sz w:val="20"/>
                      <w:szCs w:val="20"/>
                    </w:rPr>
                    <w:t>then</w:t>
                  </w:r>
                  <w:proofErr w:type="spellEnd"/>
                  <w:r w:rsidR="00560084" w:rsidRPr="00560084">
                    <w:rPr>
                      <w:b w:val="0"/>
                      <w:i/>
                      <w:iCs/>
                      <w:sz w:val="20"/>
                      <w:szCs w:val="20"/>
                    </w:rPr>
                    <w:t xml:space="preserve"> </w:t>
                  </w:r>
                  <w:proofErr w:type="spellStart"/>
                  <w:r w:rsidR="00560084" w:rsidRPr="00560084">
                    <w:rPr>
                      <w:b w:val="0"/>
                      <w:i/>
                      <w:iCs/>
                      <w:sz w:val="20"/>
                      <w:szCs w:val="20"/>
                    </w:rPr>
                    <w:t>emphasize</w:t>
                  </w:r>
                  <w:proofErr w:type="spellEnd"/>
                  <w:r w:rsidR="00560084" w:rsidRPr="00560084">
                    <w:rPr>
                      <w:b w:val="0"/>
                      <w:i/>
                      <w:iCs/>
                      <w:sz w:val="20"/>
                      <w:szCs w:val="20"/>
                    </w:rPr>
                    <w:t xml:space="preserve"> potential approaches. In Vietnam,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Durio</w:t>
                  </w:r>
                  <w:proofErr w:type="spellEnd"/>
                  <w:r w:rsidR="00560084" w:rsidRPr="00560084">
                    <w:rPr>
                      <w:b w:val="0"/>
                      <w:i/>
                      <w:iCs/>
                      <w:sz w:val="20"/>
                      <w:szCs w:val="20"/>
                    </w:rPr>
                    <w:t xml:space="preserve"> </w:t>
                  </w:r>
                  <w:proofErr w:type="spellStart"/>
                  <w:r w:rsidR="00560084" w:rsidRPr="00560084">
                    <w:rPr>
                      <w:b w:val="0"/>
                      <w:i/>
                      <w:iCs/>
                      <w:sz w:val="20"/>
                      <w:szCs w:val="20"/>
                    </w:rPr>
                    <w:t>spp</w:t>
                  </w:r>
                  <w:proofErr w:type="spellEnd"/>
                  <w:r w:rsidR="00560084" w:rsidRPr="00560084">
                    <w:rPr>
                      <w:b w:val="0"/>
                      <w:i/>
                      <w:iCs/>
                      <w:sz w:val="20"/>
                      <w:szCs w:val="20"/>
                    </w:rPr>
                    <w:t xml:space="preserve">.) </w:t>
                  </w:r>
                  <w:proofErr w:type="spellStart"/>
                  <w:r w:rsidR="00560084" w:rsidRPr="00560084">
                    <w:rPr>
                      <w:b w:val="0"/>
                      <w:i/>
                      <w:iCs/>
                      <w:sz w:val="20"/>
                      <w:szCs w:val="20"/>
                    </w:rPr>
                    <w:t>has</w:t>
                  </w:r>
                  <w:proofErr w:type="spellEnd"/>
                  <w:r w:rsidR="00560084" w:rsidRPr="00560084">
                    <w:rPr>
                      <w:b w:val="0"/>
                      <w:i/>
                      <w:iCs/>
                      <w:sz w:val="20"/>
                      <w:szCs w:val="20"/>
                    </w:rPr>
                    <w:t xml:space="preserve"> </w:t>
                  </w:r>
                  <w:proofErr w:type="spellStart"/>
                  <w:r w:rsidR="00560084" w:rsidRPr="00560084">
                    <w:rPr>
                      <w:b w:val="0"/>
                      <w:i/>
                      <w:iCs/>
                      <w:sz w:val="20"/>
                      <w:szCs w:val="20"/>
                    </w:rPr>
                    <w:t>recently</w:t>
                  </w:r>
                  <w:proofErr w:type="spellEnd"/>
                  <w:r w:rsidR="00560084" w:rsidRPr="00560084">
                    <w:rPr>
                      <w:b w:val="0"/>
                      <w:i/>
                      <w:iCs/>
                      <w:sz w:val="20"/>
                      <w:szCs w:val="20"/>
                    </w:rPr>
                    <w:t xml:space="preserve"> </w:t>
                  </w:r>
                  <w:proofErr w:type="spellStart"/>
                  <w:r w:rsidR="00560084" w:rsidRPr="00560084">
                    <w:rPr>
                      <w:b w:val="0"/>
                      <w:i/>
                      <w:iCs/>
                      <w:sz w:val="20"/>
                      <w:szCs w:val="20"/>
                    </w:rPr>
                    <w:t>become</w:t>
                  </w:r>
                  <w:proofErr w:type="spellEnd"/>
                  <w:r w:rsidR="00560084" w:rsidRPr="00560084">
                    <w:rPr>
                      <w:b w:val="0"/>
                      <w:i/>
                      <w:iCs/>
                      <w:sz w:val="20"/>
                      <w:szCs w:val="20"/>
                    </w:rPr>
                    <w:t xml:space="preserve"> an </w:t>
                  </w:r>
                  <w:proofErr w:type="spellStart"/>
                  <w:r w:rsidR="00560084" w:rsidRPr="00560084">
                    <w:rPr>
                      <w:b w:val="0"/>
                      <w:i/>
                      <w:iCs/>
                      <w:sz w:val="20"/>
                      <w:szCs w:val="20"/>
                    </w:rPr>
                    <w:t>important</w:t>
                  </w:r>
                  <w:proofErr w:type="spellEnd"/>
                  <w:r w:rsidR="00560084" w:rsidRPr="00560084">
                    <w:rPr>
                      <w:b w:val="0"/>
                      <w:i/>
                      <w:iCs/>
                      <w:sz w:val="20"/>
                      <w:szCs w:val="20"/>
                    </w:rPr>
                    <w:t xml:space="preserve"> </w:t>
                  </w:r>
                  <w:proofErr w:type="spellStart"/>
                  <w:r w:rsidR="00560084" w:rsidRPr="00560084">
                    <w:rPr>
                      <w:b w:val="0"/>
                      <w:i/>
                      <w:iCs/>
                      <w:sz w:val="20"/>
                      <w:szCs w:val="20"/>
                    </w:rPr>
                    <w:t>target</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w:t>
                  </w:r>
                  <w:proofErr w:type="spellStart"/>
                  <w:r w:rsidR="00560084" w:rsidRPr="00560084">
                    <w:rPr>
                      <w:b w:val="0"/>
                      <w:i/>
                      <w:iCs/>
                      <w:sz w:val="20"/>
                      <w:szCs w:val="20"/>
                    </w:rPr>
                    <w:t>production</w:t>
                  </w:r>
                  <w:proofErr w:type="spellEnd"/>
                  <w:r w:rsidR="00560084" w:rsidRPr="00560084">
                    <w:rPr>
                      <w:b w:val="0"/>
                      <w:i/>
                      <w:iCs/>
                      <w:sz w:val="20"/>
                      <w:szCs w:val="20"/>
                    </w:rPr>
                    <w:t xml:space="preserve">, </w:t>
                  </w:r>
                  <w:proofErr w:type="spellStart"/>
                  <w:r w:rsidR="00560084" w:rsidRPr="00560084">
                    <w:rPr>
                      <w:b w:val="0"/>
                      <w:i/>
                      <w:iCs/>
                      <w:sz w:val="20"/>
                      <w:szCs w:val="20"/>
                    </w:rPr>
                    <w:t>with</w:t>
                  </w:r>
                  <w:proofErr w:type="spellEnd"/>
                  <w:r w:rsidR="00560084" w:rsidRPr="00560084">
                    <w:rPr>
                      <w:b w:val="0"/>
                      <w:i/>
                      <w:iCs/>
                      <w:sz w:val="20"/>
                      <w:szCs w:val="20"/>
                    </w:rPr>
                    <w:t xml:space="preserve"> </w:t>
                  </w:r>
                  <w:proofErr w:type="spellStart"/>
                  <w:r w:rsidR="00560084" w:rsidRPr="00560084">
                    <w:rPr>
                      <w:b w:val="0"/>
                      <w:i/>
                      <w:iCs/>
                      <w:sz w:val="20"/>
                      <w:szCs w:val="20"/>
                    </w:rPr>
                    <w:t>approximately</w:t>
                  </w:r>
                  <w:proofErr w:type="spellEnd"/>
                  <w:r w:rsidR="00560084" w:rsidRPr="00560084">
                    <w:rPr>
                      <w:b w:val="0"/>
                      <w:i/>
                      <w:iCs/>
                      <w:sz w:val="20"/>
                      <w:szCs w:val="20"/>
                    </w:rPr>
                    <w:t xml:space="preserve"> 150,000 </w:t>
                  </w:r>
                  <w:proofErr w:type="spellStart"/>
                  <w:r w:rsidR="00560084" w:rsidRPr="00560084">
                    <w:rPr>
                      <w:b w:val="0"/>
                      <w:i/>
                      <w:iCs/>
                      <w:sz w:val="20"/>
                      <w:szCs w:val="20"/>
                    </w:rPr>
                    <w:t>hectares</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w:t>
                  </w:r>
                  <w:proofErr w:type="spellStart"/>
                  <w:r w:rsidR="00560084" w:rsidRPr="00560084">
                    <w:rPr>
                      <w:b w:val="0"/>
                      <w:i/>
                      <w:iCs/>
                      <w:sz w:val="20"/>
                      <w:szCs w:val="20"/>
                    </w:rPr>
                    <w:t>cultivation</w:t>
                  </w:r>
                  <w:proofErr w:type="spellEnd"/>
                  <w:r w:rsidR="00560084" w:rsidRPr="00560084">
                    <w:rPr>
                      <w:b w:val="0"/>
                      <w:i/>
                      <w:iCs/>
                      <w:sz w:val="20"/>
                      <w:szCs w:val="20"/>
                    </w:rPr>
                    <w:t xml:space="preserve">, 1.2 </w:t>
                  </w:r>
                  <w:proofErr w:type="spellStart"/>
                  <w:r w:rsidR="00560084" w:rsidRPr="00560084">
                    <w:rPr>
                      <w:b w:val="0"/>
                      <w:i/>
                      <w:iCs/>
                      <w:sz w:val="20"/>
                      <w:szCs w:val="20"/>
                    </w:rPr>
                    <w:t>million</w:t>
                  </w:r>
                  <w:proofErr w:type="spellEnd"/>
                  <w:r w:rsidR="00560084" w:rsidRPr="00560084">
                    <w:rPr>
                      <w:b w:val="0"/>
                      <w:i/>
                      <w:iCs/>
                      <w:sz w:val="20"/>
                      <w:szCs w:val="20"/>
                    </w:rPr>
                    <w:t xml:space="preserve"> </w:t>
                  </w:r>
                  <w:proofErr w:type="spellStart"/>
                  <w:r w:rsidR="00560084" w:rsidRPr="00560084">
                    <w:rPr>
                      <w:b w:val="0"/>
                      <w:i/>
                      <w:iCs/>
                      <w:sz w:val="20"/>
                      <w:szCs w:val="20"/>
                    </w:rPr>
                    <w:t>tons</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annual </w:t>
                  </w:r>
                  <w:proofErr w:type="spellStart"/>
                  <w:r w:rsidR="00560084" w:rsidRPr="00560084">
                    <w:rPr>
                      <w:b w:val="0"/>
                      <w:i/>
                      <w:iCs/>
                      <w:sz w:val="20"/>
                      <w:szCs w:val="20"/>
                    </w:rPr>
                    <w:t>harvest</w:t>
                  </w:r>
                  <w:proofErr w:type="spellEnd"/>
                  <w:r w:rsidR="00560084" w:rsidRPr="00560084">
                    <w:rPr>
                      <w:b w:val="0"/>
                      <w:i/>
                      <w:iCs/>
                      <w:sz w:val="20"/>
                      <w:szCs w:val="20"/>
                    </w:rPr>
                    <w:t xml:space="preserve">, and </w:t>
                  </w:r>
                  <w:proofErr w:type="spellStart"/>
                  <w:r w:rsidR="00560084" w:rsidRPr="00560084">
                    <w:rPr>
                      <w:b w:val="0"/>
                      <w:i/>
                      <w:iCs/>
                      <w:sz w:val="20"/>
                      <w:szCs w:val="20"/>
                    </w:rPr>
                    <w:t>especially</w:t>
                  </w:r>
                  <w:proofErr w:type="spellEnd"/>
                  <w:r w:rsidR="00560084" w:rsidRPr="00560084">
                    <w:rPr>
                      <w:b w:val="0"/>
                      <w:i/>
                      <w:iCs/>
                      <w:sz w:val="20"/>
                      <w:szCs w:val="20"/>
                    </w:rPr>
                    <w:t xml:space="preserve"> $2.2 </w:t>
                  </w:r>
                  <w:proofErr w:type="spellStart"/>
                  <w:r w:rsidR="00560084" w:rsidRPr="00560084">
                    <w:rPr>
                      <w:b w:val="0"/>
                      <w:i/>
                      <w:iCs/>
                      <w:sz w:val="20"/>
                      <w:szCs w:val="20"/>
                    </w:rPr>
                    <w:t>billion</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export</w:t>
                  </w:r>
                  <w:proofErr w:type="spellEnd"/>
                  <w:r w:rsidR="00560084" w:rsidRPr="00560084">
                    <w:rPr>
                      <w:b w:val="0"/>
                      <w:i/>
                      <w:iCs/>
                      <w:sz w:val="20"/>
                      <w:szCs w:val="20"/>
                    </w:rPr>
                    <w:t xml:space="preserve"> </w:t>
                  </w:r>
                  <w:proofErr w:type="spellStart"/>
                  <w:r w:rsidR="00560084" w:rsidRPr="00560084">
                    <w:rPr>
                      <w:b w:val="0"/>
                      <w:i/>
                      <w:iCs/>
                      <w:sz w:val="20"/>
                      <w:szCs w:val="20"/>
                    </w:rPr>
                    <w:t>worth</w:t>
                  </w:r>
                  <w:proofErr w:type="spellEnd"/>
                  <w:r w:rsidR="00560084" w:rsidRPr="00560084">
                    <w:rPr>
                      <w:b w:val="0"/>
                      <w:i/>
                      <w:iCs/>
                      <w:sz w:val="20"/>
                      <w:szCs w:val="20"/>
                    </w:rPr>
                    <w:t xml:space="preserve"> in 2023. </w:t>
                  </w:r>
                  <w:proofErr w:type="spellStart"/>
                  <w:r w:rsidR="00560084" w:rsidRPr="00560084">
                    <w:rPr>
                      <w:b w:val="0"/>
                      <w:i/>
                      <w:iCs/>
                      <w:sz w:val="20"/>
                      <w:szCs w:val="20"/>
                    </w:rPr>
                    <w:t>However</w:t>
                  </w:r>
                  <w:proofErr w:type="spellEnd"/>
                  <w:r w:rsidR="00560084" w:rsidRPr="00560084">
                    <w:rPr>
                      <w:b w:val="0"/>
                      <w:i/>
                      <w:iCs/>
                      <w:sz w:val="20"/>
                      <w:szCs w:val="20"/>
                    </w:rPr>
                    <w:t xml:space="preserve">, </w:t>
                  </w:r>
                  <w:proofErr w:type="spellStart"/>
                  <w:r w:rsidR="00560084" w:rsidRPr="00560084">
                    <w:rPr>
                      <w:b w:val="0"/>
                      <w:i/>
                      <w:iCs/>
                      <w:sz w:val="20"/>
                      <w:szCs w:val="20"/>
                    </w:rPr>
                    <w:t>the</w:t>
                  </w:r>
                  <w:proofErr w:type="spellEnd"/>
                  <w:r w:rsidR="00560084" w:rsidRPr="00560084">
                    <w:rPr>
                      <w:b w:val="0"/>
                      <w:i/>
                      <w:iCs/>
                      <w:sz w:val="20"/>
                      <w:szCs w:val="20"/>
                    </w:rPr>
                    <w:t xml:space="preserv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industry</w:t>
                  </w:r>
                  <w:proofErr w:type="spellEnd"/>
                  <w:r w:rsidR="00560084" w:rsidRPr="00560084">
                    <w:rPr>
                      <w:b w:val="0"/>
                      <w:i/>
                      <w:iCs/>
                      <w:sz w:val="20"/>
                      <w:szCs w:val="20"/>
                    </w:rPr>
                    <w:t xml:space="preserve"> also </w:t>
                  </w:r>
                  <w:proofErr w:type="spellStart"/>
                  <w:r w:rsidR="00560084" w:rsidRPr="00560084">
                    <w:rPr>
                      <w:b w:val="0"/>
                      <w:i/>
                      <w:iCs/>
                      <w:sz w:val="20"/>
                      <w:szCs w:val="20"/>
                    </w:rPr>
                    <w:t>generates</w:t>
                  </w:r>
                  <w:proofErr w:type="spellEnd"/>
                  <w:r w:rsidR="00560084" w:rsidRPr="00560084">
                    <w:rPr>
                      <w:b w:val="0"/>
                      <w:i/>
                      <w:iCs/>
                      <w:sz w:val="20"/>
                      <w:szCs w:val="20"/>
                    </w:rPr>
                    <w:t xml:space="preserve"> </w:t>
                  </w:r>
                  <w:r w:rsidR="00975914">
                    <w:rPr>
                      <w:b w:val="0"/>
                      <w:i/>
                      <w:iCs/>
                      <w:sz w:val="20"/>
                      <w:szCs w:val="20"/>
                      <w:lang w:val="vi-VN"/>
                    </w:rPr>
                    <w:t xml:space="preserve">a </w:t>
                  </w:r>
                  <w:proofErr w:type="spellStart"/>
                  <w:r w:rsidR="00560084" w:rsidRPr="00560084">
                    <w:rPr>
                      <w:b w:val="0"/>
                      <w:i/>
                      <w:iCs/>
                      <w:sz w:val="20"/>
                      <w:szCs w:val="20"/>
                    </w:rPr>
                    <w:t>significant</w:t>
                  </w:r>
                  <w:proofErr w:type="spellEnd"/>
                  <w:r w:rsidR="00975914">
                    <w:rPr>
                      <w:b w:val="0"/>
                      <w:i/>
                      <w:iCs/>
                      <w:sz w:val="20"/>
                      <w:szCs w:val="20"/>
                      <w:lang w:val="vi-VN"/>
                    </w:rPr>
                    <w:t xml:space="preserve"> amount of </w:t>
                  </w:r>
                  <w:proofErr w:type="spellStart"/>
                  <w:r w:rsidR="00560084" w:rsidRPr="00560084">
                    <w:rPr>
                      <w:b w:val="0"/>
                      <w:i/>
                      <w:iCs/>
                      <w:sz w:val="20"/>
                      <w:szCs w:val="20"/>
                    </w:rPr>
                    <w:t>shell</w:t>
                  </w:r>
                  <w:proofErr w:type="spellEnd"/>
                  <w:r w:rsidR="00560084" w:rsidRPr="00560084">
                    <w:rPr>
                      <w:b w:val="0"/>
                      <w:i/>
                      <w:iCs/>
                      <w:sz w:val="20"/>
                      <w:szCs w:val="20"/>
                    </w:rPr>
                    <w:t xml:space="preserve"> </w:t>
                  </w:r>
                  <w:proofErr w:type="spellStart"/>
                  <w:r w:rsidR="00560084" w:rsidRPr="00560084">
                    <w:rPr>
                      <w:b w:val="0"/>
                      <w:i/>
                      <w:iCs/>
                      <w:sz w:val="20"/>
                      <w:szCs w:val="20"/>
                    </w:rPr>
                    <w:t>waste</w:t>
                  </w:r>
                  <w:proofErr w:type="spellEnd"/>
                  <w:r w:rsidR="00560084" w:rsidRPr="00560084">
                    <w:rPr>
                      <w:b w:val="0"/>
                      <w:i/>
                      <w:iCs/>
                      <w:sz w:val="20"/>
                      <w:szCs w:val="20"/>
                    </w:rPr>
                    <w:t xml:space="preserve">, </w:t>
                  </w:r>
                  <w:proofErr w:type="spellStart"/>
                  <w:r w:rsidR="00560084" w:rsidRPr="00560084">
                    <w:rPr>
                      <w:b w:val="0"/>
                      <w:i/>
                      <w:iCs/>
                      <w:sz w:val="20"/>
                      <w:szCs w:val="20"/>
                    </w:rPr>
                    <w:t>which</w:t>
                  </w:r>
                  <w:proofErr w:type="spellEnd"/>
                  <w:r w:rsidR="00560084" w:rsidRPr="00560084">
                    <w:rPr>
                      <w:b w:val="0"/>
                      <w:i/>
                      <w:iCs/>
                      <w:sz w:val="20"/>
                      <w:szCs w:val="20"/>
                    </w:rPr>
                    <w:t xml:space="preserve"> </w:t>
                  </w:r>
                  <w:proofErr w:type="spellStart"/>
                  <w:r w:rsidR="00560084" w:rsidRPr="00560084">
                    <w:rPr>
                      <w:b w:val="0"/>
                      <w:i/>
                      <w:iCs/>
                      <w:sz w:val="20"/>
                      <w:szCs w:val="20"/>
                    </w:rPr>
                    <w:t>is</w:t>
                  </w:r>
                  <w:proofErr w:type="spellEnd"/>
                  <w:r w:rsidR="00560084" w:rsidRPr="00560084">
                    <w:rPr>
                      <w:b w:val="0"/>
                      <w:i/>
                      <w:iCs/>
                      <w:sz w:val="20"/>
                      <w:szCs w:val="20"/>
                    </w:rPr>
                    <w:t xml:space="preserve"> </w:t>
                  </w:r>
                  <w:proofErr w:type="spellStart"/>
                  <w:r w:rsidR="00560084" w:rsidRPr="00560084">
                    <w:rPr>
                      <w:b w:val="0"/>
                      <w:i/>
                      <w:iCs/>
                      <w:sz w:val="20"/>
                      <w:szCs w:val="20"/>
                    </w:rPr>
                    <w:t>often</w:t>
                  </w:r>
                  <w:proofErr w:type="spellEnd"/>
                  <w:r w:rsidR="00560084" w:rsidRPr="00560084">
                    <w:rPr>
                      <w:b w:val="0"/>
                      <w:i/>
                      <w:iCs/>
                      <w:sz w:val="20"/>
                      <w:szCs w:val="20"/>
                    </w:rPr>
                    <w:t xml:space="preserve"> </w:t>
                  </w:r>
                  <w:proofErr w:type="spellStart"/>
                  <w:r w:rsidR="00560084" w:rsidRPr="00560084">
                    <w:rPr>
                      <w:b w:val="0"/>
                      <w:i/>
                      <w:iCs/>
                      <w:sz w:val="20"/>
                      <w:szCs w:val="20"/>
                    </w:rPr>
                    <w:t>discarded</w:t>
                  </w:r>
                  <w:proofErr w:type="spellEnd"/>
                  <w:r w:rsidR="00560084" w:rsidRPr="00560084">
                    <w:rPr>
                      <w:b w:val="0"/>
                      <w:i/>
                      <w:iCs/>
                      <w:sz w:val="20"/>
                      <w:szCs w:val="20"/>
                    </w:rPr>
                    <w:t xml:space="preserve">, </w:t>
                  </w:r>
                  <w:proofErr w:type="spellStart"/>
                  <w:r w:rsidR="00560084" w:rsidRPr="00560084">
                    <w:rPr>
                      <w:b w:val="0"/>
                      <w:i/>
                      <w:iCs/>
                      <w:sz w:val="20"/>
                      <w:szCs w:val="20"/>
                    </w:rPr>
                    <w:t>leading</w:t>
                  </w:r>
                  <w:proofErr w:type="spellEnd"/>
                  <w:r w:rsidR="00560084" w:rsidRPr="00560084">
                    <w:rPr>
                      <w:b w:val="0"/>
                      <w:i/>
                      <w:iCs/>
                      <w:sz w:val="20"/>
                      <w:szCs w:val="20"/>
                    </w:rPr>
                    <w:t xml:space="preserve"> </w:t>
                  </w:r>
                  <w:proofErr w:type="spellStart"/>
                  <w:r w:rsidR="00560084" w:rsidRPr="00560084">
                    <w:rPr>
                      <w:b w:val="0"/>
                      <w:i/>
                      <w:iCs/>
                      <w:sz w:val="20"/>
                      <w:szCs w:val="20"/>
                    </w:rPr>
                    <w:t>to</w:t>
                  </w:r>
                  <w:proofErr w:type="spellEnd"/>
                  <w:r w:rsidR="00560084" w:rsidRPr="00560084">
                    <w:rPr>
                      <w:b w:val="0"/>
                      <w:i/>
                      <w:iCs/>
                      <w:sz w:val="20"/>
                      <w:szCs w:val="20"/>
                    </w:rPr>
                    <w:t xml:space="preserve"> </w:t>
                  </w:r>
                  <w:proofErr w:type="spellStart"/>
                  <w:r w:rsidR="00560084" w:rsidRPr="00560084">
                    <w:rPr>
                      <w:b w:val="0"/>
                      <w:i/>
                      <w:iCs/>
                      <w:sz w:val="20"/>
                      <w:szCs w:val="20"/>
                    </w:rPr>
                    <w:t>certain</w:t>
                  </w:r>
                  <w:proofErr w:type="spellEnd"/>
                  <w:r w:rsidR="00560084" w:rsidRPr="00560084">
                    <w:rPr>
                      <w:b w:val="0"/>
                      <w:i/>
                      <w:iCs/>
                      <w:sz w:val="20"/>
                      <w:szCs w:val="20"/>
                    </w:rPr>
                    <w:t xml:space="preserve"> environmental </w:t>
                  </w:r>
                  <w:proofErr w:type="spellStart"/>
                  <w:r w:rsidR="00560084" w:rsidRPr="00560084">
                    <w:rPr>
                      <w:b w:val="0"/>
                      <w:i/>
                      <w:iCs/>
                      <w:sz w:val="20"/>
                      <w:szCs w:val="20"/>
                    </w:rPr>
                    <w:t>concerns</w:t>
                  </w:r>
                  <w:proofErr w:type="spellEnd"/>
                  <w:r w:rsidR="00560084" w:rsidRPr="00560084">
                    <w:rPr>
                      <w:b w:val="0"/>
                      <w:i/>
                      <w:iCs/>
                      <w:sz w:val="20"/>
                      <w:szCs w:val="20"/>
                    </w:rPr>
                    <w:t xml:space="preserve">. The </w:t>
                  </w:r>
                  <w:proofErr w:type="spellStart"/>
                  <w:r w:rsidR="00560084" w:rsidRPr="00560084">
                    <w:rPr>
                      <w:b w:val="0"/>
                      <w:i/>
                      <w:iCs/>
                      <w:sz w:val="20"/>
                      <w:szCs w:val="20"/>
                    </w:rPr>
                    <w:t>reviewing</w:t>
                  </w:r>
                  <w:proofErr w:type="spellEnd"/>
                  <w:r w:rsidR="00560084" w:rsidRPr="00560084">
                    <w:rPr>
                      <w:b w:val="0"/>
                      <w:i/>
                      <w:iCs/>
                      <w:sz w:val="20"/>
                      <w:szCs w:val="20"/>
                    </w:rPr>
                    <w:t xml:space="preserve"> </w:t>
                  </w:r>
                  <w:proofErr w:type="spellStart"/>
                  <w:r w:rsidR="00560084" w:rsidRPr="00560084">
                    <w:rPr>
                      <w:b w:val="0"/>
                      <w:i/>
                      <w:iCs/>
                      <w:sz w:val="20"/>
                      <w:szCs w:val="20"/>
                    </w:rPr>
                    <w:t>method</w:t>
                  </w:r>
                  <w:proofErr w:type="spellEnd"/>
                  <w:r w:rsidR="00560084" w:rsidRPr="00560084">
                    <w:rPr>
                      <w:b w:val="0"/>
                      <w:i/>
                      <w:iCs/>
                      <w:sz w:val="20"/>
                      <w:szCs w:val="20"/>
                    </w:rPr>
                    <w:t xml:space="preserve"> was </w:t>
                  </w:r>
                  <w:proofErr w:type="spellStart"/>
                  <w:r w:rsidR="00560084" w:rsidRPr="00560084">
                    <w:rPr>
                      <w:b w:val="0"/>
                      <w:i/>
                      <w:iCs/>
                      <w:sz w:val="20"/>
                      <w:szCs w:val="20"/>
                    </w:rPr>
                    <w:t>exploiting</w:t>
                  </w:r>
                  <w:proofErr w:type="spellEnd"/>
                  <w:r w:rsidR="00560084" w:rsidRPr="00560084">
                    <w:rPr>
                      <w:b w:val="0"/>
                      <w:i/>
                      <w:iCs/>
                      <w:sz w:val="20"/>
                      <w:szCs w:val="20"/>
                    </w:rPr>
                    <w:t xml:space="preserve"> and </w:t>
                  </w:r>
                  <w:proofErr w:type="spellStart"/>
                  <w:r w:rsidR="00560084" w:rsidRPr="00560084">
                    <w:rPr>
                      <w:b w:val="0"/>
                      <w:i/>
                      <w:iCs/>
                      <w:sz w:val="20"/>
                      <w:szCs w:val="20"/>
                    </w:rPr>
                    <w:t>discussing</w:t>
                  </w:r>
                  <w:proofErr w:type="spellEnd"/>
                  <w:r w:rsidR="00560084" w:rsidRPr="00560084">
                    <w:rPr>
                      <w:b w:val="0"/>
                      <w:i/>
                      <w:iCs/>
                      <w:sz w:val="20"/>
                      <w:szCs w:val="20"/>
                    </w:rPr>
                    <w:t xml:space="preserve"> </w:t>
                  </w:r>
                  <w:proofErr w:type="spellStart"/>
                  <w:r w:rsidR="00560084" w:rsidRPr="00560084">
                    <w:rPr>
                      <w:b w:val="0"/>
                      <w:i/>
                      <w:iCs/>
                      <w:sz w:val="20"/>
                      <w:szCs w:val="20"/>
                    </w:rPr>
                    <w:t>available</w:t>
                  </w:r>
                  <w:proofErr w:type="spellEnd"/>
                  <w:r w:rsidR="00560084" w:rsidRPr="00560084">
                    <w:rPr>
                      <w:b w:val="0"/>
                      <w:i/>
                      <w:iCs/>
                      <w:sz w:val="20"/>
                      <w:szCs w:val="20"/>
                    </w:rPr>
                    <w:t xml:space="preserve"> </w:t>
                  </w:r>
                  <w:proofErr w:type="spellStart"/>
                  <w:r w:rsidR="00560084" w:rsidRPr="00560084">
                    <w:rPr>
                      <w:b w:val="0"/>
                      <w:i/>
                      <w:iCs/>
                      <w:sz w:val="20"/>
                      <w:szCs w:val="20"/>
                    </w:rPr>
                    <w:t>literature</w:t>
                  </w:r>
                  <w:proofErr w:type="spellEnd"/>
                  <w:r w:rsidR="00560084" w:rsidRPr="00560084">
                    <w:rPr>
                      <w:b w:val="0"/>
                      <w:i/>
                      <w:iCs/>
                      <w:sz w:val="20"/>
                      <w:szCs w:val="20"/>
                    </w:rPr>
                    <w:t xml:space="preserve">, </w:t>
                  </w:r>
                  <w:proofErr w:type="spellStart"/>
                  <w:r w:rsidR="00560084" w:rsidRPr="00560084">
                    <w:rPr>
                      <w:b w:val="0"/>
                      <w:i/>
                      <w:iCs/>
                      <w:sz w:val="20"/>
                      <w:szCs w:val="20"/>
                    </w:rPr>
                    <w:t>especially</w:t>
                  </w:r>
                  <w:proofErr w:type="spellEnd"/>
                  <w:r w:rsidR="00560084" w:rsidRPr="00560084">
                    <w:rPr>
                      <w:b w:val="0"/>
                      <w:i/>
                      <w:iCs/>
                      <w:sz w:val="20"/>
                      <w:szCs w:val="20"/>
                    </w:rPr>
                    <w:t xml:space="preserve"> in </w:t>
                  </w:r>
                  <w:proofErr w:type="spellStart"/>
                  <w:r w:rsidR="00560084" w:rsidRPr="00560084">
                    <w:rPr>
                      <w:b w:val="0"/>
                      <w:i/>
                      <w:iCs/>
                      <w:sz w:val="20"/>
                      <w:szCs w:val="20"/>
                    </w:rPr>
                    <w:t>the</w:t>
                  </w:r>
                  <w:proofErr w:type="spellEnd"/>
                  <w:r w:rsidR="00560084" w:rsidRPr="00560084">
                    <w:rPr>
                      <w:b w:val="0"/>
                      <w:i/>
                      <w:iCs/>
                      <w:sz w:val="20"/>
                      <w:szCs w:val="20"/>
                    </w:rPr>
                    <w:t xml:space="preserve"> </w:t>
                  </w:r>
                  <w:proofErr w:type="spellStart"/>
                  <w:r w:rsidR="00560084" w:rsidRPr="00560084">
                    <w:rPr>
                      <w:b w:val="0"/>
                      <w:i/>
                      <w:iCs/>
                      <w:sz w:val="20"/>
                      <w:szCs w:val="20"/>
                    </w:rPr>
                    <w:t>past</w:t>
                  </w:r>
                  <w:proofErr w:type="spellEnd"/>
                  <w:r w:rsidR="00560084" w:rsidRPr="00560084">
                    <w:rPr>
                      <w:b w:val="0"/>
                      <w:i/>
                      <w:iCs/>
                      <w:sz w:val="20"/>
                      <w:szCs w:val="20"/>
                    </w:rPr>
                    <w:t xml:space="preserve"> </w:t>
                  </w:r>
                  <w:proofErr w:type="spellStart"/>
                  <w:r w:rsidR="00560084" w:rsidRPr="00560084">
                    <w:rPr>
                      <w:b w:val="0"/>
                      <w:i/>
                      <w:iCs/>
                      <w:sz w:val="20"/>
                      <w:szCs w:val="20"/>
                    </w:rPr>
                    <w:t>five</w:t>
                  </w:r>
                  <w:proofErr w:type="spellEnd"/>
                  <w:r w:rsidR="00560084" w:rsidRPr="00560084">
                    <w:rPr>
                      <w:b w:val="0"/>
                      <w:i/>
                      <w:iCs/>
                      <w:sz w:val="20"/>
                      <w:szCs w:val="20"/>
                    </w:rPr>
                    <w:t xml:space="preserve"> </w:t>
                  </w:r>
                  <w:proofErr w:type="spellStart"/>
                  <w:r w:rsidR="00560084" w:rsidRPr="00560084">
                    <w:rPr>
                      <w:b w:val="0"/>
                      <w:i/>
                      <w:iCs/>
                      <w:sz w:val="20"/>
                      <w:szCs w:val="20"/>
                    </w:rPr>
                    <w:t>years</w:t>
                  </w:r>
                  <w:proofErr w:type="spellEnd"/>
                  <w:r w:rsidR="00560084" w:rsidRPr="00560084">
                    <w:rPr>
                      <w:b w:val="0"/>
                      <w:i/>
                      <w:iCs/>
                      <w:sz w:val="20"/>
                      <w:szCs w:val="20"/>
                    </w:rPr>
                    <w:t xml:space="preserve">, </w:t>
                  </w:r>
                  <w:proofErr w:type="spellStart"/>
                  <w:r w:rsidR="00560084" w:rsidRPr="00560084">
                    <w:rPr>
                      <w:b w:val="0"/>
                      <w:i/>
                      <w:iCs/>
                      <w:sz w:val="20"/>
                      <w:szCs w:val="20"/>
                    </w:rPr>
                    <w:t>to</w:t>
                  </w:r>
                  <w:proofErr w:type="spellEnd"/>
                  <w:r w:rsidR="00560084" w:rsidRPr="00560084">
                    <w:rPr>
                      <w:b w:val="0"/>
                      <w:i/>
                      <w:iCs/>
                      <w:sz w:val="20"/>
                      <w:szCs w:val="20"/>
                    </w:rPr>
                    <w:t xml:space="preserve"> </w:t>
                  </w:r>
                  <w:proofErr w:type="spellStart"/>
                  <w:r w:rsidR="00560084" w:rsidRPr="00560084">
                    <w:rPr>
                      <w:b w:val="0"/>
                      <w:i/>
                      <w:iCs/>
                      <w:sz w:val="20"/>
                      <w:szCs w:val="20"/>
                    </w:rPr>
                    <w:t>illuminate</w:t>
                  </w:r>
                  <w:proofErr w:type="spellEnd"/>
                  <w:r w:rsidR="00560084" w:rsidRPr="00560084">
                    <w:rPr>
                      <w:b w:val="0"/>
                      <w:i/>
                      <w:iCs/>
                      <w:sz w:val="20"/>
                      <w:szCs w:val="20"/>
                    </w:rPr>
                    <w:t xml:space="preserve"> an </w:t>
                  </w:r>
                  <w:proofErr w:type="spellStart"/>
                  <w:r w:rsidR="00560084" w:rsidRPr="00560084">
                    <w:rPr>
                      <w:b w:val="0"/>
                      <w:i/>
                      <w:iCs/>
                      <w:sz w:val="20"/>
                      <w:szCs w:val="20"/>
                    </w:rPr>
                    <w:t>insight</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the</w:t>
                  </w:r>
                  <w:proofErr w:type="spellEnd"/>
                  <w:r w:rsidR="00560084" w:rsidRPr="00560084">
                    <w:rPr>
                      <w:b w:val="0"/>
                      <w:i/>
                      <w:iCs/>
                      <w:sz w:val="20"/>
                      <w:szCs w:val="20"/>
                    </w:rPr>
                    <w:t xml:space="preserve"> Vietnamese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market</w:t>
                  </w:r>
                  <w:proofErr w:type="spellEnd"/>
                  <w:r w:rsidR="00560084" w:rsidRPr="00560084">
                    <w:rPr>
                      <w:b w:val="0"/>
                      <w:i/>
                      <w:iCs/>
                      <w:sz w:val="20"/>
                      <w:szCs w:val="20"/>
                    </w:rPr>
                    <w:t xml:space="preserve">, </w:t>
                  </w:r>
                  <w:proofErr w:type="spellStart"/>
                  <w:r w:rsidR="00560084" w:rsidRPr="00560084">
                    <w:rPr>
                      <w:b w:val="0"/>
                      <w:i/>
                      <w:iCs/>
                      <w:sz w:val="20"/>
                      <w:szCs w:val="20"/>
                    </w:rPr>
                    <w:t>its</w:t>
                  </w:r>
                  <w:proofErr w:type="spellEnd"/>
                  <w:r w:rsidR="00560084" w:rsidRPr="00560084">
                    <w:rPr>
                      <w:b w:val="0"/>
                      <w:i/>
                      <w:iCs/>
                      <w:sz w:val="20"/>
                      <w:szCs w:val="20"/>
                    </w:rPr>
                    <w:t xml:space="preserve"> </w:t>
                  </w:r>
                  <w:proofErr w:type="spellStart"/>
                  <w:r w:rsidR="00560084" w:rsidRPr="00560084">
                    <w:rPr>
                      <w:b w:val="0"/>
                      <w:i/>
                      <w:iCs/>
                      <w:sz w:val="20"/>
                      <w:szCs w:val="20"/>
                    </w:rPr>
                    <w:t>existing</w:t>
                  </w:r>
                  <w:proofErr w:type="spellEnd"/>
                  <w:r w:rsidR="00560084" w:rsidRPr="00560084">
                    <w:rPr>
                      <w:b w:val="0"/>
                      <w:i/>
                      <w:iCs/>
                      <w:sz w:val="20"/>
                      <w:szCs w:val="20"/>
                    </w:rPr>
                    <w:t xml:space="preserve"> </w:t>
                  </w:r>
                  <w:proofErr w:type="spellStart"/>
                  <w:r w:rsidR="00560084" w:rsidRPr="00560084">
                    <w:rPr>
                      <w:b w:val="0"/>
                      <w:i/>
                      <w:iCs/>
                      <w:sz w:val="20"/>
                      <w:szCs w:val="20"/>
                    </w:rPr>
                    <w:t>issues</w:t>
                  </w:r>
                  <w:proofErr w:type="spellEnd"/>
                  <w:r w:rsidR="00560084" w:rsidRPr="00560084">
                    <w:rPr>
                      <w:b w:val="0"/>
                      <w:i/>
                      <w:iCs/>
                      <w:sz w:val="20"/>
                      <w:szCs w:val="20"/>
                    </w:rPr>
                    <w:t xml:space="preserve">, and </w:t>
                  </w:r>
                  <w:proofErr w:type="spellStart"/>
                  <w:r w:rsidR="00560084" w:rsidRPr="00560084">
                    <w:rPr>
                      <w:b w:val="0"/>
                      <w:i/>
                      <w:iCs/>
                      <w:sz w:val="20"/>
                      <w:szCs w:val="20"/>
                    </w:rPr>
                    <w:t>recent</w:t>
                  </w:r>
                  <w:proofErr w:type="spellEnd"/>
                  <w:r w:rsidR="00560084" w:rsidRPr="00560084">
                    <w:rPr>
                      <w:b w:val="0"/>
                      <w:i/>
                      <w:iCs/>
                      <w:sz w:val="20"/>
                      <w:szCs w:val="20"/>
                    </w:rPr>
                    <w:t xml:space="preserve"> </w:t>
                  </w:r>
                  <w:proofErr w:type="spellStart"/>
                  <w:r w:rsidR="00560084" w:rsidRPr="00560084">
                    <w:rPr>
                      <w:b w:val="0"/>
                      <w:i/>
                      <w:iCs/>
                      <w:sz w:val="20"/>
                      <w:szCs w:val="20"/>
                    </w:rPr>
                    <w:t>solutions</w:t>
                  </w:r>
                  <w:proofErr w:type="spellEnd"/>
                  <w:r w:rsidR="00560084" w:rsidRPr="00560084">
                    <w:rPr>
                      <w:b w:val="0"/>
                      <w:i/>
                      <w:iCs/>
                      <w:sz w:val="20"/>
                      <w:szCs w:val="20"/>
                    </w:rPr>
                    <w:t xml:space="preserve"> in </w:t>
                  </w:r>
                  <w:proofErr w:type="spellStart"/>
                  <w:r w:rsidR="00560084" w:rsidRPr="00560084">
                    <w:rPr>
                      <w:b w:val="0"/>
                      <w:i/>
                      <w:iCs/>
                      <w:sz w:val="20"/>
                      <w:szCs w:val="20"/>
                    </w:rPr>
                    <w:t>the</w:t>
                  </w:r>
                  <w:proofErr w:type="spellEnd"/>
                  <w:r w:rsidR="00560084" w:rsidRPr="00560084">
                    <w:rPr>
                      <w:b w:val="0"/>
                      <w:i/>
                      <w:iCs/>
                      <w:sz w:val="20"/>
                      <w:szCs w:val="20"/>
                    </w:rPr>
                    <w:t xml:space="preserve"> total </w:t>
                  </w:r>
                  <w:proofErr w:type="spellStart"/>
                  <w:r w:rsidR="00560084" w:rsidRPr="00560084">
                    <w:rPr>
                      <w:b w:val="0"/>
                      <w:i/>
                      <w:iCs/>
                      <w:sz w:val="20"/>
                      <w:szCs w:val="20"/>
                    </w:rPr>
                    <w:t>utilisation</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its</w:t>
                  </w:r>
                  <w:proofErr w:type="spellEnd"/>
                  <w:r w:rsidR="00560084" w:rsidRPr="00560084">
                    <w:rPr>
                      <w:b w:val="0"/>
                      <w:i/>
                      <w:iCs/>
                      <w:sz w:val="20"/>
                      <w:szCs w:val="20"/>
                    </w:rPr>
                    <w:t xml:space="preserve"> </w:t>
                  </w:r>
                  <w:proofErr w:type="spellStart"/>
                  <w:r w:rsidR="00560084" w:rsidRPr="00560084">
                    <w:rPr>
                      <w:b w:val="0"/>
                      <w:i/>
                      <w:iCs/>
                      <w:sz w:val="20"/>
                      <w:szCs w:val="20"/>
                    </w:rPr>
                    <w:t>shell</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a </w:t>
                  </w:r>
                  <w:proofErr w:type="spellStart"/>
                  <w:r w:rsidR="00560084" w:rsidRPr="00560084">
                    <w:rPr>
                      <w:b w:val="0"/>
                      <w:i/>
                      <w:iCs/>
                      <w:sz w:val="20"/>
                      <w:szCs w:val="20"/>
                    </w:rPr>
                    <w:t>more</w:t>
                  </w:r>
                  <w:proofErr w:type="spellEnd"/>
                  <w:r w:rsidR="00560084" w:rsidRPr="00560084">
                    <w:rPr>
                      <w:b w:val="0"/>
                      <w:i/>
                      <w:iCs/>
                      <w:sz w:val="20"/>
                      <w:szCs w:val="20"/>
                    </w:rPr>
                    <w:t xml:space="preserve"> </w:t>
                  </w:r>
                  <w:proofErr w:type="spellStart"/>
                  <w:r w:rsidR="00560084" w:rsidRPr="00560084">
                    <w:rPr>
                      <w:b w:val="0"/>
                      <w:i/>
                      <w:iCs/>
                      <w:sz w:val="20"/>
                      <w:szCs w:val="20"/>
                    </w:rPr>
                    <w:t>sustainable</w:t>
                  </w:r>
                  <w:proofErr w:type="spellEnd"/>
                  <w:r w:rsidR="00560084" w:rsidRPr="00560084">
                    <w:rPr>
                      <w:b w:val="0"/>
                      <w:i/>
                      <w:iCs/>
                      <w:sz w:val="20"/>
                      <w:szCs w:val="20"/>
                    </w:rPr>
                    <w:t xml:space="preserve"> </w:t>
                  </w:r>
                  <w:proofErr w:type="spellStart"/>
                  <w:r w:rsidR="00560084" w:rsidRPr="00560084">
                    <w:rPr>
                      <w:b w:val="0"/>
                      <w:i/>
                      <w:iCs/>
                      <w:sz w:val="20"/>
                      <w:szCs w:val="20"/>
                    </w:rPr>
                    <w:t>economy</w:t>
                  </w:r>
                  <w:proofErr w:type="spellEnd"/>
                  <w:r w:rsidR="00560084" w:rsidRPr="00560084">
                    <w:rPr>
                      <w:b w:val="0"/>
                      <w:i/>
                      <w:iCs/>
                      <w:sz w:val="20"/>
                      <w:szCs w:val="20"/>
                    </w:rPr>
                    <w:t xml:space="preserve">. </w:t>
                  </w:r>
                  <w:proofErr w:type="spellStart"/>
                  <w:r w:rsidR="00560084" w:rsidRPr="00560084">
                    <w:rPr>
                      <w:b w:val="0"/>
                      <w:i/>
                      <w:iCs/>
                      <w:sz w:val="20"/>
                      <w:szCs w:val="20"/>
                    </w:rPr>
                    <w:t>Results</w:t>
                  </w:r>
                  <w:proofErr w:type="spellEnd"/>
                  <w:r w:rsidR="00560084" w:rsidRPr="00560084">
                    <w:rPr>
                      <w:b w:val="0"/>
                      <w:i/>
                      <w:iCs/>
                      <w:sz w:val="20"/>
                      <w:szCs w:val="20"/>
                    </w:rPr>
                    <w:t xml:space="preserve"> </w:t>
                  </w:r>
                  <w:proofErr w:type="spellStart"/>
                  <w:r w:rsidR="00560084" w:rsidRPr="00560084">
                    <w:rPr>
                      <w:b w:val="0"/>
                      <w:i/>
                      <w:iCs/>
                      <w:sz w:val="20"/>
                      <w:szCs w:val="20"/>
                    </w:rPr>
                    <w:t>indicated</w:t>
                  </w:r>
                  <w:proofErr w:type="spellEnd"/>
                  <w:r w:rsidR="00560084" w:rsidRPr="00560084">
                    <w:rPr>
                      <w:b w:val="0"/>
                      <w:i/>
                      <w:iCs/>
                      <w:sz w:val="20"/>
                      <w:szCs w:val="20"/>
                    </w:rPr>
                    <w:t xml:space="preserve"> </w:t>
                  </w:r>
                  <w:r w:rsidR="00975914">
                    <w:rPr>
                      <w:b w:val="0"/>
                      <w:i/>
                      <w:iCs/>
                      <w:sz w:val="20"/>
                      <w:szCs w:val="20"/>
                    </w:rPr>
                    <w:t>an</w:t>
                  </w:r>
                  <w:r w:rsidR="00975914">
                    <w:rPr>
                      <w:b w:val="0"/>
                      <w:i/>
                      <w:iCs/>
                      <w:sz w:val="20"/>
                      <w:szCs w:val="20"/>
                      <w:lang w:val="vi-VN"/>
                    </w:rPr>
                    <w:t xml:space="preserve"> </w:t>
                  </w:r>
                  <w:proofErr w:type="spellStart"/>
                  <w:r w:rsidR="00560084" w:rsidRPr="00560084">
                    <w:rPr>
                      <w:b w:val="0"/>
                      <w:i/>
                      <w:iCs/>
                      <w:sz w:val="20"/>
                      <w:szCs w:val="20"/>
                    </w:rPr>
                    <w:t>increas</w:t>
                  </w:r>
                  <w:r w:rsidR="00975914">
                    <w:rPr>
                      <w:b w:val="0"/>
                      <w:i/>
                      <w:iCs/>
                      <w:sz w:val="20"/>
                      <w:szCs w:val="20"/>
                    </w:rPr>
                    <w:t>ing</w:t>
                  </w:r>
                  <w:proofErr w:type="spellEnd"/>
                  <w:r w:rsidR="00975914">
                    <w:rPr>
                      <w:b w:val="0"/>
                      <w:i/>
                      <w:iCs/>
                      <w:sz w:val="20"/>
                      <w:szCs w:val="20"/>
                      <w:lang w:val="vi-VN"/>
                    </w:rPr>
                    <w:t xml:space="preserve"> trend</w:t>
                  </w:r>
                  <w:r w:rsidR="00560084" w:rsidRPr="00560084">
                    <w:rPr>
                      <w:b w:val="0"/>
                      <w:i/>
                      <w:iCs/>
                      <w:sz w:val="20"/>
                      <w:szCs w:val="20"/>
                    </w:rPr>
                    <w:t xml:space="preserve"> in </w:t>
                  </w:r>
                  <w:proofErr w:type="spellStart"/>
                  <w:r w:rsidR="00560084" w:rsidRPr="00560084">
                    <w:rPr>
                      <w:b w:val="0"/>
                      <w:i/>
                      <w:iCs/>
                      <w:sz w:val="20"/>
                      <w:szCs w:val="20"/>
                    </w:rPr>
                    <w:t>cultivation</w:t>
                  </w:r>
                  <w:proofErr w:type="spellEnd"/>
                  <w:r w:rsidR="00560084" w:rsidRPr="00560084">
                    <w:rPr>
                      <w:b w:val="0"/>
                      <w:i/>
                      <w:iCs/>
                      <w:sz w:val="20"/>
                      <w:szCs w:val="20"/>
                    </w:rPr>
                    <w:t xml:space="preserve"> </w:t>
                  </w:r>
                  <w:proofErr w:type="spellStart"/>
                  <w:r w:rsidR="00560084" w:rsidRPr="00560084">
                    <w:rPr>
                      <w:b w:val="0"/>
                      <w:i/>
                      <w:iCs/>
                      <w:sz w:val="20"/>
                      <w:szCs w:val="20"/>
                    </w:rPr>
                    <w:t>areas</w:t>
                  </w:r>
                  <w:proofErr w:type="spellEnd"/>
                  <w:r w:rsidR="00560084" w:rsidRPr="00560084">
                    <w:rPr>
                      <w:b w:val="0"/>
                      <w:i/>
                      <w:iCs/>
                      <w:sz w:val="20"/>
                      <w:szCs w:val="20"/>
                    </w:rPr>
                    <w:t xml:space="preserve">, </w:t>
                  </w:r>
                  <w:proofErr w:type="spellStart"/>
                  <w:r w:rsidR="00560084" w:rsidRPr="00560084">
                    <w:rPr>
                      <w:b w:val="0"/>
                      <w:i/>
                      <w:iCs/>
                      <w:sz w:val="20"/>
                      <w:szCs w:val="20"/>
                    </w:rPr>
                    <w:t>production</w:t>
                  </w:r>
                  <w:proofErr w:type="spellEnd"/>
                  <w:r w:rsidR="00560084" w:rsidRPr="00560084">
                    <w:rPr>
                      <w:b w:val="0"/>
                      <w:i/>
                      <w:iCs/>
                      <w:sz w:val="20"/>
                      <w:szCs w:val="20"/>
                    </w:rPr>
                    <w:t xml:space="preserve">, and </w:t>
                  </w:r>
                  <w:proofErr w:type="spellStart"/>
                  <w:r w:rsidR="00560084" w:rsidRPr="00560084">
                    <w:rPr>
                      <w:b w:val="0"/>
                      <w:i/>
                      <w:iCs/>
                      <w:sz w:val="20"/>
                      <w:szCs w:val="20"/>
                    </w:rPr>
                    <w:t>export</w:t>
                  </w:r>
                  <w:proofErr w:type="spellEnd"/>
                  <w:r w:rsidR="00560084" w:rsidRPr="00560084">
                    <w:rPr>
                      <w:b w:val="0"/>
                      <w:i/>
                      <w:iCs/>
                      <w:sz w:val="20"/>
                      <w:szCs w:val="20"/>
                    </w:rPr>
                    <w:t xml:space="preserve"> </w:t>
                  </w:r>
                  <w:proofErr w:type="spellStart"/>
                  <w:r w:rsidR="00560084" w:rsidRPr="00560084">
                    <w:rPr>
                      <w:b w:val="0"/>
                      <w:i/>
                      <w:iCs/>
                      <w:sz w:val="20"/>
                      <w:szCs w:val="20"/>
                    </w:rPr>
                    <w:t>value</w:t>
                  </w:r>
                  <w:proofErr w:type="spellEnd"/>
                  <w:r w:rsidR="00560084" w:rsidRPr="00560084">
                    <w:rPr>
                      <w:b w:val="0"/>
                      <w:i/>
                      <w:iCs/>
                      <w:sz w:val="20"/>
                      <w:szCs w:val="20"/>
                    </w:rPr>
                    <w:t xml:space="preserve">. In </w:t>
                  </w:r>
                  <w:proofErr w:type="spellStart"/>
                  <w:r w:rsidR="00560084" w:rsidRPr="00560084">
                    <w:rPr>
                      <w:b w:val="0"/>
                      <w:i/>
                      <w:iCs/>
                      <w:sz w:val="20"/>
                      <w:szCs w:val="20"/>
                    </w:rPr>
                    <w:t>addition</w:t>
                  </w:r>
                  <w:proofErr w:type="spellEnd"/>
                  <w:r w:rsidR="00560084" w:rsidRPr="00560084">
                    <w:rPr>
                      <w:b w:val="0"/>
                      <w:i/>
                      <w:iCs/>
                      <w:sz w:val="20"/>
                      <w:szCs w:val="20"/>
                    </w:rPr>
                    <w:t xml:space="preserv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shell</w:t>
                  </w:r>
                  <w:proofErr w:type="spellEnd"/>
                  <w:r w:rsidR="00560084" w:rsidRPr="00560084">
                    <w:rPr>
                      <w:b w:val="0"/>
                      <w:i/>
                      <w:iCs/>
                      <w:sz w:val="20"/>
                      <w:szCs w:val="20"/>
                    </w:rPr>
                    <w:t xml:space="preserve"> was </w:t>
                  </w:r>
                  <w:proofErr w:type="spellStart"/>
                  <w:r w:rsidR="00560084" w:rsidRPr="00560084">
                    <w:rPr>
                      <w:b w:val="0"/>
                      <w:i/>
                      <w:iCs/>
                      <w:sz w:val="20"/>
                      <w:szCs w:val="20"/>
                    </w:rPr>
                    <w:t>reported</w:t>
                  </w:r>
                  <w:proofErr w:type="spellEnd"/>
                  <w:r w:rsidR="00560084" w:rsidRPr="00560084">
                    <w:rPr>
                      <w:b w:val="0"/>
                      <w:i/>
                      <w:iCs/>
                      <w:sz w:val="20"/>
                      <w:szCs w:val="20"/>
                    </w:rPr>
                    <w:t xml:space="preserve"> </w:t>
                  </w:r>
                  <w:proofErr w:type="spellStart"/>
                  <w:r w:rsidR="00560084" w:rsidRPr="00560084">
                    <w:rPr>
                      <w:b w:val="0"/>
                      <w:i/>
                      <w:iCs/>
                      <w:sz w:val="20"/>
                      <w:szCs w:val="20"/>
                    </w:rPr>
                    <w:t>as</w:t>
                  </w:r>
                  <w:proofErr w:type="spellEnd"/>
                  <w:r w:rsidR="00560084" w:rsidRPr="00560084">
                    <w:rPr>
                      <w:b w:val="0"/>
                      <w:i/>
                      <w:iCs/>
                      <w:sz w:val="20"/>
                      <w:szCs w:val="20"/>
                    </w:rPr>
                    <w:t xml:space="preserve"> a </w:t>
                  </w:r>
                  <w:proofErr w:type="spellStart"/>
                  <w:r w:rsidR="00560084" w:rsidRPr="00560084">
                    <w:rPr>
                      <w:b w:val="0"/>
                      <w:i/>
                      <w:iCs/>
                      <w:sz w:val="20"/>
                      <w:szCs w:val="20"/>
                    </w:rPr>
                    <w:t>rich</w:t>
                  </w:r>
                  <w:proofErr w:type="spellEnd"/>
                  <w:r w:rsidR="00560084" w:rsidRPr="00560084">
                    <w:rPr>
                      <w:b w:val="0"/>
                      <w:i/>
                      <w:iCs/>
                      <w:sz w:val="20"/>
                      <w:szCs w:val="20"/>
                    </w:rPr>
                    <w:t xml:space="preserve"> source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materials</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w:t>
                  </w:r>
                  <w:proofErr w:type="spellStart"/>
                  <w:r w:rsidR="00560084" w:rsidRPr="00560084">
                    <w:rPr>
                      <w:b w:val="0"/>
                      <w:i/>
                      <w:iCs/>
                      <w:sz w:val="20"/>
                      <w:szCs w:val="20"/>
                    </w:rPr>
                    <w:t>several</w:t>
                  </w:r>
                  <w:proofErr w:type="spellEnd"/>
                  <w:r w:rsidR="00560084" w:rsidRPr="00560084">
                    <w:rPr>
                      <w:b w:val="0"/>
                      <w:i/>
                      <w:iCs/>
                      <w:sz w:val="20"/>
                      <w:szCs w:val="20"/>
                    </w:rPr>
                    <w:t xml:space="preserve"> </w:t>
                  </w:r>
                  <w:proofErr w:type="spellStart"/>
                  <w:r w:rsidR="00560084" w:rsidRPr="00560084">
                    <w:rPr>
                      <w:b w:val="0"/>
                      <w:i/>
                      <w:iCs/>
                      <w:sz w:val="20"/>
                      <w:szCs w:val="20"/>
                    </w:rPr>
                    <w:t>industries</w:t>
                  </w:r>
                  <w:proofErr w:type="spellEnd"/>
                  <w:r w:rsidR="00560084" w:rsidRPr="00560084">
                    <w:rPr>
                      <w:b w:val="0"/>
                      <w:i/>
                      <w:iCs/>
                      <w:sz w:val="20"/>
                      <w:szCs w:val="20"/>
                    </w:rPr>
                    <w:t xml:space="preserve">, </w:t>
                  </w:r>
                  <w:proofErr w:type="spellStart"/>
                  <w:r w:rsidR="00560084" w:rsidRPr="00560084">
                    <w:rPr>
                      <w:b w:val="0"/>
                      <w:i/>
                      <w:iCs/>
                      <w:sz w:val="20"/>
                      <w:szCs w:val="20"/>
                    </w:rPr>
                    <w:t>thus</w:t>
                  </w:r>
                  <w:proofErr w:type="spellEnd"/>
                  <w:r w:rsidR="00560084" w:rsidRPr="00560084">
                    <w:rPr>
                      <w:b w:val="0"/>
                      <w:i/>
                      <w:iCs/>
                      <w:sz w:val="20"/>
                      <w:szCs w:val="20"/>
                    </w:rPr>
                    <w:t xml:space="preserve">, </w:t>
                  </w:r>
                  <w:proofErr w:type="spellStart"/>
                  <w:r w:rsidR="00560084" w:rsidRPr="00560084">
                    <w:rPr>
                      <w:b w:val="0"/>
                      <w:i/>
                      <w:iCs/>
                      <w:sz w:val="20"/>
                      <w:szCs w:val="20"/>
                    </w:rPr>
                    <w:t>leading</w:t>
                  </w:r>
                  <w:proofErr w:type="spellEnd"/>
                  <w:r w:rsidR="00560084" w:rsidRPr="00560084">
                    <w:rPr>
                      <w:b w:val="0"/>
                      <w:i/>
                      <w:iCs/>
                      <w:sz w:val="20"/>
                      <w:szCs w:val="20"/>
                    </w:rPr>
                    <w:t xml:space="preserve"> </w:t>
                  </w:r>
                  <w:proofErr w:type="spellStart"/>
                  <w:r w:rsidR="00560084" w:rsidRPr="00560084">
                    <w:rPr>
                      <w:b w:val="0"/>
                      <w:i/>
                      <w:iCs/>
                      <w:sz w:val="20"/>
                      <w:szCs w:val="20"/>
                    </w:rPr>
                    <w:t>to</w:t>
                  </w:r>
                  <w:proofErr w:type="spellEnd"/>
                  <w:r w:rsidR="00560084" w:rsidRPr="00560084">
                    <w:rPr>
                      <w:b w:val="0"/>
                      <w:i/>
                      <w:iCs/>
                      <w:sz w:val="20"/>
                      <w:szCs w:val="20"/>
                    </w:rPr>
                    <w:t xml:space="preserve"> promising </w:t>
                  </w:r>
                  <w:proofErr w:type="spellStart"/>
                  <w:r w:rsidR="00560084" w:rsidRPr="00560084">
                    <w:rPr>
                      <w:b w:val="0"/>
                      <w:i/>
                      <w:iCs/>
                      <w:sz w:val="20"/>
                      <w:szCs w:val="20"/>
                    </w:rPr>
                    <w:t>opportunities</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a </w:t>
                  </w:r>
                  <w:proofErr w:type="spellStart"/>
                  <w:r w:rsidR="00560084" w:rsidRPr="00560084">
                    <w:rPr>
                      <w:b w:val="0"/>
                      <w:i/>
                      <w:iCs/>
                      <w:sz w:val="20"/>
                      <w:szCs w:val="20"/>
                    </w:rPr>
                    <w:t>completed</w:t>
                  </w:r>
                  <w:proofErr w:type="spellEnd"/>
                  <w:r w:rsidR="00560084" w:rsidRPr="00560084">
                    <w:rPr>
                      <w:b w:val="0"/>
                      <w:i/>
                      <w:iCs/>
                      <w:sz w:val="20"/>
                      <w:szCs w:val="20"/>
                    </w:rPr>
                    <w:t xml:space="preserve"> </w:t>
                  </w:r>
                  <w:proofErr w:type="spellStart"/>
                  <w:r w:rsidR="00560084" w:rsidRPr="00560084">
                    <w:rPr>
                      <w:b w:val="0"/>
                      <w:i/>
                      <w:iCs/>
                      <w:sz w:val="20"/>
                      <w:szCs w:val="20"/>
                    </w:rPr>
                    <w:t>consumption</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fruit</w:t>
                  </w:r>
                  <w:proofErr w:type="spellEnd"/>
                  <w:r w:rsidR="00560084" w:rsidRPr="00560084">
                    <w:rPr>
                      <w:b w:val="0"/>
                      <w:i/>
                      <w:iCs/>
                      <w:sz w:val="20"/>
                      <w:szCs w:val="20"/>
                    </w:rPr>
                    <w:t xml:space="preserve">. </w:t>
                  </w:r>
                  <w:proofErr w:type="spellStart"/>
                  <w:r w:rsidR="00560084" w:rsidRPr="00560084">
                    <w:rPr>
                      <w:b w:val="0"/>
                      <w:i/>
                      <w:iCs/>
                      <w:sz w:val="20"/>
                      <w:szCs w:val="20"/>
                    </w:rPr>
                    <w:t>However</w:t>
                  </w:r>
                  <w:proofErr w:type="spellEnd"/>
                  <w:r w:rsidR="00560084" w:rsidRPr="00560084">
                    <w:rPr>
                      <w:b w:val="0"/>
                      <w:i/>
                      <w:iCs/>
                      <w:sz w:val="20"/>
                      <w:szCs w:val="20"/>
                    </w:rPr>
                    <w:t xml:space="preserve">, </w:t>
                  </w:r>
                  <w:proofErr w:type="spellStart"/>
                  <w:r w:rsidR="00560084" w:rsidRPr="00560084">
                    <w:rPr>
                      <w:b w:val="0"/>
                      <w:i/>
                      <w:iCs/>
                      <w:sz w:val="20"/>
                      <w:szCs w:val="20"/>
                    </w:rPr>
                    <w:t>benefits</w:t>
                  </w:r>
                  <w:proofErr w:type="spellEnd"/>
                  <w:r w:rsidR="00560084" w:rsidRPr="00560084">
                    <w:rPr>
                      <w:b w:val="0"/>
                      <w:i/>
                      <w:iCs/>
                      <w:sz w:val="20"/>
                      <w:szCs w:val="20"/>
                    </w:rPr>
                    <w:t xml:space="preserve"> </w:t>
                  </w:r>
                  <w:proofErr w:type="spellStart"/>
                  <w:r w:rsidR="00560084" w:rsidRPr="00560084">
                    <w:rPr>
                      <w:b w:val="0"/>
                      <w:i/>
                      <w:iCs/>
                      <w:sz w:val="20"/>
                      <w:szCs w:val="20"/>
                    </w:rPr>
                    <w:t>come</w:t>
                  </w:r>
                  <w:proofErr w:type="spellEnd"/>
                  <w:r w:rsidR="00560084" w:rsidRPr="00560084">
                    <w:rPr>
                      <w:b w:val="0"/>
                      <w:i/>
                      <w:iCs/>
                      <w:sz w:val="20"/>
                      <w:szCs w:val="20"/>
                    </w:rPr>
                    <w:t xml:space="preserve"> </w:t>
                  </w:r>
                  <w:proofErr w:type="spellStart"/>
                  <w:r w:rsidR="00560084" w:rsidRPr="00560084">
                    <w:rPr>
                      <w:b w:val="0"/>
                      <w:i/>
                      <w:iCs/>
                      <w:sz w:val="20"/>
                      <w:szCs w:val="20"/>
                    </w:rPr>
                    <w:t>together</w:t>
                  </w:r>
                  <w:proofErr w:type="spellEnd"/>
                  <w:r w:rsidR="00560084" w:rsidRPr="00560084">
                    <w:rPr>
                      <w:b w:val="0"/>
                      <w:i/>
                      <w:iCs/>
                      <w:sz w:val="20"/>
                      <w:szCs w:val="20"/>
                    </w:rPr>
                    <w:t xml:space="preserve"> </w:t>
                  </w:r>
                  <w:proofErr w:type="spellStart"/>
                  <w:r w:rsidR="00560084" w:rsidRPr="00560084">
                    <w:rPr>
                      <w:b w:val="0"/>
                      <w:i/>
                      <w:iCs/>
                      <w:sz w:val="20"/>
                      <w:szCs w:val="20"/>
                    </w:rPr>
                    <w:t>with</w:t>
                  </w:r>
                  <w:proofErr w:type="spellEnd"/>
                  <w:r w:rsidR="00560084" w:rsidRPr="00560084">
                    <w:rPr>
                      <w:b w:val="0"/>
                      <w:i/>
                      <w:iCs/>
                      <w:sz w:val="20"/>
                      <w:szCs w:val="20"/>
                    </w:rPr>
                    <w:t xml:space="preserve"> </w:t>
                  </w:r>
                  <w:proofErr w:type="spellStart"/>
                  <w:r w:rsidR="00560084" w:rsidRPr="00560084">
                    <w:rPr>
                      <w:b w:val="0"/>
                      <w:i/>
                      <w:iCs/>
                      <w:sz w:val="20"/>
                      <w:szCs w:val="20"/>
                    </w:rPr>
                    <w:t>challenges</w:t>
                  </w:r>
                  <w:proofErr w:type="spellEnd"/>
                  <w:r w:rsidR="00560084" w:rsidRPr="00560084">
                    <w:rPr>
                      <w:b w:val="0"/>
                      <w:i/>
                      <w:iCs/>
                      <w:sz w:val="20"/>
                      <w:szCs w:val="20"/>
                    </w:rPr>
                    <w:t xml:space="preserve">, </w:t>
                  </w:r>
                  <w:proofErr w:type="spellStart"/>
                  <w:r w:rsidR="00560084" w:rsidRPr="00560084">
                    <w:rPr>
                      <w:b w:val="0"/>
                      <w:i/>
                      <w:iCs/>
                      <w:sz w:val="20"/>
                      <w:szCs w:val="20"/>
                    </w:rPr>
                    <w:t>with</w:t>
                  </w:r>
                  <w:proofErr w:type="spellEnd"/>
                  <w:r w:rsidR="00560084" w:rsidRPr="00560084">
                    <w:rPr>
                      <w:b w:val="0"/>
                      <w:i/>
                      <w:iCs/>
                      <w:sz w:val="20"/>
                      <w:szCs w:val="20"/>
                    </w:rPr>
                    <w:t xml:space="preserve"> standstill </w:t>
                  </w:r>
                  <w:proofErr w:type="spellStart"/>
                  <w:r w:rsidR="00560084" w:rsidRPr="00560084">
                    <w:rPr>
                      <w:b w:val="0"/>
                      <w:i/>
                      <w:iCs/>
                      <w:sz w:val="20"/>
                      <w:szCs w:val="20"/>
                    </w:rPr>
                    <w:t>limitations</w:t>
                  </w:r>
                  <w:proofErr w:type="spellEnd"/>
                  <w:r w:rsidR="00560084" w:rsidRPr="00560084">
                    <w:rPr>
                      <w:b w:val="0"/>
                      <w:i/>
                      <w:iCs/>
                      <w:sz w:val="20"/>
                      <w:szCs w:val="20"/>
                    </w:rPr>
                    <w:t xml:space="preserve"> in </w:t>
                  </w:r>
                  <w:proofErr w:type="spellStart"/>
                  <w:r w:rsidR="00560084" w:rsidRPr="00560084">
                    <w:rPr>
                      <w:b w:val="0"/>
                      <w:i/>
                      <w:iCs/>
                      <w:sz w:val="20"/>
                      <w:szCs w:val="20"/>
                    </w:rPr>
                    <w:t>several</w:t>
                  </w:r>
                  <w:proofErr w:type="spellEnd"/>
                  <w:r w:rsidR="00560084" w:rsidRPr="00560084">
                    <w:rPr>
                      <w:b w:val="0"/>
                      <w:i/>
                      <w:iCs/>
                      <w:sz w:val="20"/>
                      <w:szCs w:val="20"/>
                    </w:rPr>
                    <w:t xml:space="preserve"> </w:t>
                  </w:r>
                  <w:proofErr w:type="spellStart"/>
                  <w:r w:rsidR="00560084" w:rsidRPr="00560084">
                    <w:rPr>
                      <w:b w:val="0"/>
                      <w:i/>
                      <w:iCs/>
                      <w:sz w:val="20"/>
                      <w:szCs w:val="20"/>
                    </w:rPr>
                    <w:t>aspects</w:t>
                  </w:r>
                  <w:proofErr w:type="spellEnd"/>
                  <w:r w:rsidR="00560084" w:rsidRPr="00560084">
                    <w:rPr>
                      <w:b w:val="0"/>
                      <w:i/>
                      <w:iCs/>
                      <w:sz w:val="20"/>
                      <w:szCs w:val="20"/>
                    </w:rPr>
                    <w:t xml:space="preserve">, e.g. </w:t>
                  </w:r>
                  <w:proofErr w:type="spellStart"/>
                  <w:r w:rsidR="00560084" w:rsidRPr="00560084">
                    <w:rPr>
                      <w:b w:val="0"/>
                      <w:i/>
                      <w:iCs/>
                      <w:sz w:val="20"/>
                      <w:szCs w:val="20"/>
                    </w:rPr>
                    <w:t>insufficient</w:t>
                  </w:r>
                  <w:proofErr w:type="spellEnd"/>
                  <w:r w:rsidR="00560084" w:rsidRPr="00560084">
                    <w:rPr>
                      <w:b w:val="0"/>
                      <w:i/>
                      <w:iCs/>
                      <w:sz w:val="20"/>
                      <w:szCs w:val="20"/>
                    </w:rPr>
                    <w:t xml:space="preserve"> </w:t>
                  </w:r>
                  <w:proofErr w:type="spellStart"/>
                  <w:r w:rsidR="00560084" w:rsidRPr="00560084">
                    <w:rPr>
                      <w:b w:val="0"/>
                      <w:i/>
                      <w:iCs/>
                      <w:sz w:val="20"/>
                      <w:szCs w:val="20"/>
                    </w:rPr>
                    <w:t>technologies</w:t>
                  </w:r>
                  <w:proofErr w:type="spellEnd"/>
                  <w:r w:rsidR="00560084" w:rsidRPr="00560084">
                    <w:rPr>
                      <w:b w:val="0"/>
                      <w:i/>
                      <w:iCs/>
                      <w:sz w:val="20"/>
                      <w:szCs w:val="20"/>
                    </w:rPr>
                    <w:t xml:space="preserve">, </w:t>
                  </w:r>
                  <w:proofErr w:type="spellStart"/>
                  <w:r w:rsidR="00560084" w:rsidRPr="00560084">
                    <w:rPr>
                      <w:b w:val="0"/>
                      <w:i/>
                      <w:iCs/>
                      <w:sz w:val="20"/>
                      <w:szCs w:val="20"/>
                    </w:rPr>
                    <w:t>infrastructures</w:t>
                  </w:r>
                  <w:proofErr w:type="spellEnd"/>
                  <w:r w:rsidR="00560084" w:rsidRPr="00560084">
                    <w:rPr>
                      <w:b w:val="0"/>
                      <w:i/>
                      <w:iCs/>
                      <w:sz w:val="20"/>
                      <w:szCs w:val="20"/>
                    </w:rPr>
                    <w:t xml:space="preserve">, </w:t>
                  </w:r>
                  <w:proofErr w:type="spellStart"/>
                  <w:r w:rsidR="00560084" w:rsidRPr="00560084">
                    <w:rPr>
                      <w:b w:val="0"/>
                      <w:i/>
                      <w:iCs/>
                      <w:sz w:val="20"/>
                      <w:szCs w:val="20"/>
                    </w:rPr>
                    <w:t>policies</w:t>
                  </w:r>
                  <w:proofErr w:type="spellEnd"/>
                  <w:r w:rsidR="00560084" w:rsidRPr="00560084">
                    <w:rPr>
                      <w:b w:val="0"/>
                      <w:i/>
                      <w:iCs/>
                      <w:sz w:val="20"/>
                      <w:szCs w:val="20"/>
                    </w:rPr>
                    <w:t xml:space="preserve">, etc. </w:t>
                  </w:r>
                  <w:proofErr w:type="spellStart"/>
                  <w:r w:rsidR="00560084" w:rsidRPr="00560084">
                    <w:rPr>
                      <w:b w:val="0"/>
                      <w:i/>
                      <w:iCs/>
                      <w:sz w:val="20"/>
                      <w:szCs w:val="20"/>
                    </w:rPr>
                    <w:t>Recently</w:t>
                  </w:r>
                  <w:proofErr w:type="spellEnd"/>
                  <w:r w:rsidR="00560084" w:rsidRPr="00560084">
                    <w:rPr>
                      <w:b w:val="0"/>
                      <w:i/>
                      <w:iCs/>
                      <w:sz w:val="20"/>
                      <w:szCs w:val="20"/>
                    </w:rPr>
                    <w:t xml:space="preserve">, innovative </w:t>
                  </w:r>
                  <w:proofErr w:type="spellStart"/>
                  <w:r w:rsidR="00560084" w:rsidRPr="00560084">
                    <w:rPr>
                      <w:b w:val="0"/>
                      <w:i/>
                      <w:iCs/>
                      <w:sz w:val="20"/>
                      <w:szCs w:val="20"/>
                    </w:rPr>
                    <w:t>projects</w:t>
                  </w:r>
                  <w:proofErr w:type="spellEnd"/>
                  <w:r w:rsidR="00560084" w:rsidRPr="00560084">
                    <w:rPr>
                      <w:b w:val="0"/>
                      <w:i/>
                      <w:iCs/>
                      <w:sz w:val="20"/>
                      <w:szCs w:val="20"/>
                    </w:rPr>
                    <w:t xml:space="preserve"> </w:t>
                  </w:r>
                  <w:proofErr w:type="spellStart"/>
                  <w:r w:rsidR="00560084" w:rsidRPr="00560084">
                    <w:rPr>
                      <w:b w:val="0"/>
                      <w:i/>
                      <w:iCs/>
                      <w:sz w:val="20"/>
                      <w:szCs w:val="20"/>
                    </w:rPr>
                    <w:t>from</w:t>
                  </w:r>
                  <w:proofErr w:type="spellEnd"/>
                  <w:r w:rsidR="00560084" w:rsidRPr="00560084">
                    <w:rPr>
                      <w:b w:val="0"/>
                      <w:i/>
                      <w:iCs/>
                      <w:sz w:val="20"/>
                      <w:szCs w:val="20"/>
                    </w:rPr>
                    <w:t xml:space="preserve"> </w:t>
                  </w:r>
                  <w:proofErr w:type="spellStart"/>
                  <w:r w:rsidR="00560084" w:rsidRPr="00560084">
                    <w:rPr>
                      <w:b w:val="0"/>
                      <w:i/>
                      <w:iCs/>
                      <w:sz w:val="20"/>
                      <w:szCs w:val="20"/>
                    </w:rPr>
                    <w:t>several</w:t>
                  </w:r>
                  <w:proofErr w:type="spellEnd"/>
                  <w:r w:rsidR="00560084" w:rsidRPr="00560084">
                    <w:rPr>
                      <w:b w:val="0"/>
                      <w:i/>
                      <w:iCs/>
                      <w:sz w:val="20"/>
                      <w:szCs w:val="20"/>
                    </w:rPr>
                    <w:t xml:space="preserve"> Asian countries </w:t>
                  </w:r>
                  <w:proofErr w:type="spellStart"/>
                  <w:r w:rsidR="00560084" w:rsidRPr="00560084">
                    <w:rPr>
                      <w:b w:val="0"/>
                      <w:i/>
                      <w:iCs/>
                      <w:sz w:val="20"/>
                      <w:szCs w:val="20"/>
                    </w:rPr>
                    <w:t>were</w:t>
                  </w:r>
                  <w:proofErr w:type="spellEnd"/>
                  <w:r w:rsidR="00560084" w:rsidRPr="00560084">
                    <w:rPr>
                      <w:b w:val="0"/>
                      <w:i/>
                      <w:iCs/>
                      <w:sz w:val="20"/>
                      <w:szCs w:val="20"/>
                    </w:rPr>
                    <w:t xml:space="preserve"> </w:t>
                  </w:r>
                  <w:proofErr w:type="spellStart"/>
                  <w:r w:rsidR="00560084" w:rsidRPr="00560084">
                    <w:rPr>
                      <w:b w:val="0"/>
                      <w:i/>
                      <w:iCs/>
                      <w:sz w:val="20"/>
                      <w:szCs w:val="20"/>
                    </w:rPr>
                    <w:t>initiated</w:t>
                  </w:r>
                  <w:proofErr w:type="spellEnd"/>
                  <w:r w:rsidR="00560084" w:rsidRPr="00560084">
                    <w:rPr>
                      <w:b w:val="0"/>
                      <w:i/>
                      <w:iCs/>
                      <w:sz w:val="20"/>
                      <w:szCs w:val="20"/>
                    </w:rPr>
                    <w:t xml:space="preserve"> </w:t>
                  </w:r>
                  <w:proofErr w:type="spellStart"/>
                  <w:r w:rsidR="00560084" w:rsidRPr="00560084">
                    <w:rPr>
                      <w:b w:val="0"/>
                      <w:i/>
                      <w:iCs/>
                      <w:sz w:val="20"/>
                      <w:szCs w:val="20"/>
                    </w:rPr>
                    <w:t>with</w:t>
                  </w:r>
                  <w:proofErr w:type="spellEnd"/>
                  <w:r w:rsidR="00560084" w:rsidRPr="00560084">
                    <w:rPr>
                      <w:b w:val="0"/>
                      <w:i/>
                      <w:iCs/>
                      <w:sz w:val="20"/>
                      <w:szCs w:val="20"/>
                    </w:rPr>
                    <w:t xml:space="preserve"> </w:t>
                  </w:r>
                  <w:proofErr w:type="spellStart"/>
                  <w:r w:rsidR="00560084" w:rsidRPr="00560084">
                    <w:rPr>
                      <w:b w:val="0"/>
                      <w:i/>
                      <w:iCs/>
                      <w:sz w:val="20"/>
                      <w:szCs w:val="20"/>
                    </w:rPr>
                    <w:t>great</w:t>
                  </w:r>
                  <w:proofErr w:type="spellEnd"/>
                  <w:r w:rsidR="00560084" w:rsidRPr="00560084">
                    <w:rPr>
                      <w:b w:val="0"/>
                      <w:i/>
                      <w:iCs/>
                      <w:sz w:val="20"/>
                      <w:szCs w:val="20"/>
                    </w:rPr>
                    <w:t xml:space="preserve"> potential, such </w:t>
                  </w:r>
                  <w:proofErr w:type="spellStart"/>
                  <w:r w:rsidR="00560084" w:rsidRPr="00560084">
                    <w:rPr>
                      <w:b w:val="0"/>
                      <w:i/>
                      <w:iCs/>
                      <w:sz w:val="20"/>
                      <w:szCs w:val="20"/>
                    </w:rPr>
                    <w:t>as</w:t>
                  </w:r>
                  <w:proofErr w:type="spellEnd"/>
                  <w:r w:rsidR="00560084" w:rsidRPr="00560084">
                    <w:rPr>
                      <w:b w:val="0"/>
                      <w:i/>
                      <w:iCs/>
                      <w:sz w:val="20"/>
                      <w:szCs w:val="20"/>
                    </w:rPr>
                    <w:t xml:space="preserve"> </w:t>
                  </w:r>
                  <w:proofErr w:type="spellStart"/>
                  <w:r w:rsidR="00560084" w:rsidRPr="00560084">
                    <w:rPr>
                      <w:b w:val="0"/>
                      <w:i/>
                      <w:iCs/>
                      <w:sz w:val="20"/>
                      <w:szCs w:val="20"/>
                    </w:rPr>
                    <w:t>the</w:t>
                  </w:r>
                  <w:proofErr w:type="spellEnd"/>
                  <w:r w:rsidR="00560084" w:rsidRPr="00560084">
                    <w:rPr>
                      <w:b w:val="0"/>
                      <w:i/>
                      <w:iCs/>
                      <w:sz w:val="20"/>
                      <w:szCs w:val="20"/>
                    </w:rPr>
                    <w:t xml:space="preserve"> </w:t>
                  </w:r>
                  <w:proofErr w:type="spellStart"/>
                  <w:r w:rsidR="00560084" w:rsidRPr="00560084">
                    <w:rPr>
                      <w:b w:val="0"/>
                      <w:i/>
                      <w:iCs/>
                      <w:sz w:val="20"/>
                      <w:szCs w:val="20"/>
                    </w:rPr>
                    <w:t>production</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i) </w:t>
                  </w:r>
                  <w:proofErr w:type="spellStart"/>
                  <w:r w:rsidR="00560084" w:rsidRPr="00560084">
                    <w:rPr>
                      <w:b w:val="0"/>
                      <w:i/>
                      <w:iCs/>
                      <w:sz w:val="20"/>
                      <w:szCs w:val="20"/>
                    </w:rPr>
                    <w:t>biodegradable</w:t>
                  </w:r>
                  <w:proofErr w:type="spellEnd"/>
                  <w:r w:rsidR="00560084" w:rsidRPr="00560084">
                    <w:rPr>
                      <w:b w:val="0"/>
                      <w:i/>
                      <w:iCs/>
                      <w:sz w:val="20"/>
                      <w:szCs w:val="20"/>
                    </w:rPr>
                    <w:t xml:space="preserve"> </w:t>
                  </w:r>
                  <w:proofErr w:type="spellStart"/>
                  <w:r w:rsidR="00560084" w:rsidRPr="00560084">
                    <w:rPr>
                      <w:b w:val="0"/>
                      <w:i/>
                      <w:iCs/>
                      <w:sz w:val="20"/>
                      <w:szCs w:val="20"/>
                    </w:rPr>
                    <w:t>plastics</w:t>
                  </w:r>
                  <w:proofErr w:type="spellEnd"/>
                  <w:r w:rsidR="00560084" w:rsidRPr="00560084">
                    <w:rPr>
                      <w:b w:val="0"/>
                      <w:i/>
                      <w:iCs/>
                      <w:sz w:val="20"/>
                      <w:szCs w:val="20"/>
                    </w:rPr>
                    <w:t xml:space="preserve"> and </w:t>
                  </w:r>
                  <w:proofErr w:type="spellStart"/>
                  <w:r w:rsidR="00560084" w:rsidRPr="00560084">
                    <w:rPr>
                      <w:b w:val="0"/>
                      <w:i/>
                      <w:iCs/>
                      <w:sz w:val="20"/>
                      <w:szCs w:val="20"/>
                    </w:rPr>
                    <w:t>packaging</w:t>
                  </w:r>
                  <w:proofErr w:type="spellEnd"/>
                  <w:r w:rsidR="00560084" w:rsidRPr="00560084">
                    <w:rPr>
                      <w:b w:val="0"/>
                      <w:i/>
                      <w:iCs/>
                      <w:sz w:val="20"/>
                      <w:szCs w:val="20"/>
                    </w:rPr>
                    <w:t xml:space="preserve"> (Malaysia); ii) </w:t>
                  </w:r>
                  <w:proofErr w:type="spellStart"/>
                  <w:r w:rsidR="00560084" w:rsidRPr="00560084">
                    <w:rPr>
                      <w:b w:val="0"/>
                      <w:i/>
                      <w:iCs/>
                      <w:sz w:val="20"/>
                      <w:szCs w:val="20"/>
                    </w:rPr>
                    <w:t>biochar</w:t>
                  </w:r>
                  <w:proofErr w:type="spellEnd"/>
                  <w:r w:rsidR="00560084" w:rsidRPr="00560084">
                    <w:rPr>
                      <w:b w:val="0"/>
                      <w:i/>
                      <w:iCs/>
                      <w:sz w:val="20"/>
                      <w:szCs w:val="20"/>
                    </w:rPr>
                    <w:t xml:space="preserve"> (Thailand); iii) </w:t>
                  </w:r>
                  <w:proofErr w:type="spellStart"/>
                  <w:r w:rsidR="00560084" w:rsidRPr="00560084">
                    <w:rPr>
                      <w:b w:val="0"/>
                      <w:i/>
                      <w:iCs/>
                      <w:sz w:val="20"/>
                      <w:szCs w:val="20"/>
                    </w:rPr>
                    <w:t>biogas</w:t>
                  </w:r>
                  <w:proofErr w:type="spellEnd"/>
                  <w:r w:rsidR="00560084" w:rsidRPr="00560084">
                    <w:rPr>
                      <w:b w:val="0"/>
                      <w:i/>
                      <w:iCs/>
                      <w:sz w:val="20"/>
                      <w:szCs w:val="20"/>
                    </w:rPr>
                    <w:t xml:space="preserve"> (China); and iv) </w:t>
                  </w:r>
                  <w:proofErr w:type="spellStart"/>
                  <w:r w:rsidR="00560084" w:rsidRPr="00560084">
                    <w:rPr>
                      <w:b w:val="0"/>
                      <w:i/>
                      <w:iCs/>
                      <w:sz w:val="20"/>
                      <w:szCs w:val="20"/>
                    </w:rPr>
                    <w:t>compost</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w:t>
                  </w:r>
                  <w:proofErr w:type="spellStart"/>
                  <w:r w:rsidR="00560084" w:rsidRPr="00560084">
                    <w:rPr>
                      <w:b w:val="0"/>
                      <w:i/>
                      <w:iCs/>
                      <w:sz w:val="20"/>
                      <w:szCs w:val="20"/>
                    </w:rPr>
                    <w:t>organic</w:t>
                  </w:r>
                  <w:proofErr w:type="spellEnd"/>
                  <w:r w:rsidR="00560084" w:rsidRPr="00560084">
                    <w:rPr>
                      <w:b w:val="0"/>
                      <w:i/>
                      <w:iCs/>
                      <w:sz w:val="20"/>
                      <w:szCs w:val="20"/>
                    </w:rPr>
                    <w:t xml:space="preserve"> </w:t>
                  </w:r>
                  <w:proofErr w:type="spellStart"/>
                  <w:r w:rsidR="00560084" w:rsidRPr="00560084">
                    <w:rPr>
                      <w:b w:val="0"/>
                      <w:i/>
                      <w:iCs/>
                      <w:sz w:val="20"/>
                      <w:szCs w:val="20"/>
                    </w:rPr>
                    <w:t>agriculture</w:t>
                  </w:r>
                  <w:proofErr w:type="spellEnd"/>
                  <w:r w:rsidR="00560084" w:rsidRPr="00560084">
                    <w:rPr>
                      <w:b w:val="0"/>
                      <w:i/>
                      <w:iCs/>
                      <w:sz w:val="20"/>
                      <w:szCs w:val="20"/>
                    </w:rPr>
                    <w:t xml:space="preserve"> (Vietnam). In </w:t>
                  </w:r>
                  <w:proofErr w:type="spellStart"/>
                  <w:r w:rsidR="00560084" w:rsidRPr="00560084">
                    <w:rPr>
                      <w:b w:val="0"/>
                      <w:i/>
                      <w:iCs/>
                      <w:sz w:val="20"/>
                      <w:szCs w:val="20"/>
                    </w:rPr>
                    <w:t>addition</w:t>
                  </w:r>
                  <w:proofErr w:type="spellEnd"/>
                  <w:r w:rsidR="00560084" w:rsidRPr="00560084">
                    <w:rPr>
                      <w:b w:val="0"/>
                      <w:i/>
                      <w:iCs/>
                      <w:sz w:val="20"/>
                      <w:szCs w:val="20"/>
                    </w:rPr>
                    <w:t xml:space="preserve">, </w:t>
                  </w:r>
                  <w:proofErr w:type="spellStart"/>
                  <w:r w:rsidR="00560084" w:rsidRPr="00560084">
                    <w:rPr>
                      <w:b w:val="0"/>
                      <w:i/>
                      <w:iCs/>
                      <w:sz w:val="20"/>
                      <w:szCs w:val="20"/>
                    </w:rPr>
                    <w:t>the</w:t>
                  </w:r>
                  <w:proofErr w:type="spellEnd"/>
                  <w:r w:rsidR="00560084" w:rsidRPr="00560084">
                    <w:rPr>
                      <w:b w:val="0"/>
                      <w:i/>
                      <w:iCs/>
                      <w:sz w:val="20"/>
                      <w:szCs w:val="20"/>
                    </w:rPr>
                    <w:t xml:space="preserve"> possible </w:t>
                  </w:r>
                  <w:proofErr w:type="spellStart"/>
                  <w:r w:rsidR="00560084" w:rsidRPr="00560084">
                    <w:rPr>
                      <w:b w:val="0"/>
                      <w:i/>
                      <w:iCs/>
                      <w:sz w:val="20"/>
                      <w:szCs w:val="20"/>
                    </w:rPr>
                    <w:t>exploitation</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shells</w:t>
                  </w:r>
                  <w:proofErr w:type="spellEnd"/>
                  <w:r w:rsidR="00560084" w:rsidRPr="00560084">
                    <w:rPr>
                      <w:b w:val="0"/>
                      <w:i/>
                      <w:iCs/>
                      <w:sz w:val="20"/>
                      <w:szCs w:val="20"/>
                    </w:rPr>
                    <w:t xml:space="preserve"> in </w:t>
                  </w:r>
                  <w:proofErr w:type="spellStart"/>
                  <w:r w:rsidR="00560084" w:rsidRPr="00560084">
                    <w:rPr>
                      <w:b w:val="0"/>
                      <w:i/>
                      <w:iCs/>
                      <w:sz w:val="20"/>
                      <w:szCs w:val="20"/>
                    </w:rPr>
                    <w:t>other</w:t>
                  </w:r>
                  <w:proofErr w:type="spellEnd"/>
                  <w:r w:rsidR="00560084" w:rsidRPr="00560084">
                    <w:rPr>
                      <w:b w:val="0"/>
                      <w:i/>
                      <w:iCs/>
                      <w:sz w:val="20"/>
                      <w:szCs w:val="20"/>
                    </w:rPr>
                    <w:t xml:space="preserve"> </w:t>
                  </w:r>
                  <w:proofErr w:type="spellStart"/>
                  <w:r w:rsidR="00560084" w:rsidRPr="00560084">
                    <w:rPr>
                      <w:b w:val="0"/>
                      <w:i/>
                      <w:iCs/>
                      <w:sz w:val="20"/>
                      <w:szCs w:val="20"/>
                    </w:rPr>
                    <w:t>industries</w:t>
                  </w:r>
                  <w:proofErr w:type="spellEnd"/>
                  <w:r w:rsidR="00560084" w:rsidRPr="00560084">
                    <w:rPr>
                      <w:b w:val="0"/>
                      <w:i/>
                      <w:iCs/>
                      <w:sz w:val="20"/>
                      <w:szCs w:val="20"/>
                    </w:rPr>
                    <w:t xml:space="preserve">, such </w:t>
                  </w:r>
                  <w:proofErr w:type="spellStart"/>
                  <w:r w:rsidR="00560084" w:rsidRPr="00560084">
                    <w:rPr>
                      <w:b w:val="0"/>
                      <w:i/>
                      <w:iCs/>
                      <w:sz w:val="20"/>
                      <w:szCs w:val="20"/>
                    </w:rPr>
                    <w:t>as</w:t>
                  </w:r>
                  <w:proofErr w:type="spellEnd"/>
                  <w:r w:rsidR="00560084" w:rsidRPr="00560084">
                    <w:rPr>
                      <w:b w:val="0"/>
                      <w:i/>
                      <w:iCs/>
                      <w:sz w:val="20"/>
                      <w:szCs w:val="20"/>
                    </w:rPr>
                    <w:t xml:space="preserve"> </w:t>
                  </w:r>
                  <w:proofErr w:type="spellStart"/>
                  <w:r w:rsidR="00560084" w:rsidRPr="00560084">
                    <w:rPr>
                      <w:b w:val="0"/>
                      <w:i/>
                      <w:iCs/>
                      <w:sz w:val="20"/>
                      <w:szCs w:val="20"/>
                    </w:rPr>
                    <w:t>nutraceuticals</w:t>
                  </w:r>
                  <w:proofErr w:type="spellEnd"/>
                  <w:r w:rsidR="00560084" w:rsidRPr="00560084">
                    <w:rPr>
                      <w:b w:val="0"/>
                      <w:i/>
                      <w:iCs/>
                      <w:sz w:val="20"/>
                      <w:szCs w:val="20"/>
                    </w:rPr>
                    <w:t xml:space="preserve">, </w:t>
                  </w:r>
                  <w:proofErr w:type="spellStart"/>
                  <w:r w:rsidR="00560084" w:rsidRPr="00560084">
                    <w:rPr>
                      <w:b w:val="0"/>
                      <w:i/>
                      <w:iCs/>
                      <w:sz w:val="20"/>
                      <w:szCs w:val="20"/>
                    </w:rPr>
                    <w:t>pharmaceuticals</w:t>
                  </w:r>
                  <w:proofErr w:type="spellEnd"/>
                  <w:r w:rsidR="00560084" w:rsidRPr="00560084">
                    <w:rPr>
                      <w:b w:val="0"/>
                      <w:i/>
                      <w:iCs/>
                      <w:sz w:val="20"/>
                      <w:szCs w:val="20"/>
                    </w:rPr>
                    <w:t xml:space="preserve">, </w:t>
                  </w:r>
                  <w:proofErr w:type="spellStart"/>
                  <w:r w:rsidR="00560084" w:rsidRPr="00560084">
                    <w:rPr>
                      <w:b w:val="0"/>
                      <w:i/>
                      <w:iCs/>
                      <w:sz w:val="20"/>
                      <w:szCs w:val="20"/>
                    </w:rPr>
                    <w:t>chemical</w:t>
                  </w:r>
                  <w:proofErr w:type="spellEnd"/>
                  <w:r w:rsidR="00560084" w:rsidRPr="00560084">
                    <w:rPr>
                      <w:b w:val="0"/>
                      <w:i/>
                      <w:iCs/>
                      <w:sz w:val="20"/>
                      <w:szCs w:val="20"/>
                    </w:rPr>
                    <w:t xml:space="preserve">, etc. was also </w:t>
                  </w:r>
                  <w:proofErr w:type="spellStart"/>
                  <w:r w:rsidR="00560084" w:rsidRPr="00560084">
                    <w:rPr>
                      <w:b w:val="0"/>
                      <w:i/>
                      <w:iCs/>
                      <w:sz w:val="20"/>
                      <w:szCs w:val="20"/>
                    </w:rPr>
                    <w:t>highlighted</w:t>
                  </w:r>
                  <w:proofErr w:type="spellEnd"/>
                  <w:r w:rsidR="00560084" w:rsidRPr="00560084">
                    <w:rPr>
                      <w:b w:val="0"/>
                      <w:i/>
                      <w:iCs/>
                      <w:sz w:val="20"/>
                      <w:szCs w:val="20"/>
                    </w:rPr>
                    <w:t xml:space="preserve">. This review </w:t>
                  </w:r>
                  <w:proofErr w:type="spellStart"/>
                  <w:r w:rsidR="00560084" w:rsidRPr="00560084">
                    <w:rPr>
                      <w:b w:val="0"/>
                      <w:i/>
                      <w:iCs/>
                      <w:sz w:val="20"/>
                      <w:szCs w:val="20"/>
                    </w:rPr>
                    <w:t>contributed</w:t>
                  </w:r>
                  <w:proofErr w:type="spellEnd"/>
                  <w:r w:rsidR="00560084" w:rsidRPr="00560084">
                    <w:rPr>
                      <w:b w:val="0"/>
                      <w:i/>
                      <w:iCs/>
                      <w:sz w:val="20"/>
                      <w:szCs w:val="20"/>
                    </w:rPr>
                    <w:t xml:space="preserve"> </w:t>
                  </w:r>
                  <w:proofErr w:type="spellStart"/>
                  <w:r w:rsidR="00560084" w:rsidRPr="00560084">
                    <w:rPr>
                      <w:b w:val="0"/>
                      <w:i/>
                      <w:iCs/>
                      <w:sz w:val="20"/>
                      <w:szCs w:val="20"/>
                    </w:rPr>
                    <w:t>important</w:t>
                  </w:r>
                  <w:proofErr w:type="spellEnd"/>
                  <w:r w:rsidR="00560084" w:rsidRPr="00560084">
                    <w:rPr>
                      <w:b w:val="0"/>
                      <w:i/>
                      <w:iCs/>
                      <w:sz w:val="20"/>
                      <w:szCs w:val="20"/>
                    </w:rPr>
                    <w:t xml:space="preserve"> </w:t>
                  </w:r>
                  <w:proofErr w:type="spellStart"/>
                  <w:r w:rsidR="00560084" w:rsidRPr="00560084">
                    <w:rPr>
                      <w:b w:val="0"/>
                      <w:i/>
                      <w:iCs/>
                      <w:sz w:val="20"/>
                      <w:szCs w:val="20"/>
                    </w:rPr>
                    <w:t>information</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w:t>
                  </w:r>
                  <w:proofErr w:type="spellStart"/>
                  <w:r w:rsidR="00560084" w:rsidRPr="00560084">
                    <w:rPr>
                      <w:b w:val="0"/>
                      <w:i/>
                      <w:iCs/>
                      <w:sz w:val="20"/>
                      <w:szCs w:val="20"/>
                    </w:rPr>
                    <w:t>better</w:t>
                  </w:r>
                  <w:proofErr w:type="spellEnd"/>
                  <w:r w:rsidR="00560084" w:rsidRPr="00560084">
                    <w:rPr>
                      <w:b w:val="0"/>
                      <w:i/>
                      <w:iCs/>
                      <w:sz w:val="20"/>
                      <w:szCs w:val="20"/>
                    </w:rPr>
                    <w:t xml:space="preserve"> </w:t>
                  </w:r>
                  <w:proofErr w:type="spellStart"/>
                  <w:r w:rsidR="00560084" w:rsidRPr="00560084">
                    <w:rPr>
                      <w:b w:val="0"/>
                      <w:i/>
                      <w:iCs/>
                      <w:sz w:val="20"/>
                      <w:szCs w:val="20"/>
                    </w:rPr>
                    <w:t>choices</w:t>
                  </w:r>
                  <w:proofErr w:type="spellEnd"/>
                  <w:r w:rsidR="00560084" w:rsidRPr="00560084">
                    <w:rPr>
                      <w:b w:val="0"/>
                      <w:i/>
                      <w:iCs/>
                      <w:sz w:val="20"/>
                      <w:szCs w:val="20"/>
                    </w:rPr>
                    <w:t xml:space="preserve"> and </w:t>
                  </w:r>
                  <w:proofErr w:type="spellStart"/>
                  <w:r w:rsidR="00560084" w:rsidRPr="00560084">
                    <w:rPr>
                      <w:b w:val="0"/>
                      <w:i/>
                      <w:iCs/>
                      <w:sz w:val="20"/>
                      <w:szCs w:val="20"/>
                    </w:rPr>
                    <w:t>requirements</w:t>
                  </w:r>
                  <w:proofErr w:type="spellEnd"/>
                  <w:r w:rsidR="00560084" w:rsidRPr="00560084">
                    <w:rPr>
                      <w:b w:val="0"/>
                      <w:i/>
                      <w:iCs/>
                      <w:sz w:val="20"/>
                      <w:szCs w:val="20"/>
                    </w:rPr>
                    <w:t xml:space="preserve"> in </w:t>
                  </w:r>
                  <w:proofErr w:type="spellStart"/>
                  <w:r w:rsidR="00560084" w:rsidRPr="00560084">
                    <w:rPr>
                      <w:b w:val="0"/>
                      <w:i/>
                      <w:iCs/>
                      <w:sz w:val="20"/>
                      <w:szCs w:val="20"/>
                    </w:rPr>
                    <w:t>research</w:t>
                  </w:r>
                  <w:proofErr w:type="spellEnd"/>
                  <w:r w:rsidR="00560084" w:rsidRPr="00560084">
                    <w:rPr>
                      <w:b w:val="0"/>
                      <w:i/>
                      <w:iCs/>
                      <w:sz w:val="20"/>
                      <w:szCs w:val="20"/>
                    </w:rPr>
                    <w:t xml:space="preserve"> and </w:t>
                  </w:r>
                  <w:proofErr w:type="spellStart"/>
                  <w:r w:rsidR="00560084" w:rsidRPr="00560084">
                    <w:rPr>
                      <w:b w:val="0"/>
                      <w:i/>
                      <w:iCs/>
                      <w:sz w:val="20"/>
                      <w:szCs w:val="20"/>
                    </w:rPr>
                    <w:t>product</w:t>
                  </w:r>
                  <w:proofErr w:type="spellEnd"/>
                  <w:r w:rsidR="00560084" w:rsidRPr="00560084">
                    <w:rPr>
                      <w:b w:val="0"/>
                      <w:i/>
                      <w:iCs/>
                      <w:sz w:val="20"/>
                      <w:szCs w:val="20"/>
                    </w:rPr>
                    <w:t xml:space="preserve"> </w:t>
                  </w:r>
                  <w:proofErr w:type="spellStart"/>
                  <w:r w:rsidR="00560084" w:rsidRPr="00560084">
                    <w:rPr>
                      <w:b w:val="0"/>
                      <w:i/>
                      <w:iCs/>
                      <w:sz w:val="20"/>
                      <w:szCs w:val="20"/>
                    </w:rPr>
                    <w:t>development</w:t>
                  </w:r>
                  <w:proofErr w:type="spellEnd"/>
                  <w:r w:rsidR="00560084" w:rsidRPr="00560084">
                    <w:rPr>
                      <w:b w:val="0"/>
                      <w:i/>
                      <w:iCs/>
                      <w:sz w:val="20"/>
                      <w:szCs w:val="20"/>
                    </w:rPr>
                    <w:t xml:space="preserve"> </w:t>
                  </w:r>
                  <w:proofErr w:type="spellStart"/>
                  <w:r w:rsidR="00560084" w:rsidRPr="00560084">
                    <w:rPr>
                      <w:b w:val="0"/>
                      <w:i/>
                      <w:iCs/>
                      <w:sz w:val="20"/>
                      <w:szCs w:val="20"/>
                    </w:rPr>
                    <w:t>of</w:t>
                  </w:r>
                  <w:proofErr w:type="spellEnd"/>
                  <w:r w:rsidR="00560084" w:rsidRPr="00560084">
                    <w:rPr>
                      <w:b w:val="0"/>
                      <w:i/>
                      <w:iCs/>
                      <w:sz w:val="20"/>
                      <w:szCs w:val="20"/>
                    </w:rPr>
                    <w:t xml:space="preserve"> </w:t>
                  </w:r>
                  <w:proofErr w:type="spellStart"/>
                  <w:r w:rsidR="00560084" w:rsidRPr="00560084">
                    <w:rPr>
                      <w:b w:val="0"/>
                      <w:i/>
                      <w:iCs/>
                      <w:sz w:val="20"/>
                      <w:szCs w:val="20"/>
                    </w:rPr>
                    <w:t>durian</w:t>
                  </w:r>
                  <w:proofErr w:type="spellEnd"/>
                  <w:r w:rsidR="00560084" w:rsidRPr="00560084">
                    <w:rPr>
                      <w:b w:val="0"/>
                      <w:i/>
                      <w:iCs/>
                      <w:sz w:val="20"/>
                      <w:szCs w:val="20"/>
                    </w:rPr>
                    <w:t xml:space="preserve"> </w:t>
                  </w:r>
                  <w:proofErr w:type="spellStart"/>
                  <w:r w:rsidR="00560084" w:rsidRPr="00560084">
                    <w:rPr>
                      <w:b w:val="0"/>
                      <w:i/>
                      <w:iCs/>
                      <w:sz w:val="20"/>
                      <w:szCs w:val="20"/>
                    </w:rPr>
                    <w:t>shells</w:t>
                  </w:r>
                  <w:proofErr w:type="spellEnd"/>
                  <w:r w:rsidR="00560084" w:rsidRPr="00560084">
                    <w:rPr>
                      <w:b w:val="0"/>
                      <w:i/>
                      <w:iCs/>
                      <w:sz w:val="20"/>
                      <w:szCs w:val="20"/>
                    </w:rPr>
                    <w:t xml:space="preserve"> </w:t>
                  </w:r>
                  <w:proofErr w:type="spellStart"/>
                  <w:r w:rsidR="00560084" w:rsidRPr="00560084">
                    <w:rPr>
                      <w:b w:val="0"/>
                      <w:i/>
                      <w:iCs/>
                      <w:sz w:val="20"/>
                      <w:szCs w:val="20"/>
                    </w:rPr>
                    <w:t>for</w:t>
                  </w:r>
                  <w:proofErr w:type="spellEnd"/>
                  <w:r w:rsidR="00560084" w:rsidRPr="00560084">
                    <w:rPr>
                      <w:b w:val="0"/>
                      <w:i/>
                      <w:iCs/>
                      <w:sz w:val="20"/>
                      <w:szCs w:val="20"/>
                    </w:rPr>
                    <w:t xml:space="preserve"> a </w:t>
                  </w:r>
                  <w:proofErr w:type="spellStart"/>
                  <w:r w:rsidR="00560084" w:rsidRPr="00560084">
                    <w:rPr>
                      <w:b w:val="0"/>
                      <w:i/>
                      <w:iCs/>
                      <w:sz w:val="20"/>
                      <w:szCs w:val="20"/>
                    </w:rPr>
                    <w:t>greater</w:t>
                  </w:r>
                  <w:proofErr w:type="spellEnd"/>
                  <w:r w:rsidR="00560084" w:rsidRPr="00560084">
                    <w:rPr>
                      <w:b w:val="0"/>
                      <w:i/>
                      <w:iCs/>
                      <w:sz w:val="20"/>
                      <w:szCs w:val="20"/>
                    </w:rPr>
                    <w:t xml:space="preserve"> </w:t>
                  </w:r>
                  <w:proofErr w:type="spellStart"/>
                  <w:r w:rsidR="00560084" w:rsidRPr="00560084">
                    <w:rPr>
                      <w:b w:val="0"/>
                      <w:i/>
                      <w:iCs/>
                      <w:sz w:val="20"/>
                      <w:szCs w:val="20"/>
                    </w:rPr>
                    <w:t>contribution</w:t>
                  </w:r>
                  <w:proofErr w:type="spellEnd"/>
                  <w:r w:rsidR="00560084" w:rsidRPr="00560084">
                    <w:rPr>
                      <w:b w:val="0"/>
                      <w:i/>
                      <w:iCs/>
                      <w:sz w:val="20"/>
                      <w:szCs w:val="20"/>
                    </w:rPr>
                    <w:t xml:space="preserve"> </w:t>
                  </w:r>
                  <w:proofErr w:type="spellStart"/>
                  <w:r w:rsidR="00560084" w:rsidRPr="00560084">
                    <w:rPr>
                      <w:b w:val="0"/>
                      <w:i/>
                      <w:iCs/>
                      <w:sz w:val="20"/>
                      <w:szCs w:val="20"/>
                    </w:rPr>
                    <w:t>to</w:t>
                  </w:r>
                  <w:proofErr w:type="spellEnd"/>
                  <w:r w:rsidR="00560084" w:rsidRPr="00560084">
                    <w:rPr>
                      <w:b w:val="0"/>
                      <w:i/>
                      <w:iCs/>
                      <w:sz w:val="20"/>
                      <w:szCs w:val="20"/>
                    </w:rPr>
                    <w:t xml:space="preserve"> </w:t>
                  </w:r>
                  <w:proofErr w:type="spellStart"/>
                  <w:r w:rsidR="00560084" w:rsidRPr="00560084">
                    <w:rPr>
                      <w:b w:val="0"/>
                      <w:i/>
                      <w:iCs/>
                      <w:sz w:val="20"/>
                      <w:szCs w:val="20"/>
                    </w:rPr>
                    <w:t>sustainability</w:t>
                  </w:r>
                  <w:proofErr w:type="spellEnd"/>
                  <w:r w:rsidR="00560084" w:rsidRPr="00560084">
                    <w:rPr>
                      <w:b w:val="0"/>
                      <w:i/>
                      <w:iCs/>
                      <w:sz w:val="20"/>
                      <w:szCs w:val="20"/>
                    </w:rPr>
                    <w:t xml:space="preserve"> and </w:t>
                  </w:r>
                  <w:proofErr w:type="spellStart"/>
                  <w:r w:rsidR="00560084" w:rsidRPr="00560084">
                    <w:rPr>
                      <w:b w:val="0"/>
                      <w:i/>
                      <w:iCs/>
                      <w:sz w:val="20"/>
                      <w:szCs w:val="20"/>
                    </w:rPr>
                    <w:t>waste</w:t>
                  </w:r>
                  <w:proofErr w:type="spellEnd"/>
                  <w:r w:rsidR="00560084" w:rsidRPr="00560084">
                    <w:rPr>
                      <w:b w:val="0"/>
                      <w:i/>
                      <w:iCs/>
                      <w:sz w:val="20"/>
                      <w:szCs w:val="20"/>
                    </w:rPr>
                    <w:t xml:space="preserve"> </w:t>
                  </w:r>
                  <w:proofErr w:type="spellStart"/>
                  <w:r w:rsidR="00560084" w:rsidRPr="00560084">
                    <w:rPr>
                      <w:b w:val="0"/>
                      <w:i/>
                      <w:iCs/>
                      <w:sz w:val="20"/>
                      <w:szCs w:val="20"/>
                    </w:rPr>
                    <w:t>reduction</w:t>
                  </w:r>
                  <w:proofErr w:type="spellEnd"/>
                  <w:r w:rsidR="00560084" w:rsidRPr="00560084">
                    <w:rPr>
                      <w:b w:val="0"/>
                      <w:i/>
                      <w:iCs/>
                      <w:sz w:val="20"/>
                      <w:szCs w:val="20"/>
                    </w:rPr>
                    <w:t xml:space="preserve"> in Vietnam</w:t>
                  </w:r>
                  <w:r w:rsidR="00560084">
                    <w:rPr>
                      <w:b w:val="0"/>
                      <w:i/>
                      <w:iCs/>
                      <w:sz w:val="20"/>
                      <w:szCs w:val="20"/>
                      <w:lang w:val="vi-VN"/>
                    </w:rPr>
                    <w:t>.</w:t>
                  </w:r>
                </w:p>
                <w:p w14:paraId="7A20D07E" w14:textId="77777777" w:rsidR="00560084" w:rsidRDefault="00560084" w:rsidP="00FD4499">
                  <w:pPr>
                    <w:rPr>
                      <w:b/>
                      <w:bCs/>
                      <w:i/>
                      <w:iCs/>
                      <w:sz w:val="20"/>
                      <w:szCs w:val="20"/>
                      <w:lang w:val="vi-VN"/>
                    </w:rPr>
                  </w:pPr>
                </w:p>
                <w:p w14:paraId="57EB69A8" w14:textId="77777777" w:rsidR="007B62F3" w:rsidRPr="00FD4499" w:rsidRDefault="007B62F3" w:rsidP="00FD4499">
                  <w:r w:rsidRPr="00B26C1C">
                    <w:rPr>
                      <w:b/>
                      <w:bCs/>
                      <w:i/>
                      <w:iCs/>
                      <w:sz w:val="20"/>
                      <w:szCs w:val="20"/>
                      <w:lang w:val="en-US"/>
                    </w:rPr>
                    <w:t>KEY W</w:t>
                  </w:r>
                  <w:r w:rsidR="00560084">
                    <w:rPr>
                      <w:b/>
                      <w:bCs/>
                      <w:i/>
                      <w:iCs/>
                      <w:sz w:val="20"/>
                      <w:szCs w:val="20"/>
                      <w:lang w:val="vi-VN"/>
                    </w:rPr>
                    <w:t>O</w:t>
                  </w:r>
                  <w:proofErr w:type="spellStart"/>
                  <w:r w:rsidRPr="00B26C1C">
                    <w:rPr>
                      <w:b/>
                      <w:bCs/>
                      <w:i/>
                      <w:iCs/>
                      <w:sz w:val="20"/>
                      <w:szCs w:val="20"/>
                      <w:lang w:val="en-US"/>
                    </w:rPr>
                    <w:t>RDS</w:t>
                  </w:r>
                  <w:proofErr w:type="spellEnd"/>
                  <w:r w:rsidRPr="00B26C1C">
                    <w:rPr>
                      <w:b/>
                      <w:bCs/>
                      <w:i/>
                      <w:iCs/>
                      <w:sz w:val="20"/>
                      <w:szCs w:val="20"/>
                      <w:lang w:val="en-US"/>
                    </w:rPr>
                    <w:t>:</w:t>
                  </w:r>
                  <w:r w:rsidR="00FC605A" w:rsidRPr="00FC605A">
                    <w:rPr>
                      <w:b/>
                      <w:i/>
                      <w:color w:val="FF0000"/>
                      <w:sz w:val="20"/>
                      <w:szCs w:val="20"/>
                    </w:rPr>
                    <w:t xml:space="preserve"> </w:t>
                  </w:r>
                  <w:proofErr w:type="spellStart"/>
                  <w:r w:rsidR="00560084" w:rsidRPr="00560084">
                    <w:rPr>
                      <w:i/>
                      <w:iCs/>
                      <w:sz w:val="20"/>
                      <w:szCs w:val="20"/>
                      <w:lang w:val="en-US"/>
                    </w:rPr>
                    <w:t>Durio</w:t>
                  </w:r>
                  <w:proofErr w:type="spellEnd"/>
                  <w:r w:rsidR="00560084" w:rsidRPr="00560084">
                    <w:rPr>
                      <w:i/>
                      <w:iCs/>
                      <w:sz w:val="20"/>
                      <w:szCs w:val="20"/>
                      <w:lang w:val="en-US"/>
                    </w:rPr>
                    <w:t xml:space="preserve"> spp., durian shell, </w:t>
                  </w:r>
                  <w:proofErr w:type="spellStart"/>
                  <w:r w:rsidR="00560084" w:rsidRPr="00560084">
                    <w:rPr>
                      <w:i/>
                      <w:iCs/>
                      <w:sz w:val="20"/>
                      <w:szCs w:val="20"/>
                      <w:lang w:val="en-US"/>
                    </w:rPr>
                    <w:t>utilisation</w:t>
                  </w:r>
                  <w:proofErr w:type="spellEnd"/>
                  <w:r w:rsidR="00560084" w:rsidRPr="00560084">
                    <w:rPr>
                      <w:i/>
                      <w:iCs/>
                      <w:sz w:val="20"/>
                      <w:szCs w:val="20"/>
                      <w:lang w:val="en-US"/>
                    </w:rPr>
                    <w:t>, recycling</w:t>
                  </w:r>
                </w:p>
              </w:txbxContent>
            </v:textbox>
          </v:roundrect>
        </w:pict>
      </w:r>
    </w:p>
    <w:p w14:paraId="5AE899FD" w14:textId="77777777" w:rsidR="000D7C31" w:rsidRPr="00AC045F" w:rsidRDefault="000D7C31" w:rsidP="00A730AA">
      <w:pPr>
        <w:pStyle w:val="AbstractLiteratur"/>
        <w:spacing w:before="0" w:after="0" w:line="240" w:lineRule="auto"/>
        <w:jc w:val="both"/>
        <w:rPr>
          <w:i/>
          <w:iCs/>
          <w:sz w:val="20"/>
          <w:szCs w:val="20"/>
          <w:lang w:val="en-US"/>
        </w:rPr>
      </w:pPr>
    </w:p>
    <w:p w14:paraId="286860C5" w14:textId="77777777" w:rsidR="000D7C31" w:rsidRPr="00AC045F" w:rsidRDefault="000D7C31" w:rsidP="00A730AA">
      <w:pPr>
        <w:pStyle w:val="AbstractLiteratur"/>
        <w:spacing w:before="0" w:after="0" w:line="240" w:lineRule="auto"/>
        <w:jc w:val="both"/>
        <w:rPr>
          <w:i/>
          <w:iCs/>
          <w:sz w:val="20"/>
          <w:szCs w:val="20"/>
          <w:lang w:val="en-US"/>
        </w:rPr>
      </w:pPr>
    </w:p>
    <w:p w14:paraId="47552195" w14:textId="77777777" w:rsidR="000D7C31" w:rsidRPr="00AC045F" w:rsidRDefault="000D7C31" w:rsidP="00A730AA">
      <w:pPr>
        <w:pStyle w:val="AbstractLiteratur"/>
        <w:spacing w:before="0" w:after="0" w:line="240" w:lineRule="auto"/>
        <w:jc w:val="both"/>
        <w:rPr>
          <w:i/>
          <w:iCs/>
          <w:sz w:val="20"/>
          <w:szCs w:val="20"/>
          <w:lang w:val="en-US"/>
        </w:rPr>
      </w:pPr>
    </w:p>
    <w:p w14:paraId="27F63DED" w14:textId="77777777" w:rsidR="000D7C31" w:rsidRPr="00AC045F" w:rsidRDefault="000D7C31" w:rsidP="00A730AA">
      <w:pPr>
        <w:pStyle w:val="AbstractLiteratur"/>
        <w:spacing w:before="0" w:after="0" w:line="240" w:lineRule="auto"/>
        <w:jc w:val="both"/>
        <w:rPr>
          <w:i/>
          <w:iCs/>
          <w:sz w:val="20"/>
          <w:szCs w:val="20"/>
          <w:lang w:val="en-US"/>
        </w:rPr>
      </w:pPr>
    </w:p>
    <w:p w14:paraId="2CB27D0C" w14:textId="77777777" w:rsidR="000D7C31" w:rsidRPr="00AC045F" w:rsidRDefault="000D7C31" w:rsidP="00A730AA">
      <w:pPr>
        <w:pStyle w:val="AbstractLiteratur"/>
        <w:spacing w:before="0" w:after="0" w:line="240" w:lineRule="auto"/>
        <w:jc w:val="both"/>
        <w:rPr>
          <w:i/>
          <w:iCs/>
          <w:sz w:val="20"/>
          <w:szCs w:val="20"/>
          <w:lang w:val="en-US"/>
        </w:rPr>
      </w:pPr>
    </w:p>
    <w:p w14:paraId="567407EE" w14:textId="77777777" w:rsidR="000D7C31" w:rsidRPr="00AC045F" w:rsidRDefault="000D7C31" w:rsidP="00A730AA">
      <w:pPr>
        <w:pStyle w:val="AbstractLiteratur"/>
        <w:spacing w:before="0" w:after="0" w:line="240" w:lineRule="auto"/>
        <w:jc w:val="both"/>
        <w:rPr>
          <w:i/>
          <w:iCs/>
          <w:sz w:val="20"/>
          <w:szCs w:val="20"/>
          <w:lang w:val="en-US"/>
        </w:rPr>
      </w:pPr>
    </w:p>
    <w:p w14:paraId="3C6115BF" w14:textId="77777777" w:rsidR="000D7C31" w:rsidRPr="00AC045F" w:rsidRDefault="000D7C31" w:rsidP="00A730AA">
      <w:pPr>
        <w:pStyle w:val="AbstractLiteratur"/>
        <w:spacing w:before="0" w:after="0" w:line="240" w:lineRule="auto"/>
        <w:jc w:val="both"/>
        <w:rPr>
          <w:i/>
          <w:iCs/>
          <w:sz w:val="20"/>
          <w:szCs w:val="20"/>
          <w:lang w:val="en-US"/>
        </w:rPr>
      </w:pPr>
    </w:p>
    <w:p w14:paraId="738C0385" w14:textId="77777777" w:rsidR="000D7C31" w:rsidRPr="00AC045F" w:rsidRDefault="000D7C31" w:rsidP="00A730AA">
      <w:pPr>
        <w:pStyle w:val="AbstractLiteratur"/>
        <w:spacing w:before="0" w:after="0" w:line="240" w:lineRule="auto"/>
        <w:jc w:val="both"/>
        <w:rPr>
          <w:i/>
          <w:iCs/>
          <w:sz w:val="20"/>
          <w:szCs w:val="20"/>
          <w:lang w:val="en-US"/>
        </w:rPr>
      </w:pPr>
    </w:p>
    <w:p w14:paraId="5D6FFBED" w14:textId="77777777" w:rsidR="000D7C31" w:rsidRPr="00AC045F" w:rsidRDefault="000D7C31" w:rsidP="00A730AA">
      <w:pPr>
        <w:pStyle w:val="AbstractLiteratur"/>
        <w:spacing w:before="0" w:after="0" w:line="240" w:lineRule="auto"/>
        <w:jc w:val="both"/>
        <w:rPr>
          <w:i/>
          <w:iCs/>
          <w:sz w:val="20"/>
          <w:szCs w:val="20"/>
          <w:lang w:val="en-US"/>
        </w:rPr>
      </w:pPr>
    </w:p>
    <w:p w14:paraId="2C20A19E" w14:textId="77777777" w:rsidR="000D7C31" w:rsidRPr="00AC045F" w:rsidRDefault="000D7C31" w:rsidP="00A730AA">
      <w:pPr>
        <w:pStyle w:val="AbstractLiteratur"/>
        <w:spacing w:before="0" w:after="0" w:line="240" w:lineRule="auto"/>
        <w:jc w:val="both"/>
        <w:rPr>
          <w:i/>
          <w:iCs/>
          <w:sz w:val="20"/>
          <w:szCs w:val="20"/>
          <w:lang w:val="en-US"/>
        </w:rPr>
      </w:pPr>
    </w:p>
    <w:p w14:paraId="7AE5012A" w14:textId="77777777" w:rsidR="000D7C31" w:rsidRPr="00AC045F" w:rsidRDefault="000D7C31" w:rsidP="00A730AA">
      <w:pPr>
        <w:pStyle w:val="AbstractLiteratur"/>
        <w:spacing w:before="0" w:after="0" w:line="240" w:lineRule="auto"/>
        <w:jc w:val="both"/>
        <w:rPr>
          <w:i/>
          <w:iCs/>
          <w:sz w:val="20"/>
          <w:szCs w:val="20"/>
          <w:lang w:val="en-US"/>
        </w:rPr>
      </w:pPr>
    </w:p>
    <w:p w14:paraId="3E6A8F23" w14:textId="77777777" w:rsidR="000D7C31" w:rsidRPr="00AC045F" w:rsidRDefault="000D7C31" w:rsidP="00A730AA">
      <w:pPr>
        <w:pStyle w:val="AbstractLiteratur"/>
        <w:spacing w:before="0" w:after="0" w:line="240" w:lineRule="auto"/>
        <w:jc w:val="both"/>
        <w:rPr>
          <w:i/>
          <w:iCs/>
          <w:sz w:val="20"/>
          <w:szCs w:val="20"/>
          <w:lang w:val="en-US"/>
        </w:rPr>
      </w:pPr>
    </w:p>
    <w:p w14:paraId="1901F454" w14:textId="77777777" w:rsidR="000D7C31" w:rsidRPr="00AC045F" w:rsidRDefault="000D7C31" w:rsidP="00A730AA">
      <w:pPr>
        <w:pStyle w:val="AbstractLiteratur"/>
        <w:spacing w:before="0" w:after="0" w:line="240" w:lineRule="auto"/>
        <w:jc w:val="both"/>
        <w:rPr>
          <w:i/>
          <w:iCs/>
          <w:sz w:val="20"/>
          <w:szCs w:val="20"/>
          <w:lang w:val="en-US"/>
        </w:rPr>
      </w:pPr>
    </w:p>
    <w:p w14:paraId="7B070058" w14:textId="77777777" w:rsidR="000D7C31" w:rsidRPr="00AC045F" w:rsidRDefault="000D7C31" w:rsidP="00A730AA">
      <w:pPr>
        <w:pStyle w:val="AbstractLiteratur"/>
        <w:spacing w:before="0" w:after="0" w:line="240" w:lineRule="auto"/>
        <w:jc w:val="both"/>
        <w:rPr>
          <w:i/>
          <w:iCs/>
          <w:sz w:val="20"/>
          <w:szCs w:val="20"/>
          <w:lang w:val="en-US"/>
        </w:rPr>
      </w:pPr>
    </w:p>
    <w:p w14:paraId="56A53B42" w14:textId="77777777" w:rsidR="000D7C31" w:rsidRPr="00AC045F" w:rsidRDefault="000D7C31" w:rsidP="00A730AA">
      <w:pPr>
        <w:pStyle w:val="AbstractLiteratur"/>
        <w:spacing w:before="0" w:after="0" w:line="240" w:lineRule="auto"/>
        <w:jc w:val="both"/>
        <w:rPr>
          <w:i/>
          <w:iCs/>
          <w:sz w:val="20"/>
          <w:szCs w:val="20"/>
          <w:lang w:val="en-US"/>
        </w:rPr>
      </w:pPr>
    </w:p>
    <w:p w14:paraId="1BDF4698" w14:textId="77777777" w:rsidR="000D7C31" w:rsidRPr="00AC045F" w:rsidRDefault="000D7C31" w:rsidP="00A730AA">
      <w:pPr>
        <w:pStyle w:val="AbstractLiteratur"/>
        <w:spacing w:before="0" w:after="0" w:line="240" w:lineRule="auto"/>
        <w:jc w:val="both"/>
        <w:rPr>
          <w:i/>
          <w:iCs/>
          <w:sz w:val="20"/>
          <w:szCs w:val="20"/>
          <w:lang w:val="en-US"/>
        </w:rPr>
      </w:pPr>
    </w:p>
    <w:p w14:paraId="5FA3F31C" w14:textId="77777777" w:rsidR="000D7C31" w:rsidRPr="00AC045F" w:rsidRDefault="000D7C31" w:rsidP="00A730AA">
      <w:pPr>
        <w:pStyle w:val="AbstractLiteratur"/>
        <w:spacing w:before="0" w:after="0" w:line="240" w:lineRule="auto"/>
        <w:jc w:val="both"/>
        <w:rPr>
          <w:i/>
          <w:iCs/>
          <w:sz w:val="20"/>
          <w:szCs w:val="20"/>
          <w:lang w:val="en-US"/>
        </w:rPr>
      </w:pPr>
    </w:p>
    <w:p w14:paraId="2FB2545C" w14:textId="77777777" w:rsidR="000D7C31" w:rsidRPr="00AC045F" w:rsidRDefault="000D7C31" w:rsidP="00A730AA">
      <w:pPr>
        <w:pStyle w:val="AbstractLiteratur"/>
        <w:spacing w:before="0" w:after="0" w:line="240" w:lineRule="auto"/>
        <w:jc w:val="both"/>
        <w:rPr>
          <w:i/>
          <w:iCs/>
          <w:sz w:val="20"/>
          <w:szCs w:val="20"/>
          <w:lang w:val="vi-VN"/>
        </w:rPr>
      </w:pPr>
    </w:p>
    <w:p w14:paraId="675B296F" w14:textId="77777777" w:rsidR="004375B2" w:rsidRPr="00AC045F" w:rsidRDefault="004375B2" w:rsidP="004375B2">
      <w:pPr>
        <w:rPr>
          <w:lang w:val="vi-VN"/>
        </w:rPr>
      </w:pPr>
    </w:p>
    <w:p w14:paraId="2F516343" w14:textId="77777777" w:rsidR="004375B2" w:rsidRPr="00AC045F" w:rsidRDefault="004375B2" w:rsidP="004375B2">
      <w:pPr>
        <w:rPr>
          <w:lang w:val="vi-VN"/>
        </w:rPr>
      </w:pPr>
    </w:p>
    <w:p w14:paraId="505EDACA" w14:textId="77777777" w:rsidR="00E23C27" w:rsidRPr="00AC045F" w:rsidRDefault="00E23C27" w:rsidP="00E23C27">
      <w:pPr>
        <w:rPr>
          <w:lang w:val="vi-VN"/>
        </w:rPr>
      </w:pPr>
    </w:p>
    <w:p w14:paraId="717F6DC9" w14:textId="77777777" w:rsidR="00FD4499" w:rsidRPr="00AC045F"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AC045F">
        <w:rPr>
          <w:rFonts w:eastAsia="Times New Roman"/>
          <w:bCs/>
          <w:sz w:val="20"/>
          <w:szCs w:val="20"/>
          <w:lang w:val="sk-SK" w:eastAsia="sk-SK"/>
        </w:rPr>
        <w:t>---------------------------------------------------------------------------------------------------------------------------------------</w:t>
      </w:r>
    </w:p>
    <w:p w14:paraId="40A3B719" w14:textId="77777777" w:rsidR="00FD4499" w:rsidRPr="00AC045F" w:rsidRDefault="00FD4499" w:rsidP="00FD4499">
      <w:pPr>
        <w:autoSpaceDE w:val="0"/>
        <w:autoSpaceDN w:val="0"/>
        <w:spacing w:after="0" w:line="240" w:lineRule="auto"/>
        <w:jc w:val="left"/>
        <w:textAlignment w:val="baseline"/>
        <w:rPr>
          <w:rFonts w:eastAsia="Times New Roman"/>
          <w:bCs/>
          <w:sz w:val="20"/>
          <w:szCs w:val="20"/>
          <w:lang w:val="sk-SK" w:eastAsia="sk-SK"/>
        </w:rPr>
      </w:pPr>
      <w:proofErr w:type="spellStart"/>
      <w:r w:rsidRPr="00AC045F">
        <w:rPr>
          <w:rFonts w:eastAsia="Times New Roman"/>
          <w:bCs/>
          <w:sz w:val="20"/>
          <w:szCs w:val="20"/>
          <w:lang w:val="sk-SK" w:eastAsia="sk-SK"/>
        </w:rPr>
        <w:t>Date</w:t>
      </w:r>
      <w:proofErr w:type="spellEnd"/>
      <w:r w:rsidRPr="00AC045F">
        <w:rPr>
          <w:rFonts w:eastAsia="Times New Roman"/>
          <w:bCs/>
          <w:sz w:val="20"/>
          <w:szCs w:val="20"/>
          <w:lang w:val="sk-SK" w:eastAsia="sk-SK"/>
        </w:rPr>
        <w:t xml:space="preserve"> of </w:t>
      </w:r>
      <w:proofErr w:type="spellStart"/>
      <w:r w:rsidRPr="00AC045F">
        <w:rPr>
          <w:rFonts w:eastAsia="Times New Roman"/>
          <w:bCs/>
          <w:sz w:val="20"/>
          <w:szCs w:val="20"/>
          <w:lang w:val="sk-SK" w:eastAsia="sk-SK"/>
        </w:rPr>
        <w:t>Submission</w:t>
      </w:r>
      <w:proofErr w:type="spellEnd"/>
      <w:r w:rsidRPr="00AC045F">
        <w:rPr>
          <w:rFonts w:eastAsia="Times New Roman"/>
          <w:bCs/>
          <w:sz w:val="20"/>
          <w:szCs w:val="20"/>
          <w:lang w:val="sk-SK" w:eastAsia="sk-SK"/>
        </w:rPr>
        <w:t xml:space="preserve">: </w:t>
      </w:r>
      <w:r w:rsidR="00FC605A" w:rsidRPr="00AC045F">
        <w:rPr>
          <w:rFonts w:eastAsia="Times New Roman"/>
          <w:bCs/>
          <w:sz w:val="20"/>
          <w:szCs w:val="20"/>
          <w:lang w:val="sk-SK" w:eastAsia="sk-SK"/>
        </w:rPr>
        <w:t>xx-xx-</w:t>
      </w:r>
      <w:proofErr w:type="spellStart"/>
      <w:r w:rsidR="00FC605A" w:rsidRPr="00AC045F">
        <w:rPr>
          <w:rFonts w:eastAsia="Times New Roman"/>
          <w:bCs/>
          <w:sz w:val="20"/>
          <w:szCs w:val="20"/>
          <w:lang w:val="sk-SK" w:eastAsia="sk-SK"/>
        </w:rPr>
        <w:t>xxxx</w:t>
      </w:r>
      <w:proofErr w:type="spellEnd"/>
      <w:r w:rsidRPr="00AC045F">
        <w:rPr>
          <w:rFonts w:eastAsia="Times New Roman"/>
          <w:bCs/>
          <w:sz w:val="20"/>
          <w:szCs w:val="20"/>
          <w:lang w:val="sk-SK" w:eastAsia="sk-SK"/>
        </w:rPr>
        <w:t xml:space="preserve">                                                                            </w:t>
      </w:r>
      <w:proofErr w:type="spellStart"/>
      <w:r w:rsidRPr="00AC045F">
        <w:rPr>
          <w:rFonts w:eastAsia="Times New Roman"/>
          <w:bCs/>
          <w:sz w:val="20"/>
          <w:szCs w:val="20"/>
          <w:lang w:val="sk-SK" w:eastAsia="sk-SK"/>
        </w:rPr>
        <w:t>Date</w:t>
      </w:r>
      <w:proofErr w:type="spellEnd"/>
      <w:r w:rsidRPr="00AC045F">
        <w:rPr>
          <w:rFonts w:eastAsia="Times New Roman"/>
          <w:bCs/>
          <w:sz w:val="20"/>
          <w:szCs w:val="20"/>
          <w:lang w:val="sk-SK" w:eastAsia="sk-SK"/>
        </w:rPr>
        <w:t xml:space="preserve"> of </w:t>
      </w:r>
      <w:proofErr w:type="spellStart"/>
      <w:r w:rsidRPr="00AC045F">
        <w:rPr>
          <w:rFonts w:eastAsia="Times New Roman"/>
          <w:bCs/>
          <w:sz w:val="20"/>
          <w:szCs w:val="20"/>
          <w:lang w:val="sk-SK" w:eastAsia="sk-SK"/>
        </w:rPr>
        <w:t>acceptance</w:t>
      </w:r>
      <w:proofErr w:type="spellEnd"/>
      <w:r w:rsidRPr="00AC045F">
        <w:rPr>
          <w:rFonts w:eastAsia="Times New Roman"/>
          <w:bCs/>
          <w:sz w:val="20"/>
          <w:szCs w:val="20"/>
          <w:lang w:val="sk-SK" w:eastAsia="sk-SK"/>
        </w:rPr>
        <w:t xml:space="preserve">: </w:t>
      </w:r>
      <w:r w:rsidR="00FC605A" w:rsidRPr="00AC045F">
        <w:rPr>
          <w:rFonts w:eastAsia="Times New Roman"/>
          <w:bCs/>
          <w:sz w:val="20"/>
          <w:szCs w:val="20"/>
          <w:lang w:val="sk-SK" w:eastAsia="sk-SK"/>
        </w:rPr>
        <w:t>xx-xx-</w:t>
      </w:r>
      <w:proofErr w:type="spellStart"/>
      <w:r w:rsidR="00FC605A" w:rsidRPr="00AC045F">
        <w:rPr>
          <w:rFonts w:eastAsia="Times New Roman"/>
          <w:bCs/>
          <w:sz w:val="20"/>
          <w:szCs w:val="20"/>
          <w:lang w:val="sk-SK" w:eastAsia="sk-SK"/>
        </w:rPr>
        <w:t>xxxx</w:t>
      </w:r>
      <w:proofErr w:type="spellEnd"/>
    </w:p>
    <w:p w14:paraId="63B41651" w14:textId="77777777" w:rsidR="00FD4499" w:rsidRPr="00AC045F" w:rsidRDefault="00FD4499" w:rsidP="00FD4499">
      <w:pPr>
        <w:autoSpaceDE w:val="0"/>
        <w:autoSpaceDN w:val="0"/>
        <w:spacing w:after="0" w:line="240" w:lineRule="auto"/>
        <w:rPr>
          <w:rFonts w:eastAsia="Times New Roman"/>
          <w:sz w:val="20"/>
          <w:szCs w:val="20"/>
          <w:lang w:val="en-US"/>
        </w:rPr>
      </w:pPr>
      <w:r w:rsidRPr="00AC045F">
        <w:rPr>
          <w:rFonts w:eastAsia="Times New Roman"/>
          <w:bCs/>
          <w:sz w:val="20"/>
          <w:szCs w:val="20"/>
          <w:lang w:val="sk-SK" w:eastAsia="sk-SK"/>
        </w:rPr>
        <w:t>---------------------------------------------------------------------------------------------------------------------------------------</w:t>
      </w:r>
    </w:p>
    <w:p w14:paraId="0EC91245" w14:textId="77777777" w:rsidR="000D7C31" w:rsidRPr="00AC045F" w:rsidRDefault="000D7C31" w:rsidP="00A730AA">
      <w:pPr>
        <w:pStyle w:val="AbstractLiteratur"/>
        <w:spacing w:before="0" w:after="0" w:line="240" w:lineRule="auto"/>
        <w:jc w:val="both"/>
        <w:rPr>
          <w:i/>
          <w:iCs/>
          <w:sz w:val="20"/>
          <w:szCs w:val="20"/>
          <w:lang w:val="en-US"/>
        </w:rPr>
      </w:pPr>
    </w:p>
    <w:p w14:paraId="52CEA9AC" w14:textId="77777777" w:rsidR="00B078B1" w:rsidRPr="00AC045F" w:rsidRDefault="009D035E" w:rsidP="006C3A0A">
      <w:pPr>
        <w:pStyle w:val="Heading1"/>
      </w:pPr>
      <w:r w:rsidRPr="00AC045F">
        <w:t>INTRODUCTION</w:t>
      </w:r>
    </w:p>
    <w:p w14:paraId="5D5005B2" w14:textId="22252E72" w:rsidR="008511FF" w:rsidRPr="00AC045F" w:rsidRDefault="008511FF" w:rsidP="008511FF">
      <w:pPr>
        <w:spacing w:after="0" w:line="240" w:lineRule="auto"/>
        <w:ind w:firstLine="720"/>
        <w:rPr>
          <w:sz w:val="20"/>
          <w:szCs w:val="20"/>
          <w:lang w:val="en-US"/>
        </w:rPr>
      </w:pPr>
      <w:r w:rsidRPr="00AC045F">
        <w:rPr>
          <w:sz w:val="20"/>
          <w:szCs w:val="20"/>
          <w:lang w:val="en-US"/>
        </w:rPr>
        <w:t>Vietnam's agriculture holds a significant position in the economy. In addition to being one of the world's leading rice exporters, the country is also developing the cultivation of fruit trees in large quantities and with a diverse variety. Among the fruit species with high economic value, durian is increasingly becoming popular and is consumed in large numbers, not only in the domestic market but also for export. Durian (</w:t>
      </w:r>
      <w:proofErr w:type="spellStart"/>
      <w:r w:rsidRPr="00AC045F">
        <w:rPr>
          <w:i/>
          <w:iCs/>
          <w:sz w:val="20"/>
          <w:szCs w:val="20"/>
          <w:lang w:val="en-US"/>
        </w:rPr>
        <w:t>Durio</w:t>
      </w:r>
      <w:proofErr w:type="spellEnd"/>
      <w:r w:rsidRPr="00AC045F">
        <w:rPr>
          <w:sz w:val="20"/>
          <w:szCs w:val="20"/>
          <w:lang w:val="en-US"/>
        </w:rPr>
        <w:t xml:space="preserve"> spp.) is a genus of the mallow family (</w:t>
      </w:r>
      <w:proofErr w:type="spellStart"/>
      <w:r w:rsidRPr="00AC045F">
        <w:rPr>
          <w:i/>
          <w:iCs/>
          <w:sz w:val="20"/>
          <w:szCs w:val="20"/>
          <w:lang w:val="en-US"/>
        </w:rPr>
        <w:t>Malvaceae</w:t>
      </w:r>
      <w:proofErr w:type="spellEnd"/>
      <w:r w:rsidRPr="00AC045F">
        <w:rPr>
          <w:sz w:val="20"/>
          <w:szCs w:val="20"/>
          <w:lang w:val="en-US"/>
        </w:rPr>
        <w:t xml:space="preserve">). Currently, there are 30 identified species, of which about 9 bear edible fruit. </w:t>
      </w:r>
      <w:proofErr w:type="spellStart"/>
      <w:r w:rsidRPr="00AC045F">
        <w:rPr>
          <w:i/>
          <w:iCs/>
          <w:sz w:val="20"/>
          <w:szCs w:val="20"/>
          <w:lang w:val="en-US"/>
        </w:rPr>
        <w:t>Durio</w:t>
      </w:r>
      <w:proofErr w:type="spellEnd"/>
      <w:r w:rsidRPr="00AC045F">
        <w:rPr>
          <w:i/>
          <w:iCs/>
          <w:sz w:val="20"/>
          <w:szCs w:val="20"/>
          <w:lang w:val="en-US"/>
        </w:rPr>
        <w:t xml:space="preserve"> </w:t>
      </w:r>
      <w:proofErr w:type="spellStart"/>
      <w:r w:rsidRPr="00AC045F">
        <w:rPr>
          <w:i/>
          <w:iCs/>
          <w:sz w:val="20"/>
          <w:szCs w:val="20"/>
          <w:lang w:val="en-US"/>
        </w:rPr>
        <w:t>zibethinus</w:t>
      </w:r>
      <w:proofErr w:type="spellEnd"/>
      <w:r w:rsidRPr="00AC045F">
        <w:rPr>
          <w:sz w:val="20"/>
          <w:szCs w:val="20"/>
          <w:lang w:val="en-US"/>
        </w:rPr>
        <w:t xml:space="preserve"> is the species most widely found on the market. The distribution area of durian includes Southeast Asian countries, including Vietnam. In addition to direct consumption of the fruit flesh, durian can also be processed into many other products like ice cream, candy, and jams </w:t>
      </w:r>
      <w:r w:rsidR="00437317" w:rsidRPr="00AC045F">
        <w:rPr>
          <w:sz w:val="20"/>
          <w:szCs w:val="20"/>
          <w:lang w:val="vi-VN"/>
        </w:rPr>
        <w:t>[1]</w:t>
      </w:r>
      <w:r w:rsidRPr="00AC045F">
        <w:rPr>
          <w:sz w:val="20"/>
          <w:szCs w:val="20"/>
          <w:lang w:val="en-US"/>
        </w:rPr>
        <w:t xml:space="preserve">. Durian </w:t>
      </w:r>
      <w:r w:rsidRPr="00AC045F">
        <w:rPr>
          <w:sz w:val="20"/>
          <w:szCs w:val="20"/>
          <w:lang w:val="en-US"/>
        </w:rPr>
        <w:lastRenderedPageBreak/>
        <w:t xml:space="preserve">production constitutes a vital agricultural sector in Vietnam, significantly contributing to the nation's economy. Recent data indicate that Vietnam has approximately 150,000 hectares devoted to durian cultivation in 2024, primarily located in strategic growing regions, e.g. the Central Highlands, the Mekong Delta, the Southeastern areas. In addition, the annual production of Vietnamese durian has reached around 1.2 million tons, reflecting its rising market value both domestically and in international markets, particularly across Asia </w:t>
      </w:r>
      <w:r w:rsidR="00437317" w:rsidRPr="00AC045F">
        <w:rPr>
          <w:sz w:val="20"/>
          <w:szCs w:val="20"/>
          <w:lang w:val="vi-VN"/>
        </w:rPr>
        <w:t>[2]</w:t>
      </w:r>
      <w:r w:rsidRPr="00AC045F">
        <w:rPr>
          <w:sz w:val="20"/>
          <w:szCs w:val="20"/>
          <w:lang w:val="en-US"/>
        </w:rPr>
        <w:t>.</w:t>
      </w:r>
    </w:p>
    <w:p w14:paraId="61F7722D" w14:textId="663280FA" w:rsidR="008511FF" w:rsidRPr="00AC045F" w:rsidRDefault="008511FF" w:rsidP="008511FF">
      <w:pPr>
        <w:spacing w:after="0" w:line="240" w:lineRule="auto"/>
        <w:ind w:firstLine="720"/>
        <w:rPr>
          <w:sz w:val="20"/>
          <w:szCs w:val="20"/>
          <w:lang w:val="en-US"/>
        </w:rPr>
      </w:pPr>
      <w:r w:rsidRPr="00AC045F">
        <w:rPr>
          <w:sz w:val="20"/>
          <w:szCs w:val="20"/>
          <w:lang w:val="en-US"/>
        </w:rPr>
        <w:t xml:space="preserve">Durian production, both in Vietnam and globally, is currently substantial, and its market continues to rise. However, on average, the edible portion of a durian fruit constitutes only 15–30% of its total weight, while the outer rind, which accounts for 70–85%, is typically discarded as waste. This large amount of residual biomass poses significant environmental challenges </w:t>
      </w:r>
      <w:r w:rsidR="00437317" w:rsidRPr="00AC045F">
        <w:rPr>
          <w:sz w:val="20"/>
          <w:szCs w:val="20"/>
          <w:lang w:val="vi-VN"/>
        </w:rPr>
        <w:t>[3]</w:t>
      </w:r>
      <w:r w:rsidRPr="00AC045F">
        <w:rPr>
          <w:sz w:val="20"/>
          <w:szCs w:val="20"/>
          <w:lang w:val="en-US"/>
        </w:rPr>
        <w:t xml:space="preserve">. The durian shell, often categorized as agricultural waste, also possesses distinctive physicochemical properties that enhance its potential for recycling and upcycling. Therefore, it has recently drawn huge attention toward the total </w:t>
      </w:r>
      <w:proofErr w:type="spellStart"/>
      <w:r w:rsidRPr="00AC045F">
        <w:rPr>
          <w:sz w:val="20"/>
          <w:szCs w:val="20"/>
          <w:lang w:val="en-US"/>
        </w:rPr>
        <w:t>utilisation</w:t>
      </w:r>
      <w:proofErr w:type="spellEnd"/>
      <w:r w:rsidRPr="00AC045F">
        <w:rPr>
          <w:sz w:val="20"/>
          <w:szCs w:val="20"/>
          <w:lang w:val="en-US"/>
        </w:rPr>
        <w:t xml:space="preserve"> in the durian industry, especially with recent initiatives for zero waste target in agriculture. In traditional medicine, durian shells are believed to have therapeutic properties, including the ability to clear heat, reduce internal fire, nourish yin, and moisten dryness. As a result, they are frequently used in Chinese folk medicine as a functional food to support the treatment of various health conditions </w:t>
      </w:r>
      <w:r w:rsidR="00A33860" w:rsidRPr="00AC045F">
        <w:rPr>
          <w:sz w:val="20"/>
          <w:szCs w:val="20"/>
          <w:lang w:val="vi-VN"/>
        </w:rPr>
        <w:t>[4]</w:t>
      </w:r>
      <w:r w:rsidRPr="00AC045F">
        <w:rPr>
          <w:sz w:val="20"/>
          <w:szCs w:val="20"/>
          <w:lang w:val="en-US"/>
        </w:rPr>
        <w:t xml:space="preserve">. Chemically, durian shells are also rich in cellulose and lignin, which are integral components of plant cell walls, providing structural integrity and mechanical strength </w:t>
      </w:r>
      <w:r w:rsidR="00A33860" w:rsidRPr="00AC045F">
        <w:rPr>
          <w:sz w:val="20"/>
          <w:szCs w:val="20"/>
          <w:lang w:val="vi-VN"/>
        </w:rPr>
        <w:t>[5]</w:t>
      </w:r>
      <w:r w:rsidRPr="00AC045F">
        <w:rPr>
          <w:sz w:val="20"/>
          <w:szCs w:val="20"/>
          <w:lang w:val="en-US"/>
        </w:rPr>
        <w:t xml:space="preserve">. These biopolymers render durian shells suitable for various applications, including the production of biodegradable composites, natural fibers, and bioactive compounds. Additionally, the physical characteristics of durian shells, such as their lightweight and fibrous nature, facilitate processing, making them amenable to diverse manufacturing processes </w:t>
      </w:r>
      <w:r w:rsidR="00A33860" w:rsidRPr="00AC045F">
        <w:rPr>
          <w:sz w:val="20"/>
          <w:szCs w:val="20"/>
          <w:lang w:val="vi-VN"/>
        </w:rPr>
        <w:t>[6]</w:t>
      </w:r>
      <w:r w:rsidRPr="00AC045F">
        <w:rPr>
          <w:sz w:val="20"/>
          <w:szCs w:val="20"/>
          <w:lang w:val="en-US"/>
        </w:rPr>
        <w:t>. The growing emphasis on sustainable waste management strategies presents significant opportunities for the effective utilization of durian shell waste, contributing to resource recovery efforts and the advancement of a circular economy within Vietnam.</w:t>
      </w:r>
    </w:p>
    <w:p w14:paraId="6CE4137E" w14:textId="77777777" w:rsidR="005B2FA6" w:rsidRPr="00AC045F" w:rsidRDefault="008511FF" w:rsidP="008511FF">
      <w:pPr>
        <w:spacing w:after="0" w:line="240" w:lineRule="auto"/>
        <w:ind w:firstLine="720"/>
        <w:rPr>
          <w:sz w:val="20"/>
          <w:szCs w:val="20"/>
          <w:lang w:val="vi-VN"/>
        </w:rPr>
      </w:pPr>
      <w:r w:rsidRPr="00AC045F">
        <w:rPr>
          <w:sz w:val="20"/>
          <w:szCs w:val="20"/>
          <w:lang w:val="en-US"/>
        </w:rPr>
        <w:t xml:space="preserve">However, the successful implementation of this innovative exploitation also heavily depends on a variety of factors: situation awareness of involving bodies, understanding of available technologies, optimizing of processing techniques, creating of supportive policy frameworks, and establishing of beneficial awareness of recycling and upcycling durian shells. Therefore, the purpose of this review was to explore and evaluate: </w:t>
      </w:r>
      <w:proofErr w:type="spellStart"/>
      <w:r w:rsidRPr="00AC045F">
        <w:rPr>
          <w:sz w:val="20"/>
          <w:szCs w:val="20"/>
          <w:lang w:val="en-US"/>
        </w:rPr>
        <w:t>i</w:t>
      </w:r>
      <w:proofErr w:type="spellEnd"/>
      <w:r w:rsidRPr="00AC045F">
        <w:rPr>
          <w:sz w:val="20"/>
          <w:szCs w:val="20"/>
          <w:lang w:val="en-US"/>
        </w:rPr>
        <w:t xml:space="preserve">) the current situation of the durian industry and its shell waste issue in Vietnam; ii) its environmental and economic constraints; and iii) recent innovative approaches in the </w:t>
      </w:r>
      <w:proofErr w:type="spellStart"/>
      <w:r w:rsidRPr="00AC045F">
        <w:rPr>
          <w:sz w:val="20"/>
          <w:szCs w:val="20"/>
          <w:lang w:val="en-US"/>
        </w:rPr>
        <w:t>utilisation</w:t>
      </w:r>
      <w:proofErr w:type="spellEnd"/>
      <w:r w:rsidRPr="00AC045F">
        <w:rPr>
          <w:sz w:val="20"/>
          <w:szCs w:val="20"/>
          <w:lang w:val="en-US"/>
        </w:rPr>
        <w:t xml:space="preserve"> and recycling of durian shells together with clear-cut case studies.</w:t>
      </w:r>
    </w:p>
    <w:p w14:paraId="04CCBF3D" w14:textId="77777777" w:rsidR="008511FF" w:rsidRPr="00AC045F" w:rsidRDefault="008511FF" w:rsidP="008511FF">
      <w:pPr>
        <w:pStyle w:val="Default"/>
        <w:jc w:val="both"/>
        <w:rPr>
          <w:b/>
          <w:bCs/>
          <w:sz w:val="20"/>
          <w:szCs w:val="20"/>
        </w:rPr>
      </w:pPr>
    </w:p>
    <w:p w14:paraId="3DD14161" w14:textId="77777777" w:rsidR="008511FF" w:rsidRPr="00AC045F" w:rsidRDefault="008511FF" w:rsidP="008511FF">
      <w:pPr>
        <w:pStyle w:val="Heading1"/>
      </w:pPr>
      <w:r w:rsidRPr="00AC045F">
        <w:t>CURRENT SITUATION OF THE DURIAN INDUSTRY IN VIETNAM</w:t>
      </w:r>
    </w:p>
    <w:p w14:paraId="1FC60540" w14:textId="77777777" w:rsidR="009C5C7A" w:rsidRPr="00AC045F" w:rsidRDefault="008511FF" w:rsidP="00A730AA">
      <w:pPr>
        <w:pStyle w:val="Default"/>
        <w:jc w:val="both"/>
        <w:rPr>
          <w:b/>
          <w:bCs/>
          <w:i/>
          <w:iCs/>
          <w:sz w:val="20"/>
          <w:szCs w:val="20"/>
          <w:lang w:val="vi-VN"/>
        </w:rPr>
      </w:pPr>
      <w:r w:rsidRPr="00AC045F">
        <w:rPr>
          <w:b/>
          <w:bCs/>
          <w:i/>
          <w:iCs/>
          <w:sz w:val="20"/>
          <w:szCs w:val="20"/>
          <w:lang w:val="vi-VN"/>
        </w:rPr>
        <w:t>2</w:t>
      </w:r>
      <w:r w:rsidR="001530B2" w:rsidRPr="00AC045F">
        <w:rPr>
          <w:b/>
          <w:bCs/>
          <w:i/>
          <w:iCs/>
          <w:sz w:val="20"/>
          <w:szCs w:val="20"/>
        </w:rPr>
        <w:t xml:space="preserve">.1 </w:t>
      </w:r>
      <w:r w:rsidRPr="00AC045F">
        <w:rPr>
          <w:b/>
          <w:bCs/>
          <w:i/>
          <w:iCs/>
          <w:sz w:val="20"/>
          <w:szCs w:val="20"/>
        </w:rPr>
        <w:t>Durian cultivation and production</w:t>
      </w:r>
    </w:p>
    <w:p w14:paraId="223FEB09" w14:textId="6889634C" w:rsidR="00566A9F" w:rsidRPr="00AC045F" w:rsidRDefault="00566A9F" w:rsidP="00566A9F">
      <w:pPr>
        <w:spacing w:after="0" w:line="240" w:lineRule="auto"/>
        <w:ind w:firstLine="720"/>
        <w:rPr>
          <w:sz w:val="20"/>
          <w:szCs w:val="20"/>
          <w:lang w:val="en-US"/>
        </w:rPr>
      </w:pPr>
      <w:r w:rsidRPr="00AC045F">
        <w:rPr>
          <w:sz w:val="20"/>
          <w:szCs w:val="20"/>
          <w:lang w:val="en-US"/>
        </w:rPr>
        <w:t xml:space="preserve">In Vietnam, durian trees are mainly concentrated in the Central Highlands, the Mekong Delta, the Southeast regions, and to a lesser extent in some provinces along the </w:t>
      </w:r>
      <w:proofErr w:type="gramStart"/>
      <w:r w:rsidRPr="00AC045F">
        <w:rPr>
          <w:sz w:val="20"/>
          <w:szCs w:val="20"/>
          <w:lang w:val="en-US"/>
        </w:rPr>
        <w:t>South Central</w:t>
      </w:r>
      <w:proofErr w:type="gramEnd"/>
      <w:r w:rsidRPr="00AC045F">
        <w:rPr>
          <w:sz w:val="20"/>
          <w:szCs w:val="20"/>
          <w:lang w:val="en-US"/>
        </w:rPr>
        <w:t xml:space="preserve"> Coast, with the cultivation method primarily reliant on natural processes </w:t>
      </w:r>
      <w:r w:rsidR="00D84333" w:rsidRPr="00AC045F">
        <w:rPr>
          <w:sz w:val="20"/>
          <w:szCs w:val="20"/>
          <w:lang w:val="vi-VN"/>
        </w:rPr>
        <w:t>[7]</w:t>
      </w:r>
      <w:r w:rsidRPr="00AC045F">
        <w:rPr>
          <w:sz w:val="20"/>
          <w:szCs w:val="20"/>
          <w:lang w:val="en-US"/>
        </w:rPr>
        <w:t xml:space="preserve">. In 2016, regarding production, the total area of durian cultivation in Vietnam was approximately 32,300 hectares, yielding 14.5 tons per hectare and producing 336,900 tons overall. The Central Highlands region contributed significantly, accounting for 24.7% (8,000 hectares) of the total cultivation area and 25.2% (over 85,000 tons of output) of the national durian production </w:t>
      </w:r>
      <w:r w:rsidR="00691152" w:rsidRPr="00AC045F">
        <w:rPr>
          <w:sz w:val="20"/>
          <w:szCs w:val="20"/>
          <w:lang w:val="vi-VN"/>
        </w:rPr>
        <w:t>[8]</w:t>
      </w:r>
      <w:r w:rsidRPr="00AC045F">
        <w:rPr>
          <w:sz w:val="20"/>
          <w:szCs w:val="20"/>
          <w:lang w:val="en-US"/>
        </w:rPr>
        <w:t>.</w:t>
      </w:r>
      <w:r w:rsidR="00691152" w:rsidRPr="00AC045F">
        <w:rPr>
          <w:sz w:val="20"/>
          <w:szCs w:val="20"/>
          <w:lang w:val="vi-VN"/>
        </w:rPr>
        <w:t xml:space="preserve"> </w:t>
      </w:r>
      <w:r w:rsidRPr="00AC045F">
        <w:rPr>
          <w:sz w:val="20"/>
          <w:szCs w:val="20"/>
          <w:lang w:val="en-US"/>
        </w:rPr>
        <w:t xml:space="preserve">This trend of development keeps increasing rapidly over the past few years. According to the reported values on just the newly added growing areas, together with the efficiency and output of those areas, the values of only just 2022 (areas: 26,711 hectares; efficiency: 15.60 tons/hectare; output: 849,104 tons) already approached the same or even greater magnitude in comparison with the total amounts in 2016 </w:t>
      </w:r>
      <w:r w:rsidR="00691152" w:rsidRPr="00AC045F">
        <w:rPr>
          <w:sz w:val="20"/>
          <w:szCs w:val="20"/>
          <w:lang w:val="vi-VN"/>
        </w:rPr>
        <w:t>[9]</w:t>
      </w:r>
      <w:r w:rsidRPr="00AC045F">
        <w:rPr>
          <w:sz w:val="20"/>
          <w:szCs w:val="20"/>
          <w:lang w:val="en-US"/>
        </w:rPr>
        <w:t>.</w:t>
      </w:r>
    </w:p>
    <w:p w14:paraId="092879FC" w14:textId="205D5D15" w:rsidR="00FB489C" w:rsidRPr="00AC045F" w:rsidRDefault="00566A9F" w:rsidP="00566A9F">
      <w:pPr>
        <w:spacing w:after="0" w:line="240" w:lineRule="auto"/>
        <w:ind w:firstLine="720"/>
        <w:rPr>
          <w:sz w:val="20"/>
          <w:szCs w:val="20"/>
          <w:lang w:val="vi-VN"/>
        </w:rPr>
      </w:pPr>
      <w:r w:rsidRPr="00AC045F">
        <w:rPr>
          <w:sz w:val="20"/>
          <w:szCs w:val="20"/>
          <w:lang w:val="en-US"/>
        </w:rPr>
        <w:t xml:space="preserve">Recently, in 2023, according to the statistical data from the Department of Crop Production (MARD), the durian-growing area in Vietnam now reached over 150,000 hectares, expressing an increase of approximately 20% and 500% in comparison with that of 2022 and 2016, respectively. In detail, the biggest cultivation area for durian is the Central Highlands (40.4%), followed by the Mekong Delta (34.6%), the Southeastern regions (19.4%), and the </w:t>
      </w:r>
      <w:proofErr w:type="gramStart"/>
      <w:r w:rsidRPr="00AC045F">
        <w:rPr>
          <w:sz w:val="20"/>
          <w:szCs w:val="20"/>
          <w:lang w:val="en-US"/>
        </w:rPr>
        <w:t>South Central</w:t>
      </w:r>
      <w:proofErr w:type="gramEnd"/>
      <w:r w:rsidRPr="00AC045F">
        <w:rPr>
          <w:sz w:val="20"/>
          <w:szCs w:val="20"/>
          <w:lang w:val="en-US"/>
        </w:rPr>
        <w:t xml:space="preserve"> Coastal region</w:t>
      </w:r>
      <w:r w:rsidR="003663CB" w:rsidRPr="00AC045F">
        <w:rPr>
          <w:sz w:val="20"/>
          <w:szCs w:val="20"/>
          <w:lang w:val="vi-VN"/>
        </w:rPr>
        <w:t>s</w:t>
      </w:r>
      <w:r w:rsidRPr="00AC045F">
        <w:rPr>
          <w:sz w:val="20"/>
          <w:szCs w:val="20"/>
          <w:lang w:val="en-US"/>
        </w:rPr>
        <w:t xml:space="preserve"> (5.6%). The Central Highlands has surpassed the Mekong Delta to become the largest durian-producing region </w:t>
      </w:r>
      <w:r w:rsidR="00691152" w:rsidRPr="00AC045F">
        <w:rPr>
          <w:sz w:val="20"/>
          <w:szCs w:val="20"/>
          <w:lang w:val="vi-VN"/>
        </w:rPr>
        <w:t>[10]</w:t>
      </w:r>
      <w:r w:rsidRPr="00AC045F">
        <w:rPr>
          <w:sz w:val="20"/>
          <w:szCs w:val="20"/>
          <w:lang w:val="en-US"/>
        </w:rPr>
        <w:t xml:space="preserve">. And recently, it is estimated that about 50% of the durian-growing area is currently being harvested (around 76,000 hectares), with the production in 2023 reaching nearly 1.2 million tons, increasing by an average of 15% annually. In the coming years, as the harvest area increases, Vietnam's durian production could potentially double </w:t>
      </w:r>
      <w:r w:rsidR="00691152" w:rsidRPr="00AC045F">
        <w:rPr>
          <w:sz w:val="20"/>
          <w:szCs w:val="20"/>
          <w:lang w:val="vi-VN"/>
        </w:rPr>
        <w:t>[11]</w:t>
      </w:r>
      <w:r w:rsidRPr="00AC045F">
        <w:rPr>
          <w:sz w:val="20"/>
          <w:szCs w:val="20"/>
          <w:lang w:val="en-US"/>
        </w:rPr>
        <w:t>.</w:t>
      </w:r>
    </w:p>
    <w:p w14:paraId="70DC777C" w14:textId="77777777" w:rsidR="00B106D4" w:rsidRPr="00AC045F" w:rsidRDefault="00B106D4" w:rsidP="00B106D4">
      <w:pPr>
        <w:spacing w:after="0" w:line="240" w:lineRule="auto"/>
        <w:rPr>
          <w:b/>
          <w:bCs/>
          <w:i/>
          <w:iCs/>
          <w:sz w:val="20"/>
          <w:szCs w:val="20"/>
          <w:lang w:val="en-US"/>
        </w:rPr>
      </w:pPr>
    </w:p>
    <w:p w14:paraId="54E0C010" w14:textId="704B29B8" w:rsidR="00B106D4" w:rsidRPr="00AC045F" w:rsidRDefault="00B106D4" w:rsidP="00B106D4">
      <w:pPr>
        <w:spacing w:after="0" w:line="240" w:lineRule="auto"/>
        <w:jc w:val="center"/>
        <w:rPr>
          <w:b/>
          <w:sz w:val="20"/>
          <w:szCs w:val="20"/>
          <w:lang w:val="vi-VN"/>
        </w:rPr>
      </w:pPr>
      <w:r w:rsidRPr="00AC045F">
        <w:rPr>
          <w:b/>
          <w:bCs/>
          <w:i/>
          <w:iCs/>
          <w:sz w:val="20"/>
          <w:szCs w:val="20"/>
          <w:lang w:val="en-US"/>
        </w:rPr>
        <w:t xml:space="preserve">Table I. </w:t>
      </w:r>
      <w:r w:rsidRPr="00AC045F">
        <w:rPr>
          <w:b/>
          <w:sz w:val="20"/>
          <w:szCs w:val="20"/>
          <w:lang w:val="en-US"/>
        </w:rPr>
        <w:t xml:space="preserve">Statistics on the 2022 newly added durian’s cultivation areas, yield and output of some concentrated durian farming areas in Vietnam </w:t>
      </w:r>
      <w:r w:rsidR="00A53AF5" w:rsidRPr="00AC045F">
        <w:rPr>
          <w:b/>
          <w:sz w:val="20"/>
          <w:szCs w:val="20"/>
          <w:lang w:val="vi-VN"/>
        </w:rPr>
        <w:t>[9]</w:t>
      </w:r>
      <w:r w:rsidR="00A53AF5" w:rsidRPr="00AC045F">
        <w:rPr>
          <w:b/>
          <w:sz w:val="20"/>
          <w:szCs w:val="20"/>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1797"/>
        <w:gridCol w:w="1276"/>
        <w:gridCol w:w="1179"/>
        <w:gridCol w:w="1089"/>
      </w:tblGrid>
      <w:tr w:rsidR="00713E33" w:rsidRPr="00AC045F" w14:paraId="3F1F801D" w14:textId="77777777" w:rsidTr="00822A6A">
        <w:trPr>
          <w:trHeight w:val="111"/>
          <w:jc w:val="center"/>
        </w:trPr>
        <w:tc>
          <w:tcPr>
            <w:tcW w:w="569" w:type="dxa"/>
            <w:vAlign w:val="center"/>
          </w:tcPr>
          <w:p w14:paraId="4D3514EE" w14:textId="4AC8D06B" w:rsidR="00713E33" w:rsidRPr="00AC045F" w:rsidRDefault="00F96128" w:rsidP="00822A6A">
            <w:pPr>
              <w:pStyle w:val="Default"/>
              <w:jc w:val="center"/>
              <w:rPr>
                <w:b/>
                <w:bCs/>
                <w:sz w:val="16"/>
                <w:szCs w:val="20"/>
                <w:lang w:val="vi-VN"/>
              </w:rPr>
            </w:pPr>
            <w:r w:rsidRPr="00AC045F">
              <w:rPr>
                <w:b/>
                <w:bCs/>
                <w:sz w:val="16"/>
                <w:szCs w:val="20"/>
                <w:lang w:val="vi-VN"/>
              </w:rPr>
              <w:t>No.</w:t>
            </w:r>
          </w:p>
        </w:tc>
        <w:tc>
          <w:tcPr>
            <w:tcW w:w="1797" w:type="dxa"/>
            <w:vAlign w:val="center"/>
          </w:tcPr>
          <w:p w14:paraId="30E87FA7" w14:textId="77777777" w:rsidR="00F96128" w:rsidRPr="00AC045F" w:rsidRDefault="00F96128" w:rsidP="00822A6A">
            <w:pPr>
              <w:pStyle w:val="Default"/>
              <w:jc w:val="center"/>
              <w:rPr>
                <w:b/>
                <w:bCs/>
                <w:sz w:val="16"/>
                <w:szCs w:val="20"/>
                <w:lang w:val="vi-VN"/>
              </w:rPr>
            </w:pPr>
            <w:r w:rsidRPr="00AC045F">
              <w:rPr>
                <w:b/>
                <w:bCs/>
                <w:sz w:val="16"/>
                <w:szCs w:val="20"/>
              </w:rPr>
              <w:t>Region</w:t>
            </w:r>
            <w:r w:rsidRPr="00AC045F">
              <w:rPr>
                <w:b/>
                <w:bCs/>
                <w:sz w:val="16"/>
                <w:szCs w:val="20"/>
                <w:lang w:val="vi-VN"/>
              </w:rPr>
              <w:t xml:space="preserve"> / Province</w:t>
            </w:r>
          </w:p>
          <w:p w14:paraId="0870D69D" w14:textId="27CBCB3F" w:rsidR="00713E33" w:rsidRPr="00AC045F" w:rsidRDefault="00F96128" w:rsidP="00822A6A">
            <w:pPr>
              <w:pStyle w:val="Default"/>
              <w:jc w:val="center"/>
              <w:rPr>
                <w:b/>
                <w:bCs/>
                <w:sz w:val="16"/>
                <w:szCs w:val="20"/>
              </w:rPr>
            </w:pPr>
            <w:r w:rsidRPr="00AC045F">
              <w:rPr>
                <w:b/>
                <w:bCs/>
                <w:sz w:val="16"/>
                <w:szCs w:val="20"/>
                <w:lang w:val="vi-VN"/>
              </w:rPr>
              <w:t>(in Vietnam)</w:t>
            </w:r>
          </w:p>
        </w:tc>
        <w:tc>
          <w:tcPr>
            <w:tcW w:w="1276" w:type="dxa"/>
            <w:vAlign w:val="center"/>
          </w:tcPr>
          <w:p w14:paraId="0585128E" w14:textId="77777777" w:rsidR="00713E33" w:rsidRPr="00AC045F" w:rsidRDefault="00822A6A" w:rsidP="00822A6A">
            <w:pPr>
              <w:pStyle w:val="Default"/>
              <w:jc w:val="center"/>
              <w:rPr>
                <w:b/>
                <w:bCs/>
                <w:sz w:val="16"/>
                <w:szCs w:val="20"/>
                <w:lang w:val="vi-VN"/>
              </w:rPr>
            </w:pPr>
            <w:r w:rsidRPr="00AC045F">
              <w:rPr>
                <w:b/>
                <w:bCs/>
                <w:sz w:val="16"/>
                <w:szCs w:val="20"/>
                <w:lang w:val="vi-VN"/>
              </w:rPr>
              <w:t>Growing area</w:t>
            </w:r>
          </w:p>
          <w:p w14:paraId="6BE60AF1" w14:textId="0E6CB3AB" w:rsidR="00822A6A" w:rsidRPr="00AC045F" w:rsidRDefault="00822A6A" w:rsidP="00822A6A">
            <w:pPr>
              <w:pStyle w:val="Default"/>
              <w:jc w:val="center"/>
              <w:rPr>
                <w:b/>
                <w:bCs/>
                <w:sz w:val="16"/>
                <w:szCs w:val="20"/>
                <w:lang w:val="vi-VN"/>
              </w:rPr>
            </w:pPr>
            <w:r w:rsidRPr="00AC045F">
              <w:rPr>
                <w:b/>
                <w:bCs/>
                <w:sz w:val="16"/>
                <w:szCs w:val="20"/>
                <w:lang w:val="vi-VN"/>
              </w:rPr>
              <w:t>(hectares)</w:t>
            </w:r>
          </w:p>
        </w:tc>
        <w:tc>
          <w:tcPr>
            <w:tcW w:w="1179" w:type="dxa"/>
            <w:vAlign w:val="center"/>
          </w:tcPr>
          <w:p w14:paraId="378265FA" w14:textId="55E41CF7" w:rsidR="00713E33" w:rsidRPr="00AC045F" w:rsidRDefault="00822A6A" w:rsidP="00822A6A">
            <w:pPr>
              <w:pStyle w:val="Default"/>
              <w:jc w:val="center"/>
              <w:rPr>
                <w:b/>
                <w:bCs/>
                <w:sz w:val="16"/>
                <w:szCs w:val="20"/>
                <w:lang w:val="vi-VN"/>
              </w:rPr>
            </w:pPr>
            <w:r w:rsidRPr="00AC045F">
              <w:rPr>
                <w:b/>
                <w:bCs/>
                <w:sz w:val="16"/>
                <w:szCs w:val="20"/>
                <w:lang w:val="vi-VN"/>
              </w:rPr>
              <w:t>Average efficiency</w:t>
            </w:r>
          </w:p>
          <w:p w14:paraId="733EAB72" w14:textId="5248BC4D" w:rsidR="00822A6A" w:rsidRPr="00AC045F" w:rsidRDefault="00822A6A" w:rsidP="00822A6A">
            <w:pPr>
              <w:pStyle w:val="Default"/>
              <w:jc w:val="center"/>
              <w:rPr>
                <w:b/>
                <w:bCs/>
                <w:sz w:val="16"/>
                <w:szCs w:val="20"/>
                <w:lang w:val="vi-VN"/>
              </w:rPr>
            </w:pPr>
            <w:r w:rsidRPr="00AC045F">
              <w:rPr>
                <w:b/>
                <w:bCs/>
                <w:sz w:val="16"/>
                <w:szCs w:val="20"/>
                <w:lang w:val="vi-VN"/>
              </w:rPr>
              <w:t>(tons/hectare)</w:t>
            </w:r>
          </w:p>
        </w:tc>
        <w:tc>
          <w:tcPr>
            <w:tcW w:w="1089" w:type="dxa"/>
            <w:vAlign w:val="center"/>
          </w:tcPr>
          <w:p w14:paraId="0F281DB7" w14:textId="77777777" w:rsidR="00713E33" w:rsidRPr="00AC045F" w:rsidRDefault="00822A6A" w:rsidP="00822A6A">
            <w:pPr>
              <w:pStyle w:val="Default"/>
              <w:jc w:val="center"/>
              <w:rPr>
                <w:b/>
                <w:bCs/>
                <w:sz w:val="16"/>
                <w:szCs w:val="20"/>
                <w:lang w:val="vi-VN"/>
              </w:rPr>
            </w:pPr>
            <w:r w:rsidRPr="00AC045F">
              <w:rPr>
                <w:b/>
                <w:bCs/>
                <w:sz w:val="16"/>
                <w:szCs w:val="20"/>
                <w:lang w:val="vi-VN"/>
              </w:rPr>
              <w:t>Output</w:t>
            </w:r>
          </w:p>
          <w:p w14:paraId="464423D5" w14:textId="6F68FF9A" w:rsidR="00822A6A" w:rsidRPr="00AC045F" w:rsidRDefault="00822A6A" w:rsidP="00822A6A">
            <w:pPr>
              <w:pStyle w:val="Default"/>
              <w:jc w:val="center"/>
              <w:rPr>
                <w:b/>
                <w:bCs/>
                <w:sz w:val="16"/>
                <w:szCs w:val="20"/>
                <w:lang w:val="vi-VN"/>
              </w:rPr>
            </w:pPr>
            <w:r w:rsidRPr="00AC045F">
              <w:rPr>
                <w:b/>
                <w:bCs/>
                <w:sz w:val="16"/>
                <w:szCs w:val="20"/>
                <w:lang w:val="vi-VN"/>
              </w:rPr>
              <w:t>(tons)</w:t>
            </w:r>
          </w:p>
        </w:tc>
      </w:tr>
      <w:tr w:rsidR="00822A6A" w:rsidRPr="00AC045F" w14:paraId="1422B1C0" w14:textId="77777777" w:rsidTr="00822A6A">
        <w:trPr>
          <w:trHeight w:val="124"/>
          <w:jc w:val="center"/>
        </w:trPr>
        <w:tc>
          <w:tcPr>
            <w:tcW w:w="569" w:type="dxa"/>
            <w:vAlign w:val="center"/>
          </w:tcPr>
          <w:p w14:paraId="3682BB4B" w14:textId="1DD7DF24" w:rsidR="00822A6A" w:rsidRPr="00AC045F" w:rsidRDefault="00822A6A" w:rsidP="00822A6A">
            <w:pPr>
              <w:pStyle w:val="Default"/>
              <w:jc w:val="center"/>
              <w:rPr>
                <w:sz w:val="16"/>
                <w:szCs w:val="20"/>
              </w:rPr>
            </w:pPr>
          </w:p>
        </w:tc>
        <w:tc>
          <w:tcPr>
            <w:tcW w:w="1797" w:type="dxa"/>
            <w:vAlign w:val="center"/>
          </w:tcPr>
          <w:p w14:paraId="5057EF28" w14:textId="29C56020" w:rsidR="00822A6A" w:rsidRPr="00AC045F" w:rsidRDefault="00822A6A" w:rsidP="00822A6A">
            <w:pPr>
              <w:pStyle w:val="Default"/>
              <w:jc w:val="center"/>
              <w:rPr>
                <w:b/>
                <w:bCs/>
                <w:sz w:val="16"/>
                <w:szCs w:val="20"/>
                <w:lang w:val="vi-VN"/>
              </w:rPr>
            </w:pPr>
            <w:r w:rsidRPr="00AC045F">
              <w:rPr>
                <w:b/>
                <w:bCs/>
                <w:sz w:val="16"/>
                <w:szCs w:val="20"/>
                <w:lang w:val="vi-VN"/>
              </w:rPr>
              <w:t>Central Highlands</w:t>
            </w:r>
          </w:p>
        </w:tc>
        <w:tc>
          <w:tcPr>
            <w:tcW w:w="1276" w:type="dxa"/>
            <w:vAlign w:val="center"/>
          </w:tcPr>
          <w:p w14:paraId="587EB33D" w14:textId="1EFABD02" w:rsidR="00822A6A" w:rsidRPr="00AC045F" w:rsidRDefault="00822A6A" w:rsidP="00822A6A">
            <w:pPr>
              <w:pStyle w:val="Default"/>
              <w:jc w:val="center"/>
              <w:rPr>
                <w:b/>
                <w:bCs/>
                <w:sz w:val="16"/>
                <w:szCs w:val="20"/>
                <w:lang w:val="vi-VN"/>
              </w:rPr>
            </w:pPr>
            <w:r w:rsidRPr="00AC045F">
              <w:rPr>
                <w:b/>
                <w:bCs/>
                <w:sz w:val="16"/>
                <w:szCs w:val="20"/>
                <w:lang w:val="vi-VN"/>
              </w:rPr>
              <w:t>14,216</w:t>
            </w:r>
          </w:p>
        </w:tc>
        <w:tc>
          <w:tcPr>
            <w:tcW w:w="1179" w:type="dxa"/>
            <w:vAlign w:val="center"/>
          </w:tcPr>
          <w:p w14:paraId="0FAEFF9C" w14:textId="4EEF8A83" w:rsidR="00822A6A" w:rsidRPr="00AC045F" w:rsidRDefault="00822A6A" w:rsidP="00822A6A">
            <w:pPr>
              <w:pStyle w:val="Default"/>
              <w:jc w:val="center"/>
              <w:rPr>
                <w:b/>
                <w:bCs/>
                <w:sz w:val="16"/>
                <w:szCs w:val="20"/>
                <w:lang w:val="vi-VN"/>
              </w:rPr>
            </w:pPr>
            <w:r w:rsidRPr="00AC045F">
              <w:rPr>
                <w:b/>
                <w:bCs/>
                <w:sz w:val="16"/>
                <w:szCs w:val="20"/>
                <w:lang w:val="vi-VN"/>
              </w:rPr>
              <w:t>16.03</w:t>
            </w:r>
          </w:p>
        </w:tc>
        <w:tc>
          <w:tcPr>
            <w:tcW w:w="1089" w:type="dxa"/>
            <w:vAlign w:val="center"/>
          </w:tcPr>
          <w:p w14:paraId="4790ABFC" w14:textId="30003B2F" w:rsidR="00822A6A" w:rsidRPr="00AC045F" w:rsidRDefault="009B56F9" w:rsidP="00822A6A">
            <w:pPr>
              <w:pStyle w:val="Default"/>
              <w:jc w:val="center"/>
              <w:rPr>
                <w:b/>
                <w:bCs/>
                <w:sz w:val="16"/>
                <w:szCs w:val="20"/>
                <w:lang w:val="vi-VN"/>
              </w:rPr>
            </w:pPr>
            <w:r w:rsidRPr="00AC045F">
              <w:rPr>
                <w:b/>
                <w:bCs/>
                <w:sz w:val="16"/>
                <w:szCs w:val="20"/>
                <w:lang w:val="vi-VN"/>
              </w:rPr>
              <w:t>336,430</w:t>
            </w:r>
          </w:p>
        </w:tc>
      </w:tr>
      <w:tr w:rsidR="00822A6A" w:rsidRPr="00AC045F" w14:paraId="5A3727DA" w14:textId="77777777" w:rsidTr="00822A6A">
        <w:trPr>
          <w:trHeight w:val="124"/>
          <w:jc w:val="center"/>
        </w:trPr>
        <w:tc>
          <w:tcPr>
            <w:tcW w:w="569" w:type="dxa"/>
            <w:vAlign w:val="center"/>
          </w:tcPr>
          <w:p w14:paraId="1209C601" w14:textId="540ED296" w:rsidR="00822A6A" w:rsidRPr="00AC045F" w:rsidRDefault="00822A6A" w:rsidP="00822A6A">
            <w:pPr>
              <w:pStyle w:val="Default"/>
              <w:jc w:val="center"/>
              <w:rPr>
                <w:sz w:val="16"/>
                <w:szCs w:val="20"/>
                <w:lang w:val="vi-VN"/>
              </w:rPr>
            </w:pPr>
            <w:r w:rsidRPr="00AC045F">
              <w:rPr>
                <w:sz w:val="16"/>
                <w:szCs w:val="20"/>
                <w:lang w:val="vi-VN"/>
              </w:rPr>
              <w:t>1</w:t>
            </w:r>
          </w:p>
        </w:tc>
        <w:tc>
          <w:tcPr>
            <w:tcW w:w="1797" w:type="dxa"/>
            <w:vAlign w:val="center"/>
          </w:tcPr>
          <w:p w14:paraId="1BFDD122" w14:textId="63F81532" w:rsidR="00822A6A" w:rsidRPr="00AC045F" w:rsidRDefault="00822A6A" w:rsidP="00822A6A">
            <w:pPr>
              <w:pStyle w:val="Default"/>
              <w:jc w:val="center"/>
              <w:rPr>
                <w:sz w:val="16"/>
                <w:szCs w:val="20"/>
                <w:lang w:val="vi-VN"/>
              </w:rPr>
            </w:pPr>
            <w:r w:rsidRPr="00AC045F">
              <w:rPr>
                <w:sz w:val="16"/>
                <w:szCs w:val="20"/>
                <w:lang w:val="vi-VN"/>
              </w:rPr>
              <w:t>Dak Lak</w:t>
            </w:r>
          </w:p>
        </w:tc>
        <w:tc>
          <w:tcPr>
            <w:tcW w:w="1276" w:type="dxa"/>
            <w:vAlign w:val="center"/>
          </w:tcPr>
          <w:p w14:paraId="734CC4BD" w14:textId="4B6ABBB1" w:rsidR="00822A6A" w:rsidRPr="00AC045F" w:rsidRDefault="00822A6A" w:rsidP="00822A6A">
            <w:pPr>
              <w:pStyle w:val="Default"/>
              <w:jc w:val="center"/>
              <w:rPr>
                <w:sz w:val="16"/>
                <w:szCs w:val="20"/>
              </w:rPr>
            </w:pPr>
            <w:r w:rsidRPr="00AC045F">
              <w:rPr>
                <w:sz w:val="16"/>
                <w:szCs w:val="20"/>
                <w:lang w:val="vi-VN"/>
              </w:rPr>
              <w:t>7,505</w:t>
            </w:r>
          </w:p>
        </w:tc>
        <w:tc>
          <w:tcPr>
            <w:tcW w:w="1179" w:type="dxa"/>
            <w:vAlign w:val="center"/>
          </w:tcPr>
          <w:p w14:paraId="63247A1F" w14:textId="5CA63855" w:rsidR="00822A6A" w:rsidRPr="00AC045F" w:rsidRDefault="00822A6A" w:rsidP="00822A6A">
            <w:pPr>
              <w:pStyle w:val="Default"/>
              <w:jc w:val="center"/>
              <w:rPr>
                <w:sz w:val="16"/>
                <w:szCs w:val="20"/>
                <w:lang w:val="vi-VN"/>
              </w:rPr>
            </w:pPr>
            <w:r w:rsidRPr="00AC045F">
              <w:rPr>
                <w:sz w:val="16"/>
                <w:szCs w:val="20"/>
                <w:lang w:val="vi-VN"/>
              </w:rPr>
              <w:t>19.76</w:t>
            </w:r>
          </w:p>
        </w:tc>
        <w:tc>
          <w:tcPr>
            <w:tcW w:w="1089" w:type="dxa"/>
            <w:vAlign w:val="center"/>
          </w:tcPr>
          <w:p w14:paraId="096DF405" w14:textId="3751A55A" w:rsidR="00822A6A" w:rsidRPr="00AC045F" w:rsidRDefault="009B56F9" w:rsidP="00822A6A">
            <w:pPr>
              <w:pStyle w:val="Default"/>
              <w:jc w:val="center"/>
              <w:rPr>
                <w:sz w:val="16"/>
                <w:szCs w:val="20"/>
                <w:lang w:val="vi-VN"/>
              </w:rPr>
            </w:pPr>
            <w:r w:rsidRPr="00AC045F">
              <w:rPr>
                <w:sz w:val="16"/>
                <w:szCs w:val="20"/>
                <w:lang w:val="vi-VN"/>
              </w:rPr>
              <w:t>190,092</w:t>
            </w:r>
          </w:p>
        </w:tc>
      </w:tr>
      <w:tr w:rsidR="00822A6A" w:rsidRPr="00AC045F" w14:paraId="5D0220B4" w14:textId="77777777" w:rsidTr="00822A6A">
        <w:trPr>
          <w:trHeight w:val="124"/>
          <w:jc w:val="center"/>
        </w:trPr>
        <w:tc>
          <w:tcPr>
            <w:tcW w:w="569" w:type="dxa"/>
            <w:vAlign w:val="center"/>
          </w:tcPr>
          <w:p w14:paraId="1100AD57" w14:textId="566F9964" w:rsidR="00822A6A" w:rsidRPr="00AC045F" w:rsidRDefault="00822A6A" w:rsidP="00822A6A">
            <w:pPr>
              <w:pStyle w:val="Default"/>
              <w:jc w:val="center"/>
              <w:rPr>
                <w:sz w:val="16"/>
                <w:szCs w:val="20"/>
                <w:lang w:val="vi-VN"/>
              </w:rPr>
            </w:pPr>
            <w:r w:rsidRPr="00AC045F">
              <w:rPr>
                <w:sz w:val="16"/>
                <w:szCs w:val="20"/>
                <w:lang w:val="vi-VN"/>
              </w:rPr>
              <w:t>2</w:t>
            </w:r>
          </w:p>
        </w:tc>
        <w:tc>
          <w:tcPr>
            <w:tcW w:w="1797" w:type="dxa"/>
            <w:vAlign w:val="center"/>
          </w:tcPr>
          <w:p w14:paraId="62069F98" w14:textId="49C133E2" w:rsidR="00822A6A" w:rsidRPr="00AC045F" w:rsidRDefault="00822A6A" w:rsidP="00822A6A">
            <w:pPr>
              <w:pStyle w:val="Default"/>
              <w:jc w:val="center"/>
              <w:rPr>
                <w:sz w:val="16"/>
                <w:szCs w:val="20"/>
                <w:lang w:val="vi-VN"/>
              </w:rPr>
            </w:pPr>
            <w:r w:rsidRPr="00AC045F">
              <w:rPr>
                <w:sz w:val="16"/>
                <w:szCs w:val="20"/>
                <w:lang w:val="vi-VN"/>
              </w:rPr>
              <w:t>Lam Dong</w:t>
            </w:r>
          </w:p>
        </w:tc>
        <w:tc>
          <w:tcPr>
            <w:tcW w:w="1276" w:type="dxa"/>
            <w:vAlign w:val="center"/>
          </w:tcPr>
          <w:p w14:paraId="332584E1" w14:textId="5DF0E4A2" w:rsidR="00822A6A" w:rsidRPr="00AC045F" w:rsidRDefault="00822A6A" w:rsidP="00822A6A">
            <w:pPr>
              <w:pStyle w:val="Default"/>
              <w:jc w:val="center"/>
              <w:rPr>
                <w:sz w:val="16"/>
                <w:szCs w:val="20"/>
                <w:lang w:val="vi-VN"/>
              </w:rPr>
            </w:pPr>
            <w:r w:rsidRPr="00AC045F">
              <w:rPr>
                <w:sz w:val="16"/>
                <w:szCs w:val="20"/>
                <w:lang w:val="vi-VN"/>
              </w:rPr>
              <w:t>3,019</w:t>
            </w:r>
          </w:p>
        </w:tc>
        <w:tc>
          <w:tcPr>
            <w:tcW w:w="1179" w:type="dxa"/>
            <w:vAlign w:val="center"/>
          </w:tcPr>
          <w:p w14:paraId="41676C7A" w14:textId="19365366" w:rsidR="00822A6A" w:rsidRPr="00AC045F" w:rsidRDefault="00822A6A" w:rsidP="00822A6A">
            <w:pPr>
              <w:pStyle w:val="Default"/>
              <w:jc w:val="center"/>
              <w:rPr>
                <w:sz w:val="16"/>
                <w:szCs w:val="20"/>
                <w:lang w:val="vi-VN"/>
              </w:rPr>
            </w:pPr>
            <w:r w:rsidRPr="00AC045F">
              <w:rPr>
                <w:sz w:val="16"/>
                <w:szCs w:val="20"/>
                <w:lang w:val="vi-VN"/>
              </w:rPr>
              <w:t>13.30</w:t>
            </w:r>
          </w:p>
        </w:tc>
        <w:tc>
          <w:tcPr>
            <w:tcW w:w="1089" w:type="dxa"/>
            <w:vAlign w:val="center"/>
          </w:tcPr>
          <w:p w14:paraId="37B95BC3" w14:textId="33648BE5" w:rsidR="00822A6A" w:rsidRPr="00AC045F" w:rsidRDefault="009B56F9" w:rsidP="00822A6A">
            <w:pPr>
              <w:pStyle w:val="Default"/>
              <w:jc w:val="center"/>
              <w:rPr>
                <w:sz w:val="16"/>
                <w:szCs w:val="20"/>
                <w:lang w:val="vi-VN"/>
              </w:rPr>
            </w:pPr>
            <w:r w:rsidRPr="00AC045F">
              <w:rPr>
                <w:sz w:val="16"/>
                <w:szCs w:val="20"/>
                <w:lang w:val="vi-VN"/>
              </w:rPr>
              <w:t>106,158</w:t>
            </w:r>
          </w:p>
        </w:tc>
      </w:tr>
      <w:tr w:rsidR="00822A6A" w:rsidRPr="00AC045F" w14:paraId="63BDF04E" w14:textId="77777777" w:rsidTr="00822A6A">
        <w:trPr>
          <w:trHeight w:val="124"/>
          <w:jc w:val="center"/>
        </w:trPr>
        <w:tc>
          <w:tcPr>
            <w:tcW w:w="569" w:type="dxa"/>
            <w:vAlign w:val="center"/>
          </w:tcPr>
          <w:p w14:paraId="35AD8391" w14:textId="38F9C91C" w:rsidR="00822A6A" w:rsidRPr="00AC045F" w:rsidRDefault="00822A6A" w:rsidP="00822A6A">
            <w:pPr>
              <w:pStyle w:val="Default"/>
              <w:jc w:val="center"/>
              <w:rPr>
                <w:sz w:val="16"/>
                <w:szCs w:val="20"/>
              </w:rPr>
            </w:pPr>
          </w:p>
        </w:tc>
        <w:tc>
          <w:tcPr>
            <w:tcW w:w="1797" w:type="dxa"/>
            <w:vAlign w:val="center"/>
          </w:tcPr>
          <w:p w14:paraId="5C9D13E9" w14:textId="4B85C1D5" w:rsidR="00822A6A" w:rsidRPr="00AC045F" w:rsidRDefault="00822A6A" w:rsidP="00822A6A">
            <w:pPr>
              <w:pStyle w:val="Default"/>
              <w:jc w:val="center"/>
              <w:rPr>
                <w:b/>
                <w:bCs/>
                <w:sz w:val="16"/>
                <w:szCs w:val="20"/>
                <w:lang w:val="vi-VN"/>
              </w:rPr>
            </w:pPr>
            <w:r w:rsidRPr="00AC045F">
              <w:rPr>
                <w:b/>
                <w:bCs/>
                <w:sz w:val="16"/>
                <w:szCs w:val="20"/>
                <w:lang w:val="vi-VN"/>
              </w:rPr>
              <w:t>Mekong Delta</w:t>
            </w:r>
          </w:p>
        </w:tc>
        <w:tc>
          <w:tcPr>
            <w:tcW w:w="1276" w:type="dxa"/>
            <w:vAlign w:val="center"/>
          </w:tcPr>
          <w:p w14:paraId="1111C15E" w14:textId="4345765B" w:rsidR="00822A6A" w:rsidRPr="00AC045F" w:rsidRDefault="00822A6A" w:rsidP="00822A6A">
            <w:pPr>
              <w:pStyle w:val="Default"/>
              <w:jc w:val="center"/>
              <w:rPr>
                <w:b/>
                <w:bCs/>
                <w:sz w:val="16"/>
                <w:szCs w:val="20"/>
                <w:lang w:val="vi-VN"/>
              </w:rPr>
            </w:pPr>
            <w:r w:rsidRPr="00AC045F">
              <w:rPr>
                <w:b/>
                <w:bCs/>
                <w:sz w:val="16"/>
                <w:szCs w:val="20"/>
                <w:lang w:val="vi-VN"/>
              </w:rPr>
              <w:t>6,972</w:t>
            </w:r>
          </w:p>
        </w:tc>
        <w:tc>
          <w:tcPr>
            <w:tcW w:w="1179" w:type="dxa"/>
            <w:vAlign w:val="center"/>
          </w:tcPr>
          <w:p w14:paraId="7133DFF4" w14:textId="43148393" w:rsidR="00822A6A" w:rsidRPr="00AC045F" w:rsidRDefault="00822A6A" w:rsidP="00822A6A">
            <w:pPr>
              <w:pStyle w:val="Default"/>
              <w:jc w:val="center"/>
              <w:rPr>
                <w:b/>
                <w:bCs/>
                <w:sz w:val="16"/>
                <w:szCs w:val="20"/>
                <w:lang w:val="vi-VN"/>
              </w:rPr>
            </w:pPr>
            <w:r w:rsidRPr="00AC045F">
              <w:rPr>
                <w:b/>
                <w:bCs/>
                <w:sz w:val="16"/>
                <w:szCs w:val="20"/>
                <w:lang w:val="vi-VN"/>
              </w:rPr>
              <w:t>19.77</w:t>
            </w:r>
          </w:p>
        </w:tc>
        <w:tc>
          <w:tcPr>
            <w:tcW w:w="1089" w:type="dxa"/>
            <w:vAlign w:val="center"/>
          </w:tcPr>
          <w:p w14:paraId="6E23854E" w14:textId="07EA4026" w:rsidR="00822A6A" w:rsidRPr="00AC045F" w:rsidRDefault="009B56F9" w:rsidP="00822A6A">
            <w:pPr>
              <w:pStyle w:val="Default"/>
              <w:jc w:val="center"/>
              <w:rPr>
                <w:b/>
                <w:bCs/>
                <w:sz w:val="16"/>
                <w:szCs w:val="20"/>
                <w:lang w:val="vi-VN"/>
              </w:rPr>
            </w:pPr>
            <w:r w:rsidRPr="00AC045F">
              <w:rPr>
                <w:b/>
                <w:bCs/>
                <w:sz w:val="16"/>
                <w:szCs w:val="20"/>
                <w:lang w:val="vi-VN"/>
              </w:rPr>
              <w:t>371,987</w:t>
            </w:r>
          </w:p>
        </w:tc>
      </w:tr>
      <w:tr w:rsidR="00822A6A" w:rsidRPr="00AC045F" w14:paraId="4314EE2E" w14:textId="77777777" w:rsidTr="00822A6A">
        <w:trPr>
          <w:trHeight w:val="124"/>
          <w:jc w:val="center"/>
        </w:trPr>
        <w:tc>
          <w:tcPr>
            <w:tcW w:w="569" w:type="dxa"/>
            <w:vAlign w:val="center"/>
          </w:tcPr>
          <w:p w14:paraId="08B8BAA1" w14:textId="3CE7F2EF" w:rsidR="00822A6A" w:rsidRPr="00AC045F" w:rsidRDefault="00822A6A" w:rsidP="00822A6A">
            <w:pPr>
              <w:pStyle w:val="Default"/>
              <w:jc w:val="center"/>
              <w:rPr>
                <w:sz w:val="16"/>
                <w:szCs w:val="20"/>
                <w:lang w:val="vi-VN"/>
              </w:rPr>
            </w:pPr>
            <w:r w:rsidRPr="00AC045F">
              <w:rPr>
                <w:sz w:val="16"/>
                <w:szCs w:val="20"/>
                <w:lang w:val="vi-VN"/>
              </w:rPr>
              <w:t>3</w:t>
            </w:r>
          </w:p>
        </w:tc>
        <w:tc>
          <w:tcPr>
            <w:tcW w:w="1797" w:type="dxa"/>
            <w:vAlign w:val="center"/>
          </w:tcPr>
          <w:p w14:paraId="31DC613F" w14:textId="4F239428" w:rsidR="00822A6A" w:rsidRPr="00AC045F" w:rsidRDefault="00822A6A" w:rsidP="00822A6A">
            <w:pPr>
              <w:pStyle w:val="Default"/>
              <w:jc w:val="center"/>
              <w:rPr>
                <w:sz w:val="16"/>
                <w:szCs w:val="20"/>
                <w:lang w:val="vi-VN"/>
              </w:rPr>
            </w:pPr>
            <w:r w:rsidRPr="00AC045F">
              <w:rPr>
                <w:sz w:val="16"/>
                <w:szCs w:val="20"/>
                <w:lang w:val="vi-VN"/>
              </w:rPr>
              <w:t>Tien Giang</w:t>
            </w:r>
          </w:p>
        </w:tc>
        <w:tc>
          <w:tcPr>
            <w:tcW w:w="1276" w:type="dxa"/>
            <w:vAlign w:val="center"/>
          </w:tcPr>
          <w:p w14:paraId="6E8B6E8C" w14:textId="69464584" w:rsidR="00822A6A" w:rsidRPr="00AC045F" w:rsidRDefault="00822A6A" w:rsidP="00822A6A">
            <w:pPr>
              <w:pStyle w:val="Default"/>
              <w:jc w:val="center"/>
              <w:rPr>
                <w:sz w:val="16"/>
                <w:szCs w:val="20"/>
              </w:rPr>
            </w:pPr>
            <w:r w:rsidRPr="00AC045F">
              <w:rPr>
                <w:sz w:val="16"/>
                <w:szCs w:val="20"/>
                <w:lang w:val="vi-VN"/>
              </w:rPr>
              <w:t>3,259</w:t>
            </w:r>
          </w:p>
        </w:tc>
        <w:tc>
          <w:tcPr>
            <w:tcW w:w="1179" w:type="dxa"/>
            <w:vAlign w:val="center"/>
          </w:tcPr>
          <w:p w14:paraId="761CE7B1" w14:textId="306CA424" w:rsidR="00822A6A" w:rsidRPr="00AC045F" w:rsidRDefault="00822A6A" w:rsidP="00822A6A">
            <w:pPr>
              <w:pStyle w:val="Default"/>
              <w:jc w:val="center"/>
              <w:rPr>
                <w:sz w:val="16"/>
                <w:szCs w:val="20"/>
                <w:lang w:val="vi-VN"/>
              </w:rPr>
            </w:pPr>
            <w:r w:rsidRPr="00AC045F">
              <w:rPr>
                <w:sz w:val="16"/>
                <w:szCs w:val="20"/>
                <w:lang w:val="vi-VN"/>
              </w:rPr>
              <w:t>26.46</w:t>
            </w:r>
          </w:p>
        </w:tc>
        <w:tc>
          <w:tcPr>
            <w:tcW w:w="1089" w:type="dxa"/>
            <w:vAlign w:val="center"/>
          </w:tcPr>
          <w:p w14:paraId="4DF174A6" w14:textId="6B2BAD91" w:rsidR="00822A6A" w:rsidRPr="00AC045F" w:rsidRDefault="009B56F9" w:rsidP="00822A6A">
            <w:pPr>
              <w:pStyle w:val="Default"/>
              <w:jc w:val="center"/>
              <w:rPr>
                <w:sz w:val="16"/>
                <w:szCs w:val="20"/>
                <w:lang w:val="vi-VN"/>
              </w:rPr>
            </w:pPr>
            <w:r w:rsidRPr="00AC045F">
              <w:rPr>
                <w:sz w:val="16"/>
                <w:szCs w:val="20"/>
                <w:lang w:val="vi-VN"/>
              </w:rPr>
              <w:t>278,249</w:t>
            </w:r>
          </w:p>
        </w:tc>
      </w:tr>
      <w:tr w:rsidR="00822A6A" w:rsidRPr="00AC045F" w14:paraId="75EC6AE9" w14:textId="77777777" w:rsidTr="00822A6A">
        <w:trPr>
          <w:trHeight w:val="124"/>
          <w:jc w:val="center"/>
        </w:trPr>
        <w:tc>
          <w:tcPr>
            <w:tcW w:w="569" w:type="dxa"/>
            <w:vAlign w:val="center"/>
          </w:tcPr>
          <w:p w14:paraId="15022771" w14:textId="295F981D" w:rsidR="00822A6A" w:rsidRPr="00AC045F" w:rsidRDefault="00822A6A" w:rsidP="00822A6A">
            <w:pPr>
              <w:pStyle w:val="Default"/>
              <w:jc w:val="center"/>
              <w:rPr>
                <w:sz w:val="16"/>
                <w:szCs w:val="20"/>
                <w:lang w:val="vi-VN"/>
              </w:rPr>
            </w:pPr>
            <w:r w:rsidRPr="00AC045F">
              <w:rPr>
                <w:sz w:val="16"/>
                <w:szCs w:val="20"/>
                <w:lang w:val="vi-VN"/>
              </w:rPr>
              <w:t>4</w:t>
            </w:r>
          </w:p>
        </w:tc>
        <w:tc>
          <w:tcPr>
            <w:tcW w:w="1797" w:type="dxa"/>
            <w:vAlign w:val="center"/>
          </w:tcPr>
          <w:p w14:paraId="0EAFCD88" w14:textId="746C58C1" w:rsidR="00822A6A" w:rsidRPr="00AC045F" w:rsidRDefault="00822A6A" w:rsidP="00822A6A">
            <w:pPr>
              <w:pStyle w:val="Default"/>
              <w:jc w:val="center"/>
              <w:rPr>
                <w:sz w:val="16"/>
                <w:szCs w:val="20"/>
                <w:lang w:val="vi-VN"/>
              </w:rPr>
            </w:pPr>
            <w:r w:rsidRPr="00AC045F">
              <w:rPr>
                <w:sz w:val="16"/>
                <w:szCs w:val="20"/>
                <w:lang w:val="vi-VN"/>
              </w:rPr>
              <w:t>Vinh Long</w:t>
            </w:r>
          </w:p>
        </w:tc>
        <w:tc>
          <w:tcPr>
            <w:tcW w:w="1276" w:type="dxa"/>
            <w:vAlign w:val="center"/>
          </w:tcPr>
          <w:p w14:paraId="096C85B8" w14:textId="06F3A0A5" w:rsidR="00822A6A" w:rsidRPr="00AC045F" w:rsidRDefault="00822A6A" w:rsidP="00822A6A">
            <w:pPr>
              <w:pStyle w:val="Default"/>
              <w:jc w:val="center"/>
              <w:rPr>
                <w:sz w:val="16"/>
                <w:szCs w:val="20"/>
                <w:lang w:val="vi-VN"/>
              </w:rPr>
            </w:pPr>
            <w:r w:rsidRPr="00AC045F">
              <w:rPr>
                <w:sz w:val="16"/>
                <w:szCs w:val="20"/>
                <w:lang w:val="vi-VN"/>
              </w:rPr>
              <w:t>296</w:t>
            </w:r>
          </w:p>
        </w:tc>
        <w:tc>
          <w:tcPr>
            <w:tcW w:w="1179" w:type="dxa"/>
            <w:vAlign w:val="center"/>
          </w:tcPr>
          <w:p w14:paraId="235296DF" w14:textId="1AC098D2" w:rsidR="00822A6A" w:rsidRPr="00AC045F" w:rsidRDefault="00822A6A" w:rsidP="00822A6A">
            <w:pPr>
              <w:pStyle w:val="Default"/>
              <w:jc w:val="center"/>
              <w:rPr>
                <w:sz w:val="16"/>
                <w:szCs w:val="20"/>
                <w:lang w:val="vi-VN"/>
              </w:rPr>
            </w:pPr>
            <w:r w:rsidRPr="00AC045F">
              <w:rPr>
                <w:sz w:val="16"/>
                <w:szCs w:val="20"/>
                <w:lang w:val="vi-VN"/>
              </w:rPr>
              <w:t>14.10</w:t>
            </w:r>
          </w:p>
        </w:tc>
        <w:tc>
          <w:tcPr>
            <w:tcW w:w="1089" w:type="dxa"/>
            <w:vAlign w:val="center"/>
          </w:tcPr>
          <w:p w14:paraId="3272B73D" w14:textId="31BBD108" w:rsidR="00822A6A" w:rsidRPr="00AC045F" w:rsidRDefault="009B56F9" w:rsidP="00822A6A">
            <w:pPr>
              <w:pStyle w:val="Default"/>
              <w:jc w:val="center"/>
              <w:rPr>
                <w:sz w:val="16"/>
                <w:szCs w:val="20"/>
                <w:lang w:val="vi-VN"/>
              </w:rPr>
            </w:pPr>
            <w:r w:rsidRPr="00AC045F">
              <w:rPr>
                <w:sz w:val="16"/>
                <w:szCs w:val="20"/>
                <w:lang w:val="vi-VN"/>
              </w:rPr>
              <w:t>39,289</w:t>
            </w:r>
          </w:p>
        </w:tc>
      </w:tr>
      <w:tr w:rsidR="00822A6A" w:rsidRPr="00AC045F" w14:paraId="4BFDBC35" w14:textId="77777777" w:rsidTr="00822A6A">
        <w:trPr>
          <w:trHeight w:val="124"/>
          <w:jc w:val="center"/>
        </w:trPr>
        <w:tc>
          <w:tcPr>
            <w:tcW w:w="569" w:type="dxa"/>
            <w:vAlign w:val="center"/>
          </w:tcPr>
          <w:p w14:paraId="09CE5EFD" w14:textId="535B497B" w:rsidR="00822A6A" w:rsidRPr="00AC045F" w:rsidRDefault="00822A6A" w:rsidP="00822A6A">
            <w:pPr>
              <w:pStyle w:val="Default"/>
              <w:jc w:val="center"/>
              <w:rPr>
                <w:sz w:val="16"/>
                <w:szCs w:val="20"/>
                <w:lang w:val="vi-VN"/>
              </w:rPr>
            </w:pPr>
            <w:r w:rsidRPr="00AC045F">
              <w:rPr>
                <w:sz w:val="16"/>
                <w:szCs w:val="20"/>
                <w:lang w:val="vi-VN"/>
              </w:rPr>
              <w:t>5</w:t>
            </w:r>
          </w:p>
        </w:tc>
        <w:tc>
          <w:tcPr>
            <w:tcW w:w="1797" w:type="dxa"/>
            <w:vAlign w:val="center"/>
          </w:tcPr>
          <w:p w14:paraId="4D1ECA6E" w14:textId="59C6BB91" w:rsidR="00822A6A" w:rsidRPr="00AC045F" w:rsidRDefault="00822A6A" w:rsidP="00822A6A">
            <w:pPr>
              <w:pStyle w:val="Default"/>
              <w:jc w:val="center"/>
              <w:rPr>
                <w:sz w:val="16"/>
                <w:szCs w:val="20"/>
                <w:lang w:val="vi-VN"/>
              </w:rPr>
            </w:pPr>
            <w:r w:rsidRPr="00AC045F">
              <w:rPr>
                <w:sz w:val="16"/>
                <w:szCs w:val="20"/>
                <w:lang w:val="vi-VN"/>
              </w:rPr>
              <w:t>Can Tho</w:t>
            </w:r>
          </w:p>
        </w:tc>
        <w:tc>
          <w:tcPr>
            <w:tcW w:w="1276" w:type="dxa"/>
            <w:vAlign w:val="center"/>
          </w:tcPr>
          <w:p w14:paraId="3148B27B" w14:textId="546FCB27" w:rsidR="00822A6A" w:rsidRPr="00AC045F" w:rsidRDefault="00822A6A" w:rsidP="00822A6A">
            <w:pPr>
              <w:pStyle w:val="Default"/>
              <w:jc w:val="center"/>
              <w:rPr>
                <w:sz w:val="16"/>
                <w:szCs w:val="20"/>
                <w:lang w:val="vi-VN"/>
              </w:rPr>
            </w:pPr>
            <w:r w:rsidRPr="00AC045F">
              <w:rPr>
                <w:sz w:val="16"/>
                <w:szCs w:val="20"/>
                <w:lang w:val="vi-VN"/>
              </w:rPr>
              <w:t>549</w:t>
            </w:r>
          </w:p>
        </w:tc>
        <w:tc>
          <w:tcPr>
            <w:tcW w:w="1179" w:type="dxa"/>
            <w:vAlign w:val="center"/>
          </w:tcPr>
          <w:p w14:paraId="4CF3EE53" w14:textId="0114DF84" w:rsidR="00822A6A" w:rsidRPr="00AC045F" w:rsidRDefault="00822A6A" w:rsidP="00822A6A">
            <w:pPr>
              <w:pStyle w:val="Default"/>
              <w:jc w:val="center"/>
              <w:rPr>
                <w:sz w:val="16"/>
                <w:szCs w:val="20"/>
                <w:lang w:val="vi-VN"/>
              </w:rPr>
            </w:pPr>
            <w:r w:rsidRPr="00AC045F">
              <w:rPr>
                <w:sz w:val="16"/>
                <w:szCs w:val="20"/>
                <w:lang w:val="vi-VN"/>
              </w:rPr>
              <w:t>9.65</w:t>
            </w:r>
          </w:p>
        </w:tc>
        <w:tc>
          <w:tcPr>
            <w:tcW w:w="1089" w:type="dxa"/>
            <w:vAlign w:val="center"/>
          </w:tcPr>
          <w:p w14:paraId="450AD798" w14:textId="2D4DD530" w:rsidR="00822A6A" w:rsidRPr="00AC045F" w:rsidRDefault="009B56F9" w:rsidP="00822A6A">
            <w:pPr>
              <w:pStyle w:val="Default"/>
              <w:jc w:val="center"/>
              <w:rPr>
                <w:sz w:val="16"/>
                <w:szCs w:val="20"/>
                <w:lang w:val="vi-VN"/>
              </w:rPr>
            </w:pPr>
            <w:r w:rsidRPr="00AC045F">
              <w:rPr>
                <w:sz w:val="16"/>
                <w:szCs w:val="20"/>
                <w:lang w:val="vi-VN"/>
              </w:rPr>
              <w:t>17,305</w:t>
            </w:r>
          </w:p>
        </w:tc>
      </w:tr>
      <w:tr w:rsidR="00822A6A" w:rsidRPr="00AC045F" w14:paraId="5E5B1605" w14:textId="77777777" w:rsidTr="00822A6A">
        <w:trPr>
          <w:trHeight w:val="124"/>
          <w:jc w:val="center"/>
        </w:trPr>
        <w:tc>
          <w:tcPr>
            <w:tcW w:w="569" w:type="dxa"/>
            <w:vAlign w:val="center"/>
          </w:tcPr>
          <w:p w14:paraId="602A1CDC" w14:textId="77777777" w:rsidR="00822A6A" w:rsidRPr="00AC045F" w:rsidRDefault="00822A6A" w:rsidP="00822A6A">
            <w:pPr>
              <w:pStyle w:val="Default"/>
              <w:jc w:val="center"/>
              <w:rPr>
                <w:sz w:val="16"/>
                <w:szCs w:val="20"/>
              </w:rPr>
            </w:pPr>
          </w:p>
        </w:tc>
        <w:tc>
          <w:tcPr>
            <w:tcW w:w="1797" w:type="dxa"/>
            <w:vAlign w:val="center"/>
          </w:tcPr>
          <w:p w14:paraId="4AA21B6F" w14:textId="5A1E99F6" w:rsidR="00822A6A" w:rsidRPr="00AC045F" w:rsidRDefault="00822A6A" w:rsidP="00822A6A">
            <w:pPr>
              <w:pStyle w:val="Default"/>
              <w:jc w:val="center"/>
              <w:rPr>
                <w:b/>
                <w:bCs/>
                <w:sz w:val="16"/>
                <w:szCs w:val="20"/>
                <w:lang w:val="vi-VN"/>
              </w:rPr>
            </w:pPr>
            <w:r w:rsidRPr="00AC045F">
              <w:rPr>
                <w:b/>
                <w:bCs/>
                <w:sz w:val="16"/>
                <w:szCs w:val="20"/>
                <w:lang w:val="vi-VN"/>
              </w:rPr>
              <w:t>South Eastern regions</w:t>
            </w:r>
          </w:p>
        </w:tc>
        <w:tc>
          <w:tcPr>
            <w:tcW w:w="1276" w:type="dxa"/>
            <w:vAlign w:val="center"/>
          </w:tcPr>
          <w:p w14:paraId="4803404C" w14:textId="09896620" w:rsidR="00822A6A" w:rsidRPr="00AC045F" w:rsidRDefault="00822A6A" w:rsidP="00822A6A">
            <w:pPr>
              <w:pStyle w:val="Default"/>
              <w:jc w:val="center"/>
              <w:rPr>
                <w:b/>
                <w:bCs/>
                <w:sz w:val="16"/>
                <w:szCs w:val="20"/>
                <w:lang w:val="vi-VN"/>
              </w:rPr>
            </w:pPr>
            <w:r w:rsidRPr="00AC045F">
              <w:rPr>
                <w:b/>
                <w:bCs/>
                <w:sz w:val="16"/>
                <w:szCs w:val="20"/>
                <w:lang w:val="vi-VN"/>
              </w:rPr>
              <w:t>4,788</w:t>
            </w:r>
          </w:p>
        </w:tc>
        <w:tc>
          <w:tcPr>
            <w:tcW w:w="1179" w:type="dxa"/>
            <w:vAlign w:val="center"/>
          </w:tcPr>
          <w:p w14:paraId="3FC68EAF" w14:textId="1F0C5D61" w:rsidR="00822A6A" w:rsidRPr="00AC045F" w:rsidRDefault="00822A6A" w:rsidP="00822A6A">
            <w:pPr>
              <w:pStyle w:val="Default"/>
              <w:jc w:val="center"/>
              <w:rPr>
                <w:b/>
                <w:bCs/>
                <w:sz w:val="16"/>
                <w:szCs w:val="20"/>
                <w:lang w:val="vi-VN"/>
              </w:rPr>
            </w:pPr>
            <w:r w:rsidRPr="00AC045F">
              <w:rPr>
                <w:b/>
                <w:bCs/>
                <w:sz w:val="16"/>
                <w:szCs w:val="20"/>
                <w:lang w:val="vi-VN"/>
              </w:rPr>
              <w:t>10.43</w:t>
            </w:r>
          </w:p>
        </w:tc>
        <w:tc>
          <w:tcPr>
            <w:tcW w:w="1089" w:type="dxa"/>
            <w:vAlign w:val="center"/>
          </w:tcPr>
          <w:p w14:paraId="3F5C98B4" w14:textId="02350D8A" w:rsidR="00822A6A" w:rsidRPr="00AC045F" w:rsidRDefault="009B56F9" w:rsidP="00822A6A">
            <w:pPr>
              <w:pStyle w:val="Default"/>
              <w:jc w:val="center"/>
              <w:rPr>
                <w:b/>
                <w:bCs/>
                <w:sz w:val="16"/>
                <w:szCs w:val="20"/>
                <w:lang w:val="vi-VN"/>
              </w:rPr>
            </w:pPr>
            <w:r w:rsidRPr="00AC045F">
              <w:rPr>
                <w:b/>
                <w:bCs/>
                <w:sz w:val="16"/>
                <w:szCs w:val="20"/>
                <w:lang w:val="vi-VN"/>
              </w:rPr>
              <w:t>122,899</w:t>
            </w:r>
          </w:p>
        </w:tc>
      </w:tr>
      <w:tr w:rsidR="00822A6A" w:rsidRPr="00AC045F" w14:paraId="712A273F" w14:textId="77777777" w:rsidTr="00822A6A">
        <w:trPr>
          <w:trHeight w:val="124"/>
          <w:jc w:val="center"/>
        </w:trPr>
        <w:tc>
          <w:tcPr>
            <w:tcW w:w="569" w:type="dxa"/>
            <w:vAlign w:val="center"/>
          </w:tcPr>
          <w:p w14:paraId="6768957B" w14:textId="701ECF51" w:rsidR="00822A6A" w:rsidRPr="00AC045F" w:rsidRDefault="00822A6A" w:rsidP="00822A6A">
            <w:pPr>
              <w:pStyle w:val="Default"/>
              <w:jc w:val="center"/>
              <w:rPr>
                <w:sz w:val="16"/>
                <w:szCs w:val="20"/>
                <w:lang w:val="vi-VN"/>
              </w:rPr>
            </w:pPr>
            <w:r w:rsidRPr="00AC045F">
              <w:rPr>
                <w:sz w:val="16"/>
                <w:szCs w:val="20"/>
                <w:lang w:val="vi-VN"/>
              </w:rPr>
              <w:t>6</w:t>
            </w:r>
          </w:p>
        </w:tc>
        <w:tc>
          <w:tcPr>
            <w:tcW w:w="1797" w:type="dxa"/>
            <w:vAlign w:val="center"/>
          </w:tcPr>
          <w:p w14:paraId="323B7D74" w14:textId="50735376" w:rsidR="00822A6A" w:rsidRPr="00AC045F" w:rsidRDefault="00822A6A" w:rsidP="00822A6A">
            <w:pPr>
              <w:pStyle w:val="Default"/>
              <w:jc w:val="center"/>
              <w:rPr>
                <w:sz w:val="16"/>
                <w:szCs w:val="20"/>
                <w:lang w:val="vi-VN"/>
              </w:rPr>
            </w:pPr>
            <w:r w:rsidRPr="00AC045F">
              <w:rPr>
                <w:sz w:val="16"/>
                <w:szCs w:val="20"/>
                <w:lang w:val="vi-VN"/>
              </w:rPr>
              <w:t>Dong Nai</w:t>
            </w:r>
          </w:p>
        </w:tc>
        <w:tc>
          <w:tcPr>
            <w:tcW w:w="1276" w:type="dxa"/>
            <w:vAlign w:val="center"/>
          </w:tcPr>
          <w:p w14:paraId="2F48A8F4" w14:textId="3ED0B152" w:rsidR="00822A6A" w:rsidRPr="00AC045F" w:rsidRDefault="00822A6A" w:rsidP="00822A6A">
            <w:pPr>
              <w:pStyle w:val="Default"/>
              <w:jc w:val="center"/>
              <w:rPr>
                <w:sz w:val="16"/>
                <w:szCs w:val="20"/>
                <w:lang w:val="vi-VN"/>
              </w:rPr>
            </w:pPr>
            <w:r w:rsidRPr="00AC045F">
              <w:rPr>
                <w:sz w:val="16"/>
                <w:szCs w:val="20"/>
                <w:lang w:val="vi-VN"/>
              </w:rPr>
              <w:t>2,942</w:t>
            </w:r>
          </w:p>
        </w:tc>
        <w:tc>
          <w:tcPr>
            <w:tcW w:w="1179" w:type="dxa"/>
            <w:vAlign w:val="center"/>
          </w:tcPr>
          <w:p w14:paraId="11865C01" w14:textId="735C40F0" w:rsidR="00822A6A" w:rsidRPr="00AC045F" w:rsidRDefault="00822A6A" w:rsidP="00822A6A">
            <w:pPr>
              <w:pStyle w:val="Default"/>
              <w:jc w:val="center"/>
              <w:rPr>
                <w:sz w:val="16"/>
                <w:szCs w:val="20"/>
                <w:lang w:val="vi-VN"/>
              </w:rPr>
            </w:pPr>
            <w:r w:rsidRPr="00AC045F">
              <w:rPr>
                <w:sz w:val="16"/>
                <w:szCs w:val="20"/>
                <w:lang w:val="vi-VN"/>
              </w:rPr>
              <w:t>10.49</w:t>
            </w:r>
          </w:p>
        </w:tc>
        <w:tc>
          <w:tcPr>
            <w:tcW w:w="1089" w:type="dxa"/>
            <w:vAlign w:val="center"/>
          </w:tcPr>
          <w:p w14:paraId="6A845127" w14:textId="7FDA44D0" w:rsidR="00822A6A" w:rsidRPr="00AC045F" w:rsidRDefault="009B56F9" w:rsidP="00822A6A">
            <w:pPr>
              <w:pStyle w:val="Default"/>
              <w:jc w:val="center"/>
              <w:rPr>
                <w:sz w:val="16"/>
                <w:szCs w:val="20"/>
                <w:lang w:val="vi-VN"/>
              </w:rPr>
            </w:pPr>
            <w:r w:rsidRPr="00AC045F">
              <w:rPr>
                <w:sz w:val="16"/>
                <w:szCs w:val="20"/>
                <w:lang w:val="vi-VN"/>
              </w:rPr>
              <w:t>68,968</w:t>
            </w:r>
          </w:p>
        </w:tc>
      </w:tr>
      <w:tr w:rsidR="00822A6A" w:rsidRPr="00AC045F" w14:paraId="0C6290A3" w14:textId="77777777" w:rsidTr="00822A6A">
        <w:trPr>
          <w:trHeight w:val="124"/>
          <w:jc w:val="center"/>
        </w:trPr>
        <w:tc>
          <w:tcPr>
            <w:tcW w:w="569" w:type="dxa"/>
            <w:vAlign w:val="center"/>
          </w:tcPr>
          <w:p w14:paraId="7930932B" w14:textId="69045C3F" w:rsidR="00822A6A" w:rsidRPr="00AC045F" w:rsidRDefault="00822A6A" w:rsidP="00822A6A">
            <w:pPr>
              <w:pStyle w:val="Default"/>
              <w:jc w:val="center"/>
              <w:rPr>
                <w:sz w:val="16"/>
                <w:szCs w:val="20"/>
                <w:lang w:val="vi-VN"/>
              </w:rPr>
            </w:pPr>
            <w:r w:rsidRPr="00AC045F">
              <w:rPr>
                <w:sz w:val="16"/>
                <w:szCs w:val="20"/>
                <w:lang w:val="vi-VN"/>
              </w:rPr>
              <w:t>7</w:t>
            </w:r>
          </w:p>
        </w:tc>
        <w:tc>
          <w:tcPr>
            <w:tcW w:w="1797" w:type="dxa"/>
            <w:vAlign w:val="center"/>
          </w:tcPr>
          <w:p w14:paraId="578ADF6A" w14:textId="31EAC653" w:rsidR="00822A6A" w:rsidRPr="00AC045F" w:rsidRDefault="00822A6A" w:rsidP="00822A6A">
            <w:pPr>
              <w:pStyle w:val="Default"/>
              <w:jc w:val="center"/>
              <w:rPr>
                <w:sz w:val="16"/>
                <w:szCs w:val="20"/>
                <w:lang w:val="vi-VN"/>
              </w:rPr>
            </w:pPr>
            <w:r w:rsidRPr="00AC045F">
              <w:rPr>
                <w:sz w:val="16"/>
                <w:szCs w:val="20"/>
                <w:lang w:val="vi-VN"/>
              </w:rPr>
              <w:t>Binh Phuoc</w:t>
            </w:r>
          </w:p>
        </w:tc>
        <w:tc>
          <w:tcPr>
            <w:tcW w:w="1276" w:type="dxa"/>
            <w:vAlign w:val="center"/>
          </w:tcPr>
          <w:p w14:paraId="05A9DD06" w14:textId="648119AA" w:rsidR="00822A6A" w:rsidRPr="00AC045F" w:rsidRDefault="00822A6A" w:rsidP="00822A6A">
            <w:pPr>
              <w:pStyle w:val="Default"/>
              <w:jc w:val="center"/>
              <w:rPr>
                <w:sz w:val="16"/>
                <w:szCs w:val="20"/>
                <w:lang w:val="vi-VN"/>
              </w:rPr>
            </w:pPr>
            <w:r w:rsidRPr="00AC045F">
              <w:rPr>
                <w:sz w:val="16"/>
                <w:szCs w:val="20"/>
                <w:lang w:val="vi-VN"/>
              </w:rPr>
              <w:t>1,037</w:t>
            </w:r>
          </w:p>
        </w:tc>
        <w:tc>
          <w:tcPr>
            <w:tcW w:w="1179" w:type="dxa"/>
            <w:vAlign w:val="center"/>
          </w:tcPr>
          <w:p w14:paraId="6090D7CA" w14:textId="3C0F171C" w:rsidR="00822A6A" w:rsidRPr="00AC045F" w:rsidRDefault="00822A6A" w:rsidP="00822A6A">
            <w:pPr>
              <w:pStyle w:val="Default"/>
              <w:jc w:val="center"/>
              <w:rPr>
                <w:sz w:val="16"/>
                <w:szCs w:val="20"/>
                <w:lang w:val="vi-VN"/>
              </w:rPr>
            </w:pPr>
            <w:r w:rsidRPr="00AC045F">
              <w:rPr>
                <w:sz w:val="16"/>
                <w:szCs w:val="20"/>
                <w:lang w:val="vi-VN"/>
              </w:rPr>
              <w:t>9.25</w:t>
            </w:r>
          </w:p>
        </w:tc>
        <w:tc>
          <w:tcPr>
            <w:tcW w:w="1089" w:type="dxa"/>
            <w:vAlign w:val="center"/>
          </w:tcPr>
          <w:p w14:paraId="2FB34B75" w14:textId="229D9BAA" w:rsidR="00822A6A" w:rsidRPr="00AC045F" w:rsidRDefault="009B56F9" w:rsidP="00822A6A">
            <w:pPr>
              <w:pStyle w:val="Default"/>
              <w:jc w:val="center"/>
              <w:rPr>
                <w:sz w:val="16"/>
                <w:szCs w:val="20"/>
                <w:lang w:val="vi-VN"/>
              </w:rPr>
            </w:pPr>
            <w:r w:rsidRPr="00AC045F">
              <w:rPr>
                <w:sz w:val="16"/>
                <w:szCs w:val="20"/>
                <w:lang w:val="vi-VN"/>
              </w:rPr>
              <w:t>21,804</w:t>
            </w:r>
          </w:p>
        </w:tc>
      </w:tr>
      <w:tr w:rsidR="00822A6A" w:rsidRPr="00AC045F" w14:paraId="4030E765" w14:textId="77777777" w:rsidTr="00822A6A">
        <w:trPr>
          <w:trHeight w:val="124"/>
          <w:jc w:val="center"/>
        </w:trPr>
        <w:tc>
          <w:tcPr>
            <w:tcW w:w="569" w:type="dxa"/>
            <w:vAlign w:val="center"/>
          </w:tcPr>
          <w:p w14:paraId="3C537B7B" w14:textId="6753C675" w:rsidR="00822A6A" w:rsidRPr="00AC045F" w:rsidRDefault="00822A6A" w:rsidP="00822A6A">
            <w:pPr>
              <w:pStyle w:val="Default"/>
              <w:jc w:val="center"/>
              <w:rPr>
                <w:sz w:val="16"/>
                <w:szCs w:val="20"/>
                <w:lang w:val="vi-VN"/>
              </w:rPr>
            </w:pPr>
            <w:r w:rsidRPr="00AC045F">
              <w:rPr>
                <w:sz w:val="16"/>
                <w:szCs w:val="20"/>
                <w:lang w:val="vi-VN"/>
              </w:rPr>
              <w:t>8</w:t>
            </w:r>
          </w:p>
        </w:tc>
        <w:tc>
          <w:tcPr>
            <w:tcW w:w="1797" w:type="dxa"/>
            <w:vAlign w:val="center"/>
          </w:tcPr>
          <w:p w14:paraId="69B4F559" w14:textId="46F122EC" w:rsidR="00822A6A" w:rsidRPr="00AC045F" w:rsidRDefault="00822A6A" w:rsidP="00822A6A">
            <w:pPr>
              <w:pStyle w:val="Default"/>
              <w:jc w:val="center"/>
              <w:rPr>
                <w:sz w:val="16"/>
                <w:szCs w:val="20"/>
                <w:lang w:val="vi-VN"/>
              </w:rPr>
            </w:pPr>
            <w:r w:rsidRPr="00AC045F">
              <w:rPr>
                <w:sz w:val="16"/>
                <w:szCs w:val="20"/>
                <w:lang w:val="vi-VN"/>
              </w:rPr>
              <w:t>Tay Ninh</w:t>
            </w:r>
          </w:p>
        </w:tc>
        <w:tc>
          <w:tcPr>
            <w:tcW w:w="1276" w:type="dxa"/>
            <w:vAlign w:val="center"/>
          </w:tcPr>
          <w:p w14:paraId="5E35451A" w14:textId="6B1F3C1C" w:rsidR="00822A6A" w:rsidRPr="00AC045F" w:rsidRDefault="00822A6A" w:rsidP="00822A6A">
            <w:pPr>
              <w:pStyle w:val="Default"/>
              <w:jc w:val="center"/>
              <w:rPr>
                <w:sz w:val="16"/>
                <w:szCs w:val="20"/>
                <w:lang w:val="vi-VN"/>
              </w:rPr>
            </w:pPr>
            <w:r w:rsidRPr="00AC045F">
              <w:rPr>
                <w:sz w:val="16"/>
                <w:szCs w:val="20"/>
                <w:lang w:val="vi-VN"/>
              </w:rPr>
              <w:t>445</w:t>
            </w:r>
          </w:p>
        </w:tc>
        <w:tc>
          <w:tcPr>
            <w:tcW w:w="1179" w:type="dxa"/>
            <w:vAlign w:val="center"/>
          </w:tcPr>
          <w:p w14:paraId="3CA8D442" w14:textId="6E2BD37D" w:rsidR="00822A6A" w:rsidRPr="00AC045F" w:rsidRDefault="00822A6A" w:rsidP="00822A6A">
            <w:pPr>
              <w:pStyle w:val="Default"/>
              <w:jc w:val="center"/>
              <w:rPr>
                <w:sz w:val="16"/>
                <w:szCs w:val="20"/>
                <w:lang w:val="vi-VN"/>
              </w:rPr>
            </w:pPr>
            <w:r w:rsidRPr="00AC045F">
              <w:rPr>
                <w:sz w:val="16"/>
                <w:szCs w:val="20"/>
                <w:lang w:val="vi-VN"/>
              </w:rPr>
              <w:t>13.24</w:t>
            </w:r>
          </w:p>
        </w:tc>
        <w:tc>
          <w:tcPr>
            <w:tcW w:w="1089" w:type="dxa"/>
            <w:vAlign w:val="center"/>
          </w:tcPr>
          <w:p w14:paraId="33E3AB57" w14:textId="1EFC0215" w:rsidR="00822A6A" w:rsidRPr="00AC045F" w:rsidRDefault="009B56F9" w:rsidP="00822A6A">
            <w:pPr>
              <w:pStyle w:val="Default"/>
              <w:jc w:val="center"/>
              <w:rPr>
                <w:sz w:val="16"/>
                <w:szCs w:val="20"/>
                <w:lang w:val="vi-VN"/>
              </w:rPr>
            </w:pPr>
            <w:r w:rsidRPr="00AC045F">
              <w:rPr>
                <w:sz w:val="16"/>
                <w:szCs w:val="20"/>
                <w:lang w:val="vi-VN"/>
              </w:rPr>
              <w:t>24,845</w:t>
            </w:r>
          </w:p>
        </w:tc>
      </w:tr>
      <w:tr w:rsidR="00822A6A" w:rsidRPr="00AC045F" w14:paraId="3DD65783" w14:textId="77777777" w:rsidTr="00822A6A">
        <w:trPr>
          <w:trHeight w:val="124"/>
          <w:jc w:val="center"/>
        </w:trPr>
        <w:tc>
          <w:tcPr>
            <w:tcW w:w="569" w:type="dxa"/>
            <w:vAlign w:val="center"/>
          </w:tcPr>
          <w:p w14:paraId="2F29EFC6" w14:textId="77777777" w:rsidR="00822A6A" w:rsidRPr="00AC045F" w:rsidRDefault="00822A6A" w:rsidP="00822A6A">
            <w:pPr>
              <w:pStyle w:val="Default"/>
              <w:jc w:val="center"/>
              <w:rPr>
                <w:sz w:val="16"/>
                <w:szCs w:val="20"/>
              </w:rPr>
            </w:pPr>
          </w:p>
        </w:tc>
        <w:tc>
          <w:tcPr>
            <w:tcW w:w="1797" w:type="dxa"/>
            <w:vAlign w:val="center"/>
          </w:tcPr>
          <w:p w14:paraId="76E04FD9" w14:textId="2F16AF9A" w:rsidR="00822A6A" w:rsidRPr="00AC045F" w:rsidRDefault="00822A6A" w:rsidP="00822A6A">
            <w:pPr>
              <w:pStyle w:val="Default"/>
              <w:jc w:val="center"/>
              <w:rPr>
                <w:sz w:val="16"/>
                <w:szCs w:val="20"/>
              </w:rPr>
            </w:pPr>
            <w:r w:rsidRPr="00AC045F">
              <w:rPr>
                <w:b/>
                <w:bCs/>
                <w:sz w:val="16"/>
                <w:szCs w:val="20"/>
                <w:lang w:val="vi-VN"/>
              </w:rPr>
              <w:t>South Central Coast</w:t>
            </w:r>
          </w:p>
        </w:tc>
        <w:tc>
          <w:tcPr>
            <w:tcW w:w="1276" w:type="dxa"/>
            <w:vAlign w:val="center"/>
          </w:tcPr>
          <w:p w14:paraId="16643EA2" w14:textId="6DA58527" w:rsidR="00822A6A" w:rsidRPr="00AC045F" w:rsidRDefault="00822A6A" w:rsidP="00822A6A">
            <w:pPr>
              <w:pStyle w:val="Default"/>
              <w:jc w:val="center"/>
              <w:rPr>
                <w:b/>
                <w:bCs/>
                <w:sz w:val="16"/>
                <w:szCs w:val="20"/>
                <w:lang w:val="vi-VN"/>
              </w:rPr>
            </w:pPr>
            <w:r w:rsidRPr="00AC045F">
              <w:rPr>
                <w:b/>
                <w:bCs/>
                <w:sz w:val="16"/>
                <w:szCs w:val="20"/>
                <w:lang w:val="vi-VN"/>
              </w:rPr>
              <w:t>731</w:t>
            </w:r>
          </w:p>
        </w:tc>
        <w:tc>
          <w:tcPr>
            <w:tcW w:w="1179" w:type="dxa"/>
            <w:vAlign w:val="center"/>
          </w:tcPr>
          <w:p w14:paraId="1EC377A3" w14:textId="06DCF228" w:rsidR="00822A6A" w:rsidRPr="00AC045F" w:rsidRDefault="00822A6A" w:rsidP="00822A6A">
            <w:pPr>
              <w:pStyle w:val="Default"/>
              <w:jc w:val="center"/>
              <w:rPr>
                <w:b/>
                <w:bCs/>
                <w:sz w:val="16"/>
                <w:szCs w:val="20"/>
              </w:rPr>
            </w:pPr>
            <w:r w:rsidRPr="00AC045F">
              <w:rPr>
                <w:b/>
                <w:bCs/>
                <w:sz w:val="16"/>
                <w:szCs w:val="20"/>
                <w:lang w:val="vi-VN"/>
              </w:rPr>
              <w:t>6.72</w:t>
            </w:r>
          </w:p>
        </w:tc>
        <w:tc>
          <w:tcPr>
            <w:tcW w:w="1089" w:type="dxa"/>
            <w:vAlign w:val="center"/>
          </w:tcPr>
          <w:p w14:paraId="4BD17730" w14:textId="09A0EAE8" w:rsidR="00822A6A" w:rsidRPr="00AC045F" w:rsidRDefault="009B56F9" w:rsidP="00822A6A">
            <w:pPr>
              <w:pStyle w:val="Default"/>
              <w:jc w:val="center"/>
              <w:rPr>
                <w:b/>
                <w:bCs/>
                <w:sz w:val="16"/>
                <w:szCs w:val="20"/>
                <w:lang w:val="vi-VN"/>
              </w:rPr>
            </w:pPr>
            <w:r w:rsidRPr="00AC045F">
              <w:rPr>
                <w:b/>
                <w:bCs/>
                <w:sz w:val="16"/>
                <w:szCs w:val="20"/>
                <w:lang w:val="vi-VN"/>
              </w:rPr>
              <w:t>17,772</w:t>
            </w:r>
          </w:p>
        </w:tc>
      </w:tr>
      <w:tr w:rsidR="00822A6A" w:rsidRPr="00AC045F" w14:paraId="7A6138B3" w14:textId="77777777" w:rsidTr="00822A6A">
        <w:trPr>
          <w:trHeight w:val="124"/>
          <w:jc w:val="center"/>
        </w:trPr>
        <w:tc>
          <w:tcPr>
            <w:tcW w:w="569" w:type="dxa"/>
            <w:vAlign w:val="center"/>
          </w:tcPr>
          <w:p w14:paraId="62E805B8" w14:textId="145B6BE2" w:rsidR="00822A6A" w:rsidRPr="00AC045F" w:rsidRDefault="00822A6A" w:rsidP="00822A6A">
            <w:pPr>
              <w:pStyle w:val="Default"/>
              <w:jc w:val="center"/>
              <w:rPr>
                <w:sz w:val="16"/>
                <w:szCs w:val="20"/>
              </w:rPr>
            </w:pPr>
            <w:r w:rsidRPr="00AC045F">
              <w:rPr>
                <w:sz w:val="16"/>
                <w:szCs w:val="20"/>
                <w:lang w:val="vi-VN"/>
              </w:rPr>
              <w:t>9</w:t>
            </w:r>
          </w:p>
        </w:tc>
        <w:tc>
          <w:tcPr>
            <w:tcW w:w="1797" w:type="dxa"/>
            <w:vAlign w:val="center"/>
          </w:tcPr>
          <w:p w14:paraId="7A304878" w14:textId="4AB6299C" w:rsidR="00822A6A" w:rsidRPr="00AC045F" w:rsidRDefault="00822A6A" w:rsidP="00822A6A">
            <w:pPr>
              <w:pStyle w:val="Default"/>
              <w:jc w:val="center"/>
              <w:rPr>
                <w:sz w:val="16"/>
                <w:szCs w:val="20"/>
              </w:rPr>
            </w:pPr>
            <w:r w:rsidRPr="00AC045F">
              <w:rPr>
                <w:sz w:val="16"/>
                <w:szCs w:val="20"/>
              </w:rPr>
              <w:t>Khanh</w:t>
            </w:r>
            <w:r w:rsidRPr="00AC045F">
              <w:rPr>
                <w:sz w:val="16"/>
                <w:szCs w:val="20"/>
                <w:lang w:val="vi-VN"/>
              </w:rPr>
              <w:t xml:space="preserve"> Hoa</w:t>
            </w:r>
          </w:p>
        </w:tc>
        <w:tc>
          <w:tcPr>
            <w:tcW w:w="1276" w:type="dxa"/>
            <w:vAlign w:val="center"/>
          </w:tcPr>
          <w:p w14:paraId="295921A0" w14:textId="4F7B99B0" w:rsidR="00822A6A" w:rsidRPr="00AC045F" w:rsidRDefault="00822A6A" w:rsidP="00822A6A">
            <w:pPr>
              <w:pStyle w:val="Default"/>
              <w:jc w:val="center"/>
              <w:rPr>
                <w:sz w:val="16"/>
                <w:szCs w:val="20"/>
                <w:lang w:val="vi-VN"/>
              </w:rPr>
            </w:pPr>
            <w:r w:rsidRPr="00AC045F">
              <w:rPr>
                <w:sz w:val="16"/>
                <w:szCs w:val="20"/>
                <w:lang w:val="vi-VN"/>
              </w:rPr>
              <w:t>315</w:t>
            </w:r>
          </w:p>
        </w:tc>
        <w:tc>
          <w:tcPr>
            <w:tcW w:w="1179" w:type="dxa"/>
            <w:vAlign w:val="center"/>
          </w:tcPr>
          <w:p w14:paraId="5B6BBE88" w14:textId="187F68A8" w:rsidR="00822A6A" w:rsidRPr="00AC045F" w:rsidRDefault="00822A6A" w:rsidP="00822A6A">
            <w:pPr>
              <w:pStyle w:val="Default"/>
              <w:jc w:val="center"/>
              <w:rPr>
                <w:sz w:val="16"/>
                <w:szCs w:val="20"/>
              </w:rPr>
            </w:pPr>
            <w:r w:rsidRPr="00AC045F">
              <w:rPr>
                <w:sz w:val="16"/>
                <w:szCs w:val="20"/>
                <w:lang w:val="vi-VN"/>
              </w:rPr>
              <w:t>8.72</w:t>
            </w:r>
          </w:p>
        </w:tc>
        <w:tc>
          <w:tcPr>
            <w:tcW w:w="1089" w:type="dxa"/>
            <w:vAlign w:val="center"/>
          </w:tcPr>
          <w:p w14:paraId="4F794537" w14:textId="0CA3D94F" w:rsidR="00822A6A" w:rsidRPr="00AC045F" w:rsidRDefault="009B56F9" w:rsidP="00822A6A">
            <w:pPr>
              <w:pStyle w:val="Default"/>
              <w:jc w:val="center"/>
              <w:rPr>
                <w:sz w:val="16"/>
                <w:szCs w:val="20"/>
                <w:lang w:val="vi-VN"/>
              </w:rPr>
            </w:pPr>
            <w:r w:rsidRPr="00AC045F">
              <w:rPr>
                <w:sz w:val="16"/>
                <w:szCs w:val="20"/>
                <w:lang w:val="vi-VN"/>
              </w:rPr>
              <w:t>8,967</w:t>
            </w:r>
          </w:p>
        </w:tc>
      </w:tr>
      <w:tr w:rsidR="00822A6A" w:rsidRPr="00AC045F" w14:paraId="0E1015B4" w14:textId="77777777" w:rsidTr="00822A6A">
        <w:trPr>
          <w:trHeight w:val="124"/>
          <w:jc w:val="center"/>
        </w:trPr>
        <w:tc>
          <w:tcPr>
            <w:tcW w:w="569" w:type="dxa"/>
            <w:vAlign w:val="center"/>
          </w:tcPr>
          <w:p w14:paraId="7EC9368A" w14:textId="33FAA832" w:rsidR="00822A6A" w:rsidRPr="00AC045F" w:rsidRDefault="00822A6A" w:rsidP="00822A6A">
            <w:pPr>
              <w:pStyle w:val="Default"/>
              <w:jc w:val="center"/>
              <w:rPr>
                <w:sz w:val="16"/>
                <w:szCs w:val="20"/>
                <w:lang w:val="vi-VN"/>
              </w:rPr>
            </w:pPr>
            <w:r w:rsidRPr="00AC045F">
              <w:rPr>
                <w:sz w:val="16"/>
                <w:szCs w:val="20"/>
                <w:lang w:val="vi-VN"/>
              </w:rPr>
              <w:t>10</w:t>
            </w:r>
          </w:p>
        </w:tc>
        <w:tc>
          <w:tcPr>
            <w:tcW w:w="1797" w:type="dxa"/>
            <w:vAlign w:val="center"/>
          </w:tcPr>
          <w:p w14:paraId="083E5495" w14:textId="32135EF5" w:rsidR="00822A6A" w:rsidRPr="00AC045F" w:rsidRDefault="00822A6A" w:rsidP="00822A6A">
            <w:pPr>
              <w:pStyle w:val="Default"/>
              <w:jc w:val="center"/>
              <w:rPr>
                <w:sz w:val="16"/>
                <w:szCs w:val="20"/>
              </w:rPr>
            </w:pPr>
            <w:r w:rsidRPr="00AC045F">
              <w:rPr>
                <w:sz w:val="16"/>
                <w:szCs w:val="20"/>
                <w:lang w:val="vi-VN"/>
              </w:rPr>
              <w:t>Binh Thuan</w:t>
            </w:r>
          </w:p>
        </w:tc>
        <w:tc>
          <w:tcPr>
            <w:tcW w:w="1276" w:type="dxa"/>
            <w:vAlign w:val="center"/>
          </w:tcPr>
          <w:p w14:paraId="5A3F82C3" w14:textId="7339071C" w:rsidR="00822A6A" w:rsidRPr="00AC045F" w:rsidRDefault="00822A6A" w:rsidP="00822A6A">
            <w:pPr>
              <w:pStyle w:val="Default"/>
              <w:jc w:val="center"/>
              <w:rPr>
                <w:sz w:val="16"/>
                <w:szCs w:val="20"/>
                <w:lang w:val="vi-VN"/>
              </w:rPr>
            </w:pPr>
            <w:r w:rsidRPr="00AC045F">
              <w:rPr>
                <w:sz w:val="16"/>
                <w:szCs w:val="20"/>
                <w:lang w:val="vi-VN"/>
              </w:rPr>
              <w:t>294</w:t>
            </w:r>
          </w:p>
        </w:tc>
        <w:tc>
          <w:tcPr>
            <w:tcW w:w="1179" w:type="dxa"/>
            <w:vAlign w:val="center"/>
          </w:tcPr>
          <w:p w14:paraId="51885A3D" w14:textId="6ADEAF2C" w:rsidR="00822A6A" w:rsidRPr="00AC045F" w:rsidRDefault="00822A6A" w:rsidP="00822A6A">
            <w:pPr>
              <w:pStyle w:val="Default"/>
              <w:jc w:val="center"/>
              <w:rPr>
                <w:sz w:val="16"/>
                <w:szCs w:val="20"/>
              </w:rPr>
            </w:pPr>
            <w:r w:rsidRPr="00AC045F">
              <w:rPr>
                <w:sz w:val="16"/>
                <w:szCs w:val="20"/>
                <w:lang w:val="vi-VN"/>
              </w:rPr>
              <w:t>4.67</w:t>
            </w:r>
          </w:p>
        </w:tc>
        <w:tc>
          <w:tcPr>
            <w:tcW w:w="1089" w:type="dxa"/>
            <w:vAlign w:val="center"/>
          </w:tcPr>
          <w:p w14:paraId="76FAC979" w14:textId="002A5FA1" w:rsidR="00822A6A" w:rsidRPr="00AC045F" w:rsidRDefault="009B56F9" w:rsidP="00822A6A">
            <w:pPr>
              <w:pStyle w:val="Default"/>
              <w:jc w:val="center"/>
              <w:rPr>
                <w:sz w:val="16"/>
                <w:szCs w:val="20"/>
                <w:lang w:val="vi-VN"/>
              </w:rPr>
            </w:pPr>
            <w:r w:rsidRPr="00AC045F">
              <w:rPr>
                <w:sz w:val="16"/>
                <w:szCs w:val="20"/>
                <w:lang w:val="vi-VN"/>
              </w:rPr>
              <w:t>7,200</w:t>
            </w:r>
          </w:p>
        </w:tc>
      </w:tr>
      <w:tr w:rsidR="00822A6A" w:rsidRPr="00AC045F" w14:paraId="17EB9106" w14:textId="77777777" w:rsidTr="00822A6A">
        <w:trPr>
          <w:trHeight w:val="124"/>
          <w:jc w:val="center"/>
        </w:trPr>
        <w:tc>
          <w:tcPr>
            <w:tcW w:w="569" w:type="dxa"/>
            <w:vAlign w:val="center"/>
          </w:tcPr>
          <w:p w14:paraId="1A1D5FB4" w14:textId="348D5D35" w:rsidR="00822A6A" w:rsidRPr="00AC045F" w:rsidRDefault="00822A6A" w:rsidP="00822A6A">
            <w:pPr>
              <w:pStyle w:val="Default"/>
              <w:jc w:val="center"/>
              <w:rPr>
                <w:sz w:val="16"/>
                <w:szCs w:val="20"/>
                <w:lang w:val="vi-VN"/>
              </w:rPr>
            </w:pPr>
          </w:p>
        </w:tc>
        <w:tc>
          <w:tcPr>
            <w:tcW w:w="1797" w:type="dxa"/>
            <w:vAlign w:val="center"/>
          </w:tcPr>
          <w:p w14:paraId="73ED308A" w14:textId="0CFB75E1" w:rsidR="00822A6A" w:rsidRPr="00AC045F" w:rsidRDefault="00822A6A" w:rsidP="00822A6A">
            <w:pPr>
              <w:pStyle w:val="Default"/>
              <w:jc w:val="center"/>
              <w:rPr>
                <w:b/>
                <w:bCs/>
                <w:sz w:val="16"/>
                <w:szCs w:val="20"/>
                <w:lang w:val="vi-VN"/>
              </w:rPr>
            </w:pPr>
            <w:r w:rsidRPr="00AC045F">
              <w:rPr>
                <w:b/>
                <w:bCs/>
                <w:sz w:val="16"/>
                <w:szCs w:val="20"/>
                <w:lang w:val="vi-VN"/>
              </w:rPr>
              <w:t>TOTAL</w:t>
            </w:r>
          </w:p>
        </w:tc>
        <w:tc>
          <w:tcPr>
            <w:tcW w:w="1276" w:type="dxa"/>
            <w:vAlign w:val="center"/>
          </w:tcPr>
          <w:p w14:paraId="6D6C0827" w14:textId="447F147A" w:rsidR="00822A6A" w:rsidRPr="00AC045F" w:rsidRDefault="00822A6A" w:rsidP="00822A6A">
            <w:pPr>
              <w:pStyle w:val="Default"/>
              <w:jc w:val="center"/>
              <w:rPr>
                <w:b/>
                <w:bCs/>
                <w:sz w:val="16"/>
                <w:szCs w:val="20"/>
                <w:lang w:val="vi-VN"/>
              </w:rPr>
            </w:pPr>
            <w:r w:rsidRPr="00AC045F">
              <w:rPr>
                <w:b/>
                <w:bCs/>
                <w:sz w:val="16"/>
                <w:szCs w:val="20"/>
                <w:lang w:val="vi-VN"/>
              </w:rPr>
              <w:t>26,711</w:t>
            </w:r>
          </w:p>
        </w:tc>
        <w:tc>
          <w:tcPr>
            <w:tcW w:w="1179" w:type="dxa"/>
            <w:vAlign w:val="center"/>
          </w:tcPr>
          <w:p w14:paraId="6481C144" w14:textId="72ED6D09" w:rsidR="00822A6A" w:rsidRPr="00AC045F" w:rsidRDefault="00822A6A" w:rsidP="00822A6A">
            <w:pPr>
              <w:pStyle w:val="Default"/>
              <w:jc w:val="center"/>
              <w:rPr>
                <w:b/>
                <w:bCs/>
                <w:sz w:val="16"/>
                <w:szCs w:val="20"/>
                <w:lang w:val="vi-VN"/>
              </w:rPr>
            </w:pPr>
            <w:r w:rsidRPr="00AC045F">
              <w:rPr>
                <w:b/>
                <w:bCs/>
                <w:sz w:val="16"/>
                <w:szCs w:val="20"/>
                <w:lang w:val="vi-VN"/>
              </w:rPr>
              <w:t>15.60</w:t>
            </w:r>
          </w:p>
        </w:tc>
        <w:tc>
          <w:tcPr>
            <w:tcW w:w="1089" w:type="dxa"/>
            <w:vAlign w:val="center"/>
          </w:tcPr>
          <w:p w14:paraId="60E04CB4" w14:textId="0C165CE4" w:rsidR="00822A6A" w:rsidRPr="00AC045F" w:rsidRDefault="009B56F9" w:rsidP="00822A6A">
            <w:pPr>
              <w:pStyle w:val="Default"/>
              <w:jc w:val="center"/>
              <w:rPr>
                <w:b/>
                <w:bCs/>
                <w:sz w:val="16"/>
                <w:szCs w:val="20"/>
                <w:lang w:val="vi-VN"/>
              </w:rPr>
            </w:pPr>
            <w:r w:rsidRPr="00AC045F">
              <w:rPr>
                <w:b/>
                <w:bCs/>
                <w:sz w:val="16"/>
                <w:szCs w:val="20"/>
                <w:lang w:val="vi-VN"/>
              </w:rPr>
              <w:t>849,104</w:t>
            </w:r>
          </w:p>
        </w:tc>
      </w:tr>
    </w:tbl>
    <w:p w14:paraId="432761C8" w14:textId="77777777" w:rsidR="00B106D4" w:rsidRPr="00AC045F" w:rsidRDefault="00B106D4" w:rsidP="00B106D4">
      <w:pPr>
        <w:pStyle w:val="Default"/>
        <w:jc w:val="both"/>
        <w:rPr>
          <w:color w:val="FF0000"/>
          <w:sz w:val="20"/>
          <w:szCs w:val="20"/>
        </w:rPr>
      </w:pPr>
    </w:p>
    <w:p w14:paraId="58DEFDE3" w14:textId="77777777" w:rsidR="00B106D4" w:rsidRPr="00AC045F" w:rsidRDefault="00B106D4" w:rsidP="00B106D4">
      <w:pPr>
        <w:autoSpaceDE w:val="0"/>
        <w:autoSpaceDN w:val="0"/>
        <w:adjustRightInd w:val="0"/>
        <w:spacing w:after="0" w:line="240" w:lineRule="auto"/>
        <w:rPr>
          <w:b/>
          <w:bCs/>
          <w:i/>
          <w:iCs/>
          <w:color w:val="000000"/>
          <w:sz w:val="20"/>
          <w:szCs w:val="20"/>
          <w:lang w:val="vi-VN"/>
        </w:rPr>
      </w:pPr>
      <w:r w:rsidRPr="00AC045F">
        <w:rPr>
          <w:b/>
          <w:bCs/>
          <w:i/>
          <w:iCs/>
          <w:color w:val="000000"/>
          <w:sz w:val="20"/>
          <w:szCs w:val="20"/>
          <w:lang w:val="vi-VN"/>
        </w:rPr>
        <w:t>2</w:t>
      </w:r>
      <w:r w:rsidRPr="00AC045F">
        <w:rPr>
          <w:b/>
          <w:bCs/>
          <w:i/>
          <w:iCs/>
          <w:color w:val="000000"/>
          <w:sz w:val="20"/>
          <w:szCs w:val="20"/>
          <w:lang w:val="en-US"/>
        </w:rPr>
        <w:t>.</w:t>
      </w:r>
      <w:r w:rsidRPr="00AC045F">
        <w:rPr>
          <w:b/>
          <w:bCs/>
          <w:i/>
          <w:iCs/>
          <w:color w:val="000000"/>
          <w:sz w:val="20"/>
          <w:szCs w:val="20"/>
          <w:lang w:val="vi-VN"/>
        </w:rPr>
        <w:t>2</w:t>
      </w:r>
      <w:r w:rsidRPr="00AC045F">
        <w:rPr>
          <w:b/>
          <w:bCs/>
          <w:i/>
          <w:iCs/>
          <w:color w:val="000000"/>
          <w:sz w:val="20"/>
          <w:szCs w:val="20"/>
          <w:lang w:val="en-US"/>
        </w:rPr>
        <w:t xml:space="preserve"> Harvesting seasons in Vietnam</w:t>
      </w:r>
    </w:p>
    <w:p w14:paraId="7DBECB32" w14:textId="28DD7632" w:rsidR="000A1DA3" w:rsidRPr="00AC045F" w:rsidRDefault="006324EA" w:rsidP="00B106D4">
      <w:pPr>
        <w:autoSpaceDE w:val="0"/>
        <w:autoSpaceDN w:val="0"/>
        <w:adjustRightInd w:val="0"/>
        <w:spacing w:after="0" w:line="240" w:lineRule="auto"/>
        <w:rPr>
          <w:i/>
          <w:iCs/>
          <w:color w:val="000000"/>
          <w:sz w:val="20"/>
          <w:szCs w:val="20"/>
          <w:lang w:val="vi-VN"/>
        </w:rPr>
      </w:pPr>
      <w:r w:rsidRPr="00AC045F">
        <w:rPr>
          <w:i/>
          <w:iCs/>
          <w:color w:val="000000"/>
          <w:sz w:val="20"/>
          <w:szCs w:val="20"/>
          <w:lang w:val="vi-VN"/>
        </w:rPr>
        <w:tab/>
      </w:r>
      <w:r w:rsidR="000A1DA3" w:rsidRPr="00AC045F">
        <w:rPr>
          <w:i/>
          <w:iCs/>
          <w:color w:val="000000"/>
          <w:sz w:val="20"/>
          <w:szCs w:val="20"/>
          <w:lang w:val="vi-VN"/>
        </w:rPr>
        <w:t>2</w:t>
      </w:r>
      <w:r w:rsidR="000A1DA3" w:rsidRPr="00AC045F">
        <w:rPr>
          <w:i/>
          <w:iCs/>
          <w:color w:val="000000"/>
          <w:sz w:val="20"/>
          <w:szCs w:val="20"/>
          <w:lang w:val="en-US"/>
        </w:rPr>
        <w:t>.</w:t>
      </w:r>
      <w:r w:rsidR="000A1DA3" w:rsidRPr="00AC045F">
        <w:rPr>
          <w:i/>
          <w:iCs/>
          <w:color w:val="000000"/>
          <w:sz w:val="20"/>
          <w:szCs w:val="20"/>
          <w:lang w:val="vi-VN"/>
        </w:rPr>
        <w:t>2.1</w:t>
      </w:r>
      <w:r w:rsidR="000A1DA3" w:rsidRPr="00AC045F">
        <w:rPr>
          <w:i/>
          <w:iCs/>
          <w:color w:val="000000"/>
          <w:sz w:val="20"/>
          <w:szCs w:val="20"/>
          <w:lang w:val="en-US"/>
        </w:rPr>
        <w:t xml:space="preserve"> Central Highlands</w:t>
      </w:r>
    </w:p>
    <w:p w14:paraId="1B864649" w14:textId="5D36BCF0" w:rsidR="008B7D8D" w:rsidRPr="00AC045F" w:rsidRDefault="00AD0C00" w:rsidP="008B7D8D">
      <w:pPr>
        <w:pStyle w:val="Default"/>
        <w:ind w:firstLine="720"/>
        <w:jc w:val="both"/>
        <w:rPr>
          <w:color w:val="auto"/>
          <w:sz w:val="20"/>
          <w:szCs w:val="20"/>
          <w:lang w:val="vi-VN"/>
        </w:rPr>
      </w:pPr>
      <w:r w:rsidRPr="00AC045F">
        <w:rPr>
          <w:sz w:val="20"/>
          <w:szCs w:val="20"/>
        </w:rPr>
        <w:t xml:space="preserve">In the Central Highlands, the varying altitudes at which durian is cultivated significantly impact the timing of both flowering and harvest. In Lam Dong Province, aside from Da </w:t>
      </w:r>
      <w:proofErr w:type="spellStart"/>
      <w:r w:rsidRPr="00AC045F">
        <w:rPr>
          <w:sz w:val="20"/>
          <w:szCs w:val="20"/>
        </w:rPr>
        <w:t>Huoai</w:t>
      </w:r>
      <w:proofErr w:type="spellEnd"/>
      <w:r w:rsidRPr="00AC045F">
        <w:rPr>
          <w:sz w:val="20"/>
          <w:szCs w:val="20"/>
        </w:rPr>
        <w:t xml:space="preserve"> District, which has a relatively warm climate comparable to that of Tan Phu District of Dong Nai Province where durian trees flower between December and January, allowing for an early harvest in April and May, other regions witness flowering between January and March, with the harvest occurring from July to August </w:t>
      </w:r>
      <w:r w:rsidR="002B2849" w:rsidRPr="00AC045F">
        <w:rPr>
          <w:sz w:val="20"/>
          <w:szCs w:val="20"/>
          <w:lang w:val="vi-VN"/>
        </w:rPr>
        <w:t>[12]</w:t>
      </w:r>
      <w:r w:rsidRPr="00AC045F">
        <w:rPr>
          <w:sz w:val="20"/>
          <w:szCs w:val="20"/>
        </w:rPr>
        <w:t xml:space="preserve">. The lower temperatures in these regions prolong the duration from flowering to harvest for durians, extending this phase to as long as five months. Central Highlands region possesses a strategic advantage, as its harvest period extends later compared to both the Mekong Delta, Southeastern regions, and key durian-producing areas in Thailand and Malaysia, where harvesting occurs between July and October. Through the application of appropriate technical interventions to delay harvesting, the season can be extended until the end of November. Consequently, the market price of fresh durian in the Central Highlands tends to be higher than that of other durian-growing regions within the country </w:t>
      </w:r>
      <w:r w:rsidR="00273AA4" w:rsidRPr="00AC045F">
        <w:rPr>
          <w:sz w:val="20"/>
          <w:szCs w:val="20"/>
          <w:lang w:val="vi-VN"/>
        </w:rPr>
        <w:t>[13]</w:t>
      </w:r>
      <w:r w:rsidR="008B7D8D" w:rsidRPr="00AC045F">
        <w:rPr>
          <w:color w:val="auto"/>
          <w:sz w:val="20"/>
          <w:szCs w:val="20"/>
        </w:rPr>
        <w:t>.</w:t>
      </w:r>
    </w:p>
    <w:p w14:paraId="6D5BC78F" w14:textId="026C7E39" w:rsidR="006324EA" w:rsidRPr="00AC045F" w:rsidRDefault="006324EA" w:rsidP="006324EA">
      <w:pPr>
        <w:autoSpaceDE w:val="0"/>
        <w:autoSpaceDN w:val="0"/>
        <w:adjustRightInd w:val="0"/>
        <w:spacing w:after="0" w:line="240" w:lineRule="auto"/>
        <w:rPr>
          <w:i/>
          <w:iCs/>
          <w:color w:val="000000"/>
          <w:sz w:val="20"/>
          <w:szCs w:val="20"/>
          <w:lang w:val="vi-VN"/>
        </w:rPr>
      </w:pPr>
      <w:r w:rsidRPr="00AC045F">
        <w:rPr>
          <w:i/>
          <w:iCs/>
          <w:color w:val="000000"/>
          <w:sz w:val="20"/>
          <w:szCs w:val="20"/>
          <w:lang w:val="vi-VN"/>
        </w:rPr>
        <w:tab/>
        <w:t>2</w:t>
      </w:r>
      <w:r w:rsidRPr="00AC045F">
        <w:rPr>
          <w:i/>
          <w:iCs/>
          <w:color w:val="000000"/>
          <w:sz w:val="20"/>
          <w:szCs w:val="20"/>
          <w:lang w:val="en-US"/>
        </w:rPr>
        <w:t>.</w:t>
      </w:r>
      <w:r w:rsidRPr="00AC045F">
        <w:rPr>
          <w:i/>
          <w:iCs/>
          <w:color w:val="000000"/>
          <w:sz w:val="20"/>
          <w:szCs w:val="20"/>
          <w:lang w:val="vi-VN"/>
        </w:rPr>
        <w:t>2.2</w:t>
      </w:r>
      <w:r w:rsidRPr="00AC045F">
        <w:rPr>
          <w:i/>
          <w:iCs/>
          <w:color w:val="000000"/>
          <w:sz w:val="20"/>
          <w:szCs w:val="20"/>
          <w:lang w:val="en-US"/>
        </w:rPr>
        <w:t xml:space="preserve"> The Mekong Delta</w:t>
      </w:r>
      <w:r w:rsidR="00273AA4" w:rsidRPr="00AC045F">
        <w:rPr>
          <w:i/>
          <w:iCs/>
          <w:color w:val="000000"/>
          <w:sz w:val="20"/>
          <w:szCs w:val="20"/>
          <w:lang w:val="vi-VN"/>
        </w:rPr>
        <w:t xml:space="preserve">, the </w:t>
      </w:r>
      <w:r w:rsidRPr="00AC045F">
        <w:rPr>
          <w:i/>
          <w:iCs/>
          <w:color w:val="000000"/>
          <w:sz w:val="20"/>
          <w:szCs w:val="20"/>
          <w:lang w:val="en-US"/>
        </w:rPr>
        <w:t>Southeastern region</w:t>
      </w:r>
      <w:r w:rsidRPr="00AC045F">
        <w:rPr>
          <w:i/>
          <w:iCs/>
          <w:color w:val="000000"/>
          <w:sz w:val="20"/>
          <w:szCs w:val="20"/>
          <w:lang w:val="vi-VN"/>
        </w:rPr>
        <w:t>s</w:t>
      </w:r>
      <w:r w:rsidR="00273AA4" w:rsidRPr="00AC045F">
        <w:rPr>
          <w:i/>
          <w:iCs/>
          <w:color w:val="000000"/>
          <w:sz w:val="20"/>
          <w:szCs w:val="20"/>
          <w:lang w:val="vi-VN"/>
        </w:rPr>
        <w:t>, and the South Central Coast</w:t>
      </w:r>
    </w:p>
    <w:p w14:paraId="7503ABA9" w14:textId="7A784285" w:rsidR="006324EA" w:rsidRPr="00AC045F" w:rsidRDefault="006324EA" w:rsidP="00FB381A">
      <w:pPr>
        <w:pStyle w:val="Default"/>
        <w:ind w:firstLine="720"/>
        <w:jc w:val="both"/>
        <w:rPr>
          <w:color w:val="auto"/>
          <w:sz w:val="20"/>
          <w:szCs w:val="20"/>
          <w:lang w:val="vi-VN"/>
        </w:rPr>
      </w:pPr>
      <w:r w:rsidRPr="00AC045F">
        <w:rPr>
          <w:sz w:val="20"/>
          <w:szCs w:val="20"/>
        </w:rPr>
        <w:t xml:space="preserve">In the Mekong Delta, durian trees typically bloom between December and January, with the harvesting period occurring from April to May. This is attributed to the region’s flat topography, elevated average temperatures, and shorter fruit maturation period. In </w:t>
      </w:r>
      <w:r w:rsidR="00273AA4" w:rsidRPr="00AC045F">
        <w:rPr>
          <w:sz w:val="20"/>
          <w:szCs w:val="20"/>
        </w:rPr>
        <w:t>regions</w:t>
      </w:r>
      <w:r w:rsidR="00273AA4" w:rsidRPr="00AC045F">
        <w:rPr>
          <w:sz w:val="20"/>
          <w:szCs w:val="20"/>
          <w:lang w:val="vi-VN"/>
        </w:rPr>
        <w:t xml:space="preserve"> of</w:t>
      </w:r>
      <w:r w:rsidRPr="00AC045F">
        <w:rPr>
          <w:sz w:val="20"/>
          <w:szCs w:val="20"/>
        </w:rPr>
        <w:t xml:space="preserve"> </w:t>
      </w:r>
      <w:r w:rsidR="00273AA4" w:rsidRPr="00AC045F">
        <w:rPr>
          <w:sz w:val="20"/>
          <w:szCs w:val="20"/>
        </w:rPr>
        <w:t>the</w:t>
      </w:r>
      <w:r w:rsidR="00273AA4" w:rsidRPr="00AC045F">
        <w:rPr>
          <w:sz w:val="20"/>
          <w:szCs w:val="20"/>
          <w:lang w:val="vi-VN"/>
        </w:rPr>
        <w:t xml:space="preserve"> </w:t>
      </w:r>
      <w:r w:rsidRPr="00AC045F">
        <w:rPr>
          <w:sz w:val="20"/>
          <w:szCs w:val="20"/>
        </w:rPr>
        <w:t xml:space="preserve">Southeast </w:t>
      </w:r>
      <w:r w:rsidR="00273AA4" w:rsidRPr="00AC045F">
        <w:rPr>
          <w:sz w:val="20"/>
          <w:szCs w:val="20"/>
          <w:lang w:val="vi-VN"/>
        </w:rPr>
        <w:t xml:space="preserve">and the </w:t>
      </w:r>
      <w:proofErr w:type="gramStart"/>
      <w:r w:rsidR="00273AA4" w:rsidRPr="00AC045F">
        <w:rPr>
          <w:sz w:val="20"/>
          <w:szCs w:val="20"/>
          <w:lang w:val="vi-VN"/>
        </w:rPr>
        <w:t>South Central</w:t>
      </w:r>
      <w:proofErr w:type="gramEnd"/>
      <w:r w:rsidR="00273AA4" w:rsidRPr="00AC045F">
        <w:rPr>
          <w:sz w:val="20"/>
          <w:szCs w:val="20"/>
          <w:lang w:val="vi-VN"/>
        </w:rPr>
        <w:t xml:space="preserve"> Coast</w:t>
      </w:r>
      <w:r w:rsidRPr="00AC045F">
        <w:rPr>
          <w:sz w:val="20"/>
          <w:szCs w:val="20"/>
        </w:rPr>
        <w:t>, which includes key provinces such as Dong Nai</w:t>
      </w:r>
      <w:r w:rsidR="00273AA4" w:rsidRPr="00AC045F">
        <w:rPr>
          <w:sz w:val="20"/>
          <w:szCs w:val="20"/>
          <w:lang w:val="vi-VN"/>
        </w:rPr>
        <w:t xml:space="preserve"> and Khanh Hoa</w:t>
      </w:r>
      <w:r w:rsidRPr="00AC045F">
        <w:rPr>
          <w:sz w:val="20"/>
          <w:szCs w:val="20"/>
        </w:rPr>
        <w:t xml:space="preserve">, the cultivation of crops follows a distinct seasonal pattern. The primary planting season generally begins in April and continues through June, taking advantage of the favorable climatic conditions during this period. As the crops mature, the harvest season typically commences in July and extends through September. The peak of the harvest, when crop yields are at their highest, usually occurs in August. This well-defined agricultural cycle is crucial for optimizing productivity in the region, ensuring that the timing of planting and harvesting aligns with the local environmental conditions </w:t>
      </w:r>
      <w:r w:rsidR="0025013C" w:rsidRPr="00AC045F">
        <w:rPr>
          <w:sz w:val="20"/>
          <w:szCs w:val="20"/>
          <w:lang w:val="vi-VN"/>
        </w:rPr>
        <w:t>[13]</w:t>
      </w:r>
      <w:r w:rsidRPr="00AC045F">
        <w:rPr>
          <w:color w:val="auto"/>
          <w:sz w:val="20"/>
          <w:szCs w:val="20"/>
        </w:rPr>
        <w:t>.</w:t>
      </w:r>
    </w:p>
    <w:p w14:paraId="0943216F" w14:textId="77777777" w:rsidR="008B7D8D" w:rsidRPr="00AC045F" w:rsidRDefault="008B7D8D" w:rsidP="00FB381A">
      <w:pPr>
        <w:pStyle w:val="Default"/>
        <w:ind w:firstLine="720"/>
        <w:jc w:val="both"/>
        <w:rPr>
          <w:sz w:val="20"/>
          <w:szCs w:val="20"/>
          <w:lang w:val="vi-VN" w:bidi="ar-EG"/>
        </w:rPr>
      </w:pPr>
    </w:p>
    <w:p w14:paraId="4A10F211" w14:textId="4B4DF8B9" w:rsidR="00FB381A" w:rsidRPr="00AC045F" w:rsidRDefault="00FB381A" w:rsidP="00FB381A">
      <w:pPr>
        <w:autoSpaceDE w:val="0"/>
        <w:autoSpaceDN w:val="0"/>
        <w:adjustRightInd w:val="0"/>
        <w:spacing w:after="0" w:line="240" w:lineRule="auto"/>
        <w:rPr>
          <w:b/>
          <w:bCs/>
          <w:i/>
          <w:iCs/>
          <w:color w:val="000000"/>
          <w:sz w:val="20"/>
          <w:szCs w:val="20"/>
          <w:lang w:val="vi-VN"/>
        </w:rPr>
      </w:pPr>
      <w:r w:rsidRPr="00AC045F">
        <w:rPr>
          <w:b/>
          <w:bCs/>
          <w:i/>
          <w:iCs/>
          <w:color w:val="000000"/>
          <w:sz w:val="20"/>
          <w:szCs w:val="20"/>
          <w:lang w:val="vi-VN"/>
        </w:rPr>
        <w:t>2</w:t>
      </w:r>
      <w:r w:rsidRPr="00AC045F">
        <w:rPr>
          <w:b/>
          <w:bCs/>
          <w:i/>
          <w:iCs/>
          <w:color w:val="000000"/>
          <w:sz w:val="20"/>
          <w:szCs w:val="20"/>
          <w:lang w:val="en-US"/>
        </w:rPr>
        <w:t>.</w:t>
      </w:r>
      <w:r w:rsidRPr="00AC045F">
        <w:rPr>
          <w:b/>
          <w:bCs/>
          <w:i/>
          <w:iCs/>
          <w:color w:val="000000"/>
          <w:sz w:val="20"/>
          <w:szCs w:val="20"/>
          <w:lang w:val="vi-VN"/>
        </w:rPr>
        <w:t>3</w:t>
      </w:r>
      <w:r w:rsidRPr="00AC045F">
        <w:rPr>
          <w:b/>
          <w:bCs/>
          <w:i/>
          <w:iCs/>
          <w:color w:val="000000"/>
          <w:sz w:val="20"/>
          <w:szCs w:val="20"/>
          <w:lang w:val="en-US"/>
        </w:rPr>
        <w:t xml:space="preserve"> Exporting status of durian from Vietnam</w:t>
      </w:r>
    </w:p>
    <w:p w14:paraId="75289594" w14:textId="2107AF0F" w:rsidR="00FB381A" w:rsidRPr="00AC045F" w:rsidRDefault="00FB381A" w:rsidP="00FB381A">
      <w:pPr>
        <w:pStyle w:val="Default"/>
        <w:ind w:firstLine="720"/>
        <w:jc w:val="both"/>
        <w:rPr>
          <w:sz w:val="20"/>
          <w:szCs w:val="20"/>
        </w:rPr>
      </w:pPr>
      <w:r w:rsidRPr="00AC045F">
        <w:rPr>
          <w:sz w:val="20"/>
          <w:szCs w:val="20"/>
        </w:rPr>
        <w:t xml:space="preserve">The variety of harvesting seasons in Vietnam allow a staggered supply of durians across the year, contributing to both domestic consumption and export opportunities. In 2023, the export value of Vietnamese durian reached $2.2 billion. Vietnamese durian has a competitive advantage due to its year-round production, recently making a notable entry into the Chinese market. The city of Xishuangbanna (Yunnan Province, China) has emerged as a key hub for durian distribution in Southeast Asia. Situated near the border of Southeast Asia, the city’s wholesale market for fruits and vegetables experiences significant activity, attracting both traders and tourists. A wide variety of durians from across the regions are transported to this depot, with an average sale of one ton of durian daily during the peak of tourist season. Despite a reduction in trade costs following the implementation of the RCEP agreement, durian prices have risen due to increasing demand from Chinese consumers </w:t>
      </w:r>
      <w:r w:rsidR="0080451D" w:rsidRPr="00AC045F">
        <w:rPr>
          <w:sz w:val="20"/>
          <w:szCs w:val="20"/>
          <w:lang w:val="vi-VN"/>
        </w:rPr>
        <w:t>[4]</w:t>
      </w:r>
      <w:r w:rsidRPr="00AC045F">
        <w:rPr>
          <w:sz w:val="20"/>
          <w:szCs w:val="20"/>
        </w:rPr>
        <w:t xml:space="preserve">. </w:t>
      </w:r>
    </w:p>
    <w:p w14:paraId="7117B73E" w14:textId="7A2C0BC2" w:rsidR="00FB381A" w:rsidRPr="00AC045F" w:rsidRDefault="00FB381A" w:rsidP="00FB381A">
      <w:pPr>
        <w:pStyle w:val="Default"/>
        <w:ind w:firstLine="720"/>
        <w:jc w:val="both"/>
        <w:rPr>
          <w:color w:val="auto"/>
          <w:sz w:val="20"/>
          <w:szCs w:val="20"/>
        </w:rPr>
      </w:pPr>
      <w:r w:rsidRPr="00AC045F">
        <w:rPr>
          <w:sz w:val="20"/>
          <w:szCs w:val="20"/>
        </w:rPr>
        <w:t xml:space="preserve">The volume of fresh durian imports in China increased by 42.7% year-on-year in 2021, reaching 821,600 tons, while the value of these imports surged by 82.4%, totaling $4.205 billion, making durian the leading imported fruit by both volume and value </w:t>
      </w:r>
      <w:r w:rsidR="00255B51" w:rsidRPr="00AC045F">
        <w:rPr>
          <w:sz w:val="20"/>
          <w:szCs w:val="20"/>
          <w:lang w:val="vi-VN"/>
        </w:rPr>
        <w:t>[14]</w:t>
      </w:r>
      <w:r w:rsidRPr="00AC045F">
        <w:rPr>
          <w:sz w:val="20"/>
          <w:szCs w:val="20"/>
        </w:rPr>
        <w:t>. Since 2017, durian imports to China have nearly quadrupled, with projections indicating continued acceleration in the coming years. However, the increase in exports has also led to challenges, such as environmental concerns and overdependence on China. Moreover, negotiations are ongoing to expand exports to other regions of the world. There is significant potential for growth in durian-based processed products. Despite its relatively low production costs, the market faces challenges, mainly due to its dependence on a limited consumer base, with China being the primary market. Expanding market access remains crucial to overcome these limitations and sustain growth in the durian sector</w:t>
      </w:r>
      <w:r w:rsidRPr="00AC045F">
        <w:rPr>
          <w:color w:val="auto"/>
          <w:sz w:val="20"/>
          <w:szCs w:val="20"/>
        </w:rPr>
        <w:t>.</w:t>
      </w:r>
    </w:p>
    <w:p w14:paraId="7C2E364A" w14:textId="77777777" w:rsidR="00FB381A" w:rsidRPr="00AC045F" w:rsidRDefault="00FB381A" w:rsidP="00FB381A">
      <w:pPr>
        <w:pStyle w:val="Default"/>
        <w:ind w:firstLine="720"/>
        <w:jc w:val="both"/>
        <w:rPr>
          <w:color w:val="auto"/>
          <w:sz w:val="20"/>
          <w:szCs w:val="20"/>
        </w:rPr>
      </w:pPr>
    </w:p>
    <w:p w14:paraId="55AE5A1E" w14:textId="154034F3" w:rsidR="00FB381A" w:rsidRPr="00AC045F" w:rsidRDefault="00FB381A" w:rsidP="00FB381A">
      <w:pPr>
        <w:autoSpaceDE w:val="0"/>
        <w:autoSpaceDN w:val="0"/>
        <w:adjustRightInd w:val="0"/>
        <w:spacing w:after="0" w:line="240" w:lineRule="auto"/>
        <w:rPr>
          <w:b/>
          <w:bCs/>
          <w:i/>
          <w:iCs/>
          <w:color w:val="000000"/>
          <w:sz w:val="20"/>
          <w:szCs w:val="20"/>
          <w:lang w:val="vi-VN"/>
        </w:rPr>
      </w:pPr>
      <w:r w:rsidRPr="00AC045F">
        <w:rPr>
          <w:b/>
          <w:bCs/>
          <w:i/>
          <w:iCs/>
          <w:color w:val="000000"/>
          <w:sz w:val="20"/>
          <w:szCs w:val="20"/>
          <w:lang w:val="vi-VN"/>
        </w:rPr>
        <w:t>2</w:t>
      </w:r>
      <w:r w:rsidRPr="00AC045F">
        <w:rPr>
          <w:b/>
          <w:bCs/>
          <w:i/>
          <w:iCs/>
          <w:color w:val="000000"/>
          <w:sz w:val="20"/>
          <w:szCs w:val="20"/>
          <w:lang w:val="en-US"/>
        </w:rPr>
        <w:t>.</w:t>
      </w:r>
      <w:r w:rsidRPr="00AC045F">
        <w:rPr>
          <w:b/>
          <w:bCs/>
          <w:i/>
          <w:iCs/>
          <w:color w:val="000000"/>
          <w:sz w:val="20"/>
          <w:szCs w:val="20"/>
          <w:lang w:val="vi-VN"/>
        </w:rPr>
        <w:t>4</w:t>
      </w:r>
      <w:r w:rsidRPr="00AC045F">
        <w:rPr>
          <w:b/>
          <w:bCs/>
          <w:i/>
          <w:iCs/>
          <w:color w:val="000000"/>
          <w:sz w:val="20"/>
          <w:szCs w:val="20"/>
          <w:lang w:val="en-US"/>
        </w:rPr>
        <w:t xml:space="preserve"> Shell waste issue of durian from Vietnam</w:t>
      </w:r>
    </w:p>
    <w:p w14:paraId="1CC423C4" w14:textId="01463B1F" w:rsidR="00FB381A" w:rsidRPr="00AC045F" w:rsidRDefault="00FB381A" w:rsidP="00FB381A">
      <w:pPr>
        <w:pStyle w:val="Default"/>
        <w:ind w:firstLine="720"/>
        <w:jc w:val="both"/>
        <w:rPr>
          <w:sz w:val="20"/>
          <w:szCs w:val="20"/>
        </w:rPr>
      </w:pPr>
      <w:r w:rsidRPr="00AC045F">
        <w:rPr>
          <w:sz w:val="20"/>
          <w:szCs w:val="20"/>
        </w:rPr>
        <w:lastRenderedPageBreak/>
        <w:t xml:space="preserve">In Vietnam, the rapid development of the durian industry, from cultivation areas to production, besides its massive benefits, has also put a tremendous pressure on the environment regarding agriculture waste due to its shells. And the more durian’s production and export, the greater shell waste issue. An average value of 214,000 tons of durian shell waste was estimated to be discarded annually </w:t>
      </w:r>
      <w:r w:rsidR="00554CE3" w:rsidRPr="00AC045F">
        <w:rPr>
          <w:sz w:val="20"/>
          <w:szCs w:val="20"/>
          <w:lang w:val="vi-VN"/>
        </w:rPr>
        <w:t>[15]</w:t>
      </w:r>
      <w:r w:rsidRPr="00AC045F">
        <w:rPr>
          <w:sz w:val="20"/>
          <w:szCs w:val="20"/>
        </w:rPr>
        <w:t xml:space="preserve">. And the accumulation of shell waste in large numbers is a painful, yet inevitable, issue without being managed and treated properly. They are materials for environmental pollution, e.g. stink smell for the degradation process, blooming of harmful bacteria and fungi, etc. And this issue can subsequently lead to possible diseases within the community. In addition, keeping durian shell waste within the farm without any removing and cleaning activities can negatively impact durian trees themselves by the releasing of heat from the rotten process and the development of harmful organisms. However, any further removal action also cost farmers a substantial amount of money </w:t>
      </w:r>
      <w:r w:rsidR="00554CE3" w:rsidRPr="00AC045F">
        <w:rPr>
          <w:sz w:val="20"/>
          <w:szCs w:val="20"/>
          <w:lang w:val="vi-VN"/>
        </w:rPr>
        <w:t>[16]</w:t>
      </w:r>
      <w:r w:rsidRPr="00AC045F">
        <w:rPr>
          <w:sz w:val="20"/>
          <w:szCs w:val="20"/>
        </w:rPr>
        <w:t xml:space="preserve">. </w:t>
      </w:r>
    </w:p>
    <w:p w14:paraId="2547FC7F" w14:textId="77777777" w:rsidR="00FB381A" w:rsidRPr="00AC045F" w:rsidRDefault="00FB381A" w:rsidP="00FB381A">
      <w:pPr>
        <w:pStyle w:val="Default"/>
        <w:ind w:firstLine="720"/>
        <w:jc w:val="both"/>
        <w:rPr>
          <w:color w:val="auto"/>
          <w:sz w:val="20"/>
          <w:szCs w:val="20"/>
          <w:lang w:val="vi-VN"/>
        </w:rPr>
      </w:pPr>
    </w:p>
    <w:p w14:paraId="1FDED800" w14:textId="59AC5EC7" w:rsidR="008B3C7A" w:rsidRPr="00AC045F" w:rsidRDefault="008B3C7A" w:rsidP="008B3C7A">
      <w:pPr>
        <w:pStyle w:val="Heading1"/>
      </w:pPr>
      <w:r w:rsidRPr="00AC045F">
        <w:t xml:space="preserve">CONSTRAINTS IN THE </w:t>
      </w:r>
      <w:proofErr w:type="spellStart"/>
      <w:r w:rsidRPr="00AC045F">
        <w:t>UTILISATION</w:t>
      </w:r>
      <w:proofErr w:type="spellEnd"/>
      <w:r w:rsidRPr="00AC045F">
        <w:t xml:space="preserve"> OF DURIAN SHELL </w:t>
      </w:r>
      <w:r w:rsidRPr="00AC045F">
        <w:rPr>
          <w:lang w:val="vi-VN"/>
        </w:rPr>
        <w:t xml:space="preserve">IN </w:t>
      </w:r>
      <w:r w:rsidRPr="00AC045F">
        <w:t>VIETNAM</w:t>
      </w:r>
    </w:p>
    <w:p w14:paraId="431138AA" w14:textId="7AC2A010" w:rsidR="008B3C7A" w:rsidRPr="00AC045F" w:rsidRDefault="008B3C7A" w:rsidP="008B3C7A">
      <w:pPr>
        <w:pStyle w:val="Default"/>
        <w:jc w:val="both"/>
        <w:rPr>
          <w:b/>
          <w:bCs/>
          <w:i/>
          <w:iCs/>
          <w:sz w:val="20"/>
          <w:szCs w:val="20"/>
          <w:lang w:val="vi-VN"/>
        </w:rPr>
      </w:pPr>
      <w:r w:rsidRPr="00AC045F">
        <w:rPr>
          <w:b/>
          <w:bCs/>
          <w:i/>
          <w:iCs/>
          <w:sz w:val="20"/>
          <w:szCs w:val="20"/>
          <w:lang w:val="vi-VN"/>
        </w:rPr>
        <w:t>3</w:t>
      </w:r>
      <w:r w:rsidRPr="00AC045F">
        <w:rPr>
          <w:b/>
          <w:bCs/>
          <w:i/>
          <w:iCs/>
          <w:sz w:val="20"/>
          <w:szCs w:val="20"/>
        </w:rPr>
        <w:t>.1 Constraints in the availability of collecting and processing infrastructure</w:t>
      </w:r>
    </w:p>
    <w:p w14:paraId="06B7A23C" w14:textId="5AB15F33" w:rsidR="008B3C7A" w:rsidRPr="00AC045F" w:rsidRDefault="008B3C7A" w:rsidP="008B3C7A">
      <w:pPr>
        <w:spacing w:after="0" w:line="240" w:lineRule="auto"/>
        <w:ind w:firstLine="720"/>
        <w:rPr>
          <w:sz w:val="20"/>
          <w:szCs w:val="20"/>
          <w:lang w:val="en-US"/>
        </w:rPr>
      </w:pPr>
      <w:r w:rsidRPr="00AC045F">
        <w:rPr>
          <w:sz w:val="20"/>
          <w:szCs w:val="20"/>
          <w:lang w:val="en-US"/>
        </w:rPr>
        <w:t xml:space="preserve">Internally, a significant barrier is the inadequate infrastructure available for collecting and processing of durian’s shell waste, particularly in rural areas where durian cultivation is prevalent. Many of these regions lack the necessary facilities to efficiently manage large volumes of waste left over by the durian industry. In addition, the social awareness of shell </w:t>
      </w:r>
      <w:proofErr w:type="spellStart"/>
      <w:r w:rsidRPr="00AC045F">
        <w:rPr>
          <w:sz w:val="20"/>
          <w:szCs w:val="20"/>
          <w:lang w:val="en-US"/>
        </w:rPr>
        <w:t>utilisation</w:t>
      </w:r>
      <w:proofErr w:type="spellEnd"/>
      <w:r w:rsidRPr="00AC045F">
        <w:rPr>
          <w:sz w:val="20"/>
          <w:szCs w:val="20"/>
          <w:lang w:val="en-US"/>
        </w:rPr>
        <w:t xml:space="preserve"> is extremely limited for the case of durian. It is due to the fact that, in general, even the adoption of other agricultural by-product treatment technologies is also limited, especially in small-scale and household production. A survey in Thua Thien Hue Province in 2021 shows that only 15-30% of field by-products are reused, while most are burned. In addition, biogas use is low, with only 15% of households and 50% of farms adopting it. Proper composting practices are followed by just 15% of households and 50% of farms, involving the use of crop by-products and microorganisms </w:t>
      </w:r>
      <w:r w:rsidR="00BD3E56" w:rsidRPr="00AC045F">
        <w:rPr>
          <w:sz w:val="20"/>
          <w:szCs w:val="20"/>
          <w:lang w:val="vi-VN"/>
        </w:rPr>
        <w:t>[2]</w:t>
      </w:r>
      <w:r w:rsidRPr="00AC045F">
        <w:rPr>
          <w:sz w:val="20"/>
          <w:szCs w:val="20"/>
          <w:lang w:val="en-US"/>
        </w:rPr>
        <w:t xml:space="preserve">. This highlights the need for broader use of sustainable practices in small-scale agriculture. Consequently, this results in improper disposal methods, such as burning or dumping, rather than recycling. Moreover, there is a limited understanding among farmers and local stakeholders regarding the potential uses and benefits of recycling durian shells. This lack of awareness inhibits engagement in recycling initiatives, as individuals may not recognize the economic opportunities or environmental benefits associated with repurposing durian shell waste. </w:t>
      </w:r>
    </w:p>
    <w:p w14:paraId="6439FE54" w14:textId="77777777" w:rsidR="008B3C7A" w:rsidRPr="00AC045F" w:rsidRDefault="008B3C7A" w:rsidP="00FB381A">
      <w:pPr>
        <w:pStyle w:val="Default"/>
        <w:ind w:firstLine="720"/>
        <w:jc w:val="both"/>
        <w:rPr>
          <w:color w:val="auto"/>
          <w:sz w:val="20"/>
          <w:szCs w:val="20"/>
          <w:lang w:val="vi-VN"/>
        </w:rPr>
      </w:pPr>
    </w:p>
    <w:p w14:paraId="64A35A4A" w14:textId="7DEDA9FC" w:rsidR="008B3C7A" w:rsidRPr="00AC045F" w:rsidRDefault="008B3C7A" w:rsidP="008B3C7A">
      <w:pPr>
        <w:pStyle w:val="Default"/>
        <w:jc w:val="both"/>
        <w:rPr>
          <w:b/>
          <w:bCs/>
          <w:i/>
          <w:iCs/>
          <w:sz w:val="20"/>
          <w:szCs w:val="20"/>
          <w:lang w:val="vi-VN"/>
        </w:rPr>
      </w:pPr>
      <w:r w:rsidRPr="00AC045F">
        <w:rPr>
          <w:b/>
          <w:bCs/>
          <w:i/>
          <w:iCs/>
          <w:sz w:val="20"/>
          <w:szCs w:val="20"/>
          <w:lang w:val="vi-VN"/>
        </w:rPr>
        <w:t>3</w:t>
      </w:r>
      <w:r w:rsidRPr="00AC045F">
        <w:rPr>
          <w:b/>
          <w:bCs/>
          <w:i/>
          <w:iCs/>
          <w:sz w:val="20"/>
          <w:szCs w:val="20"/>
        </w:rPr>
        <w:t>.</w:t>
      </w:r>
      <w:r w:rsidRPr="00AC045F">
        <w:rPr>
          <w:b/>
          <w:bCs/>
          <w:i/>
          <w:iCs/>
          <w:sz w:val="20"/>
          <w:szCs w:val="20"/>
          <w:lang w:val="vi-VN"/>
        </w:rPr>
        <w:t>2</w:t>
      </w:r>
      <w:r w:rsidRPr="00AC045F">
        <w:rPr>
          <w:b/>
          <w:bCs/>
          <w:i/>
          <w:iCs/>
          <w:sz w:val="20"/>
          <w:szCs w:val="20"/>
        </w:rPr>
        <w:t xml:space="preserve"> Constraints in financial status and capital investment</w:t>
      </w:r>
    </w:p>
    <w:p w14:paraId="69CBB407" w14:textId="2751216D" w:rsidR="008B3C7A" w:rsidRPr="00AC045F" w:rsidRDefault="008B3C7A" w:rsidP="008B3C7A">
      <w:pPr>
        <w:spacing w:after="0" w:line="240" w:lineRule="auto"/>
        <w:ind w:firstLine="720"/>
        <w:rPr>
          <w:sz w:val="20"/>
          <w:szCs w:val="20"/>
          <w:lang w:val="en-US"/>
        </w:rPr>
      </w:pPr>
      <w:r w:rsidRPr="00AC045F">
        <w:rPr>
          <w:sz w:val="20"/>
          <w:szCs w:val="20"/>
          <w:lang w:val="en-US"/>
        </w:rPr>
        <w:t xml:space="preserve">Financial constraints present another considerable obstacle, particularly for small-scale farmers who often operate on tight margins. These farmers may lack the capital needed to invest in recycling technologies or practices that could improve waste management and resource recovery. Large production facilities have established comprehensive production plans, from designing input materials to the treatment and recycling of by-products, following a circular economy model. This approach contrasts with small-scale, fragmented household operations, which often follow crowd-driven production trends. As a result, agricultural products frequently face surplus "rescue" situations, and agricultural by-products are largely neglected and undervalued </w:t>
      </w:r>
      <w:r w:rsidR="00BD3E56" w:rsidRPr="00AC045F">
        <w:rPr>
          <w:sz w:val="20"/>
          <w:szCs w:val="20"/>
          <w:lang w:val="vi-VN"/>
        </w:rPr>
        <w:t>[2]</w:t>
      </w:r>
      <w:r w:rsidRPr="00AC045F">
        <w:rPr>
          <w:sz w:val="20"/>
          <w:szCs w:val="20"/>
          <w:lang w:val="en-US"/>
        </w:rPr>
        <w:t xml:space="preserve">. The absence of targeted subsidies or financial incentives further exacerbates this issue, making it challenging for smaller stakeholders to transition to more sustainable practices. Additionally, the weak institutional capacity of local authorities can hinder effective waste management initiatives. Limited resources and personnel often result in inconsistent enforcement of existing regulations, creating uncertainty regarding compliance and implementation. Regulatory ambiguities regarding the classification and management of shell waste may also lead to confusion among stakeholders about their responsibilities, further complicating efforts to promote recycling and sustainability in agricultural waste management. </w:t>
      </w:r>
    </w:p>
    <w:p w14:paraId="3BB33274" w14:textId="77777777" w:rsidR="008B3C7A" w:rsidRPr="00AC045F" w:rsidRDefault="008B3C7A" w:rsidP="00FB381A">
      <w:pPr>
        <w:pStyle w:val="Default"/>
        <w:ind w:firstLine="720"/>
        <w:jc w:val="both"/>
        <w:rPr>
          <w:color w:val="auto"/>
          <w:sz w:val="20"/>
          <w:szCs w:val="20"/>
          <w:lang w:val="vi-VN"/>
        </w:rPr>
      </w:pPr>
    </w:p>
    <w:p w14:paraId="5A34D8BA" w14:textId="0C715ABB" w:rsidR="00B233D6" w:rsidRPr="00AC045F" w:rsidRDefault="00B233D6" w:rsidP="00B233D6">
      <w:pPr>
        <w:pStyle w:val="Default"/>
        <w:jc w:val="both"/>
        <w:rPr>
          <w:b/>
          <w:bCs/>
          <w:i/>
          <w:iCs/>
          <w:sz w:val="20"/>
          <w:szCs w:val="20"/>
          <w:lang w:val="vi-VN"/>
        </w:rPr>
      </w:pPr>
      <w:r w:rsidRPr="00AC045F">
        <w:rPr>
          <w:b/>
          <w:bCs/>
          <w:i/>
          <w:iCs/>
          <w:sz w:val="20"/>
          <w:szCs w:val="20"/>
          <w:lang w:val="vi-VN"/>
        </w:rPr>
        <w:t>3</w:t>
      </w:r>
      <w:r w:rsidRPr="00AC045F">
        <w:rPr>
          <w:b/>
          <w:bCs/>
          <w:i/>
          <w:iCs/>
          <w:sz w:val="20"/>
          <w:szCs w:val="20"/>
        </w:rPr>
        <w:t>.</w:t>
      </w:r>
      <w:r w:rsidRPr="00AC045F">
        <w:rPr>
          <w:b/>
          <w:bCs/>
          <w:i/>
          <w:iCs/>
          <w:sz w:val="20"/>
          <w:szCs w:val="20"/>
          <w:lang w:val="vi-VN"/>
        </w:rPr>
        <w:t>3</w:t>
      </w:r>
      <w:r w:rsidRPr="00AC045F">
        <w:rPr>
          <w:b/>
          <w:bCs/>
          <w:i/>
          <w:iCs/>
          <w:sz w:val="20"/>
          <w:szCs w:val="20"/>
        </w:rPr>
        <w:t xml:space="preserve"> Constraints in policy</w:t>
      </w:r>
    </w:p>
    <w:p w14:paraId="52C5BC8B" w14:textId="637FA31C" w:rsidR="00B233D6" w:rsidRPr="00AC045F" w:rsidRDefault="00B233D6" w:rsidP="00B233D6">
      <w:pPr>
        <w:spacing w:after="0" w:line="240" w:lineRule="auto"/>
        <w:ind w:firstLine="720"/>
        <w:rPr>
          <w:sz w:val="20"/>
          <w:szCs w:val="20"/>
          <w:lang w:val="en-US"/>
        </w:rPr>
      </w:pPr>
      <w:r w:rsidRPr="00AC045F">
        <w:rPr>
          <w:sz w:val="20"/>
          <w:szCs w:val="20"/>
          <w:lang w:val="en-US"/>
        </w:rPr>
        <w:t>A lack of targeted policies specifically addressing agricultural waste management results in missed opportunities for resource recovery. The Law on Environmental Protection (</w:t>
      </w:r>
      <w:proofErr w:type="spellStart"/>
      <w:r w:rsidRPr="00AC045F">
        <w:rPr>
          <w:sz w:val="20"/>
          <w:szCs w:val="20"/>
          <w:lang w:val="en-US"/>
        </w:rPr>
        <w:t>LEP</w:t>
      </w:r>
      <w:proofErr w:type="spellEnd"/>
      <w:r w:rsidRPr="00AC045F">
        <w:rPr>
          <w:sz w:val="20"/>
          <w:szCs w:val="20"/>
          <w:lang w:val="en-US"/>
        </w:rPr>
        <w:t xml:space="preserve">) 2020 promotes recycling and the circular economy but lacks specific guidelines for managing agricultural waste, such as durian shells, complicating prioritization in waste management frameworks </w:t>
      </w:r>
      <w:r w:rsidR="006C3FD0" w:rsidRPr="00AC045F">
        <w:rPr>
          <w:sz w:val="20"/>
          <w:szCs w:val="20"/>
          <w:lang w:val="vi-VN"/>
        </w:rPr>
        <w:t>[17]</w:t>
      </w:r>
      <w:r w:rsidRPr="00AC045F">
        <w:rPr>
          <w:sz w:val="20"/>
          <w:szCs w:val="20"/>
          <w:lang w:val="en-US"/>
        </w:rPr>
        <w:t>. Local enforcement suffers from limited resources, leading to inconsistent regulation, particularly in rural areas. While the National Strategy on Integrated Solid Waste Management (</w:t>
      </w:r>
      <w:proofErr w:type="spellStart"/>
      <w:r w:rsidRPr="00AC045F">
        <w:rPr>
          <w:sz w:val="20"/>
          <w:szCs w:val="20"/>
          <w:lang w:val="en-US"/>
        </w:rPr>
        <w:t>NSISWM</w:t>
      </w:r>
      <w:proofErr w:type="spellEnd"/>
      <w:r w:rsidRPr="00AC045F">
        <w:rPr>
          <w:sz w:val="20"/>
          <w:szCs w:val="20"/>
          <w:lang w:val="en-US"/>
        </w:rPr>
        <w:t xml:space="preserve">) (2018-2025) aims for an 85% recycling rate for agricultural waste by 2025, it faces challenges due to inadequate infrastructure and ineffective collection systems </w:t>
      </w:r>
      <w:r w:rsidR="006C3FD0" w:rsidRPr="00AC045F">
        <w:rPr>
          <w:sz w:val="20"/>
          <w:szCs w:val="20"/>
          <w:lang w:val="vi-VN"/>
        </w:rPr>
        <w:t>[18]</w:t>
      </w:r>
      <w:r w:rsidRPr="00AC045F">
        <w:rPr>
          <w:sz w:val="20"/>
          <w:szCs w:val="20"/>
          <w:lang w:val="en-US"/>
        </w:rPr>
        <w:t>. Circular No. 36/2015/TT-</w:t>
      </w:r>
      <w:proofErr w:type="spellStart"/>
      <w:r w:rsidRPr="00AC045F">
        <w:rPr>
          <w:sz w:val="20"/>
          <w:szCs w:val="20"/>
          <w:lang w:val="en-US"/>
        </w:rPr>
        <w:t>BTNMT</w:t>
      </w:r>
      <w:proofErr w:type="spellEnd"/>
      <w:r w:rsidRPr="00AC045F">
        <w:rPr>
          <w:sz w:val="20"/>
          <w:szCs w:val="20"/>
          <w:lang w:val="en-US"/>
        </w:rPr>
        <w:t xml:space="preserve"> addresses hazardous waste but provides minimal guidance for organic waste, resulting in poor agricultural waste management practices </w:t>
      </w:r>
      <w:r w:rsidR="006C3FD0" w:rsidRPr="00AC045F">
        <w:rPr>
          <w:sz w:val="20"/>
          <w:szCs w:val="20"/>
          <w:lang w:val="vi-VN"/>
        </w:rPr>
        <w:t>[19]</w:t>
      </w:r>
      <w:r w:rsidRPr="00AC045F">
        <w:rPr>
          <w:sz w:val="20"/>
          <w:szCs w:val="20"/>
          <w:lang w:val="en-US"/>
        </w:rPr>
        <w:t>. Furthermore, the National Green Growth Strategy (Decision No. 491/</w:t>
      </w:r>
      <w:proofErr w:type="spellStart"/>
      <w:r w:rsidRPr="00AC045F">
        <w:rPr>
          <w:sz w:val="20"/>
          <w:szCs w:val="20"/>
          <w:lang w:val="en-US"/>
        </w:rPr>
        <w:t>QD-TTg</w:t>
      </w:r>
      <w:proofErr w:type="spellEnd"/>
      <w:r w:rsidRPr="00AC045F">
        <w:rPr>
          <w:sz w:val="20"/>
          <w:szCs w:val="20"/>
          <w:lang w:val="en-US"/>
        </w:rPr>
        <w:t xml:space="preserve">) acknowledges the importance of sustainable growth but lacks concrete measures for supporting agricultural waste utilization, thereby limiting resource recovery opportunities, particularly in rural areas with restricted access to funding and technology </w:t>
      </w:r>
      <w:r w:rsidR="006C3FD0" w:rsidRPr="00AC045F">
        <w:rPr>
          <w:sz w:val="20"/>
          <w:szCs w:val="20"/>
          <w:lang w:val="vi-VN"/>
        </w:rPr>
        <w:t>[20]</w:t>
      </w:r>
      <w:r w:rsidRPr="00AC045F">
        <w:rPr>
          <w:sz w:val="20"/>
          <w:szCs w:val="20"/>
          <w:lang w:val="en-US"/>
        </w:rPr>
        <w:t>.</w:t>
      </w:r>
    </w:p>
    <w:p w14:paraId="386B3D8C" w14:textId="18266CD0" w:rsidR="00B233D6" w:rsidRPr="00AC045F" w:rsidRDefault="00B233D6" w:rsidP="00B233D6">
      <w:pPr>
        <w:spacing w:after="0" w:line="240" w:lineRule="auto"/>
        <w:ind w:firstLine="720"/>
        <w:rPr>
          <w:sz w:val="20"/>
          <w:szCs w:val="20"/>
          <w:lang w:val="en-US"/>
        </w:rPr>
      </w:pPr>
      <w:r w:rsidRPr="00AC045F">
        <w:rPr>
          <w:sz w:val="20"/>
          <w:szCs w:val="20"/>
          <w:lang w:val="en-US"/>
        </w:rPr>
        <w:t xml:space="preserve">Vietnam's laws and policies significantly limit effective agricultural waste management. Many frameworks lack specific guidelines, leading to implementation ambiguities. Challenges like inadequate </w:t>
      </w:r>
      <w:r w:rsidRPr="00AC045F">
        <w:rPr>
          <w:sz w:val="20"/>
          <w:szCs w:val="20"/>
          <w:lang w:val="en-US"/>
        </w:rPr>
        <w:lastRenderedPageBreak/>
        <w:t xml:space="preserve">infrastructure, insufficient support for small-scale farmers, and weak enforcement are compounded by market constraints and the absence of financial incentives for agricultural waste products, undermining resource recovery and sustainable practices </w:t>
      </w:r>
      <w:r w:rsidR="004A4981" w:rsidRPr="00AC045F">
        <w:rPr>
          <w:sz w:val="20"/>
          <w:szCs w:val="20"/>
          <w:lang w:val="vi-VN"/>
        </w:rPr>
        <w:t>[21]</w:t>
      </w:r>
      <w:r w:rsidRPr="00AC045F">
        <w:rPr>
          <w:sz w:val="20"/>
          <w:szCs w:val="20"/>
          <w:lang w:val="en-US"/>
        </w:rPr>
        <w:t xml:space="preserve">. Additionally, competition from other waste types for attention and resources can overshadow the recycling of durian shells </w:t>
      </w:r>
      <w:r w:rsidR="004A4981" w:rsidRPr="00AC045F">
        <w:rPr>
          <w:sz w:val="20"/>
          <w:szCs w:val="20"/>
          <w:lang w:val="vi-VN"/>
        </w:rPr>
        <w:t>[2]</w:t>
      </w:r>
      <w:r w:rsidRPr="00AC045F">
        <w:rPr>
          <w:sz w:val="20"/>
          <w:szCs w:val="20"/>
          <w:lang w:val="en-US"/>
        </w:rPr>
        <w:t xml:space="preserve">. </w:t>
      </w:r>
    </w:p>
    <w:p w14:paraId="5039F33A" w14:textId="77777777" w:rsidR="00B233D6" w:rsidRPr="00AC045F" w:rsidRDefault="00B233D6" w:rsidP="00FB381A">
      <w:pPr>
        <w:pStyle w:val="Default"/>
        <w:ind w:firstLine="720"/>
        <w:jc w:val="both"/>
        <w:rPr>
          <w:color w:val="auto"/>
          <w:sz w:val="20"/>
          <w:szCs w:val="20"/>
          <w:lang w:val="vi-VN"/>
        </w:rPr>
      </w:pPr>
    </w:p>
    <w:p w14:paraId="540BFD60" w14:textId="0794BC87" w:rsidR="004E4995" w:rsidRPr="00AC045F" w:rsidRDefault="004E4995" w:rsidP="004E4995">
      <w:pPr>
        <w:pStyle w:val="Heading1"/>
      </w:pPr>
      <w:r w:rsidRPr="00AC045F">
        <w:t xml:space="preserve">POTENTIAL APPROACHES IN THE </w:t>
      </w:r>
      <w:proofErr w:type="spellStart"/>
      <w:r w:rsidRPr="00AC045F">
        <w:t>UTILISATION</w:t>
      </w:r>
      <w:proofErr w:type="spellEnd"/>
      <w:r w:rsidRPr="00AC045F">
        <w:t xml:space="preserve"> AND RECYCLING OF DURIAN SHELL</w:t>
      </w:r>
    </w:p>
    <w:p w14:paraId="2C133C54" w14:textId="119B608F" w:rsidR="004E4995" w:rsidRPr="00AC045F" w:rsidRDefault="004E4995" w:rsidP="004E4995">
      <w:pPr>
        <w:spacing w:after="0" w:line="240" w:lineRule="auto"/>
        <w:ind w:firstLine="720"/>
        <w:rPr>
          <w:sz w:val="20"/>
          <w:szCs w:val="20"/>
          <w:lang w:val="en-US"/>
        </w:rPr>
      </w:pPr>
      <w:r w:rsidRPr="00AC045F">
        <w:rPr>
          <w:sz w:val="20"/>
          <w:szCs w:val="20"/>
          <w:lang w:val="en-US"/>
        </w:rPr>
        <w:t xml:space="preserve">Durian shells, which are typically discarded as agricultural waste, have shown potential as a sustainable feedstock for converting into valuable by-products through several emerging green technologies. These approaches not only help reduce waste but also contribute to a circular economy. The exploration of durian shell waste reveals its potential as a valuable resource across various sectors. Converting this by-product into biodegradable materials and biofuels addresses waste management issues while supporting sustainability. Additionally, extracting bioactive compounds for pharmaceuticals, cosmetics, and agriculture enhances its economic viability. Embracing these innovative uses promotes circular economy principles and contributes to more sustainable practices, positioning durian shell waste as a promising candidate for future resource recovery initiatives. </w:t>
      </w:r>
    </w:p>
    <w:p w14:paraId="75CF483D" w14:textId="77777777" w:rsidR="004E4995" w:rsidRPr="00AC045F" w:rsidRDefault="004E4995" w:rsidP="004E4995">
      <w:pPr>
        <w:pStyle w:val="Default"/>
        <w:jc w:val="both"/>
        <w:rPr>
          <w:b/>
          <w:bCs/>
          <w:i/>
          <w:iCs/>
          <w:sz w:val="20"/>
          <w:szCs w:val="20"/>
          <w:lang w:val="vi-VN"/>
        </w:rPr>
      </w:pPr>
    </w:p>
    <w:p w14:paraId="6B0437B2" w14:textId="09A8086C" w:rsidR="004E4995" w:rsidRPr="00AC045F" w:rsidRDefault="004E4995" w:rsidP="004E4995">
      <w:pPr>
        <w:pStyle w:val="Default"/>
        <w:jc w:val="both"/>
        <w:rPr>
          <w:b/>
          <w:bCs/>
          <w:i/>
          <w:iCs/>
          <w:sz w:val="20"/>
          <w:szCs w:val="20"/>
          <w:lang w:val="vi-VN"/>
        </w:rPr>
      </w:pPr>
      <w:r w:rsidRPr="00AC045F">
        <w:rPr>
          <w:b/>
          <w:bCs/>
          <w:i/>
          <w:iCs/>
          <w:sz w:val="20"/>
          <w:szCs w:val="20"/>
          <w:lang w:val="vi-VN"/>
        </w:rPr>
        <w:t>4</w:t>
      </w:r>
      <w:r w:rsidRPr="00AC045F">
        <w:rPr>
          <w:b/>
          <w:bCs/>
          <w:i/>
          <w:iCs/>
          <w:sz w:val="20"/>
          <w:szCs w:val="20"/>
        </w:rPr>
        <w:t>.1 Renewable energy and agricultural benefits of pyrolysis</w:t>
      </w:r>
    </w:p>
    <w:p w14:paraId="1BD9901E" w14:textId="6ABB2607" w:rsidR="004E4995" w:rsidRPr="00AC045F" w:rsidRDefault="004E4995" w:rsidP="004E4995">
      <w:pPr>
        <w:spacing w:after="0" w:line="240" w:lineRule="auto"/>
        <w:ind w:firstLine="720"/>
        <w:rPr>
          <w:sz w:val="20"/>
          <w:szCs w:val="20"/>
          <w:lang w:val="en-US"/>
        </w:rPr>
      </w:pPr>
      <w:r w:rsidRPr="00AC045F">
        <w:rPr>
          <w:sz w:val="20"/>
          <w:szCs w:val="20"/>
          <w:lang w:val="en-US"/>
        </w:rPr>
        <w:t xml:space="preserve">The potential energy obtained from durian biomass waste has been explored recently, focusing on its conversion into biochar via pyrolysis and hydrothermal carbonization, with various applications in catalysts, wastewater treatment, </w:t>
      </w:r>
      <w:proofErr w:type="spellStart"/>
      <w:r w:rsidRPr="00AC045F">
        <w:rPr>
          <w:sz w:val="20"/>
          <w:szCs w:val="20"/>
          <w:lang w:val="en-US"/>
        </w:rPr>
        <w:t>biocomposites</w:t>
      </w:r>
      <w:proofErr w:type="spellEnd"/>
      <w:r w:rsidRPr="00AC045F">
        <w:rPr>
          <w:sz w:val="20"/>
          <w:szCs w:val="20"/>
          <w:lang w:val="en-US"/>
        </w:rPr>
        <w:t xml:space="preserve">, fertilizers, supercapacitor electrodes, and briquettes </w:t>
      </w:r>
      <w:r w:rsidR="00CD7965" w:rsidRPr="00AC045F">
        <w:rPr>
          <w:sz w:val="20"/>
          <w:szCs w:val="20"/>
          <w:lang w:val="vi-VN"/>
        </w:rPr>
        <w:t>[22]</w:t>
      </w:r>
      <w:r w:rsidRPr="00AC045F">
        <w:rPr>
          <w:sz w:val="20"/>
          <w:szCs w:val="20"/>
          <w:lang w:val="en-US"/>
        </w:rPr>
        <w:t xml:space="preserve">. Pyrolysis is a thermochemical process of heating organic materials in the absence of oxygen, causing them to decompose into valuable products like biochar, bio-oil, and syngas </w:t>
      </w:r>
      <w:r w:rsidR="00CF1833" w:rsidRPr="00AC045F">
        <w:rPr>
          <w:sz w:val="20"/>
          <w:szCs w:val="20"/>
          <w:lang w:val="vi-VN"/>
        </w:rPr>
        <w:t>[23]</w:t>
      </w:r>
      <w:r w:rsidRPr="00AC045F">
        <w:rPr>
          <w:sz w:val="20"/>
          <w:szCs w:val="20"/>
          <w:lang w:val="en-US"/>
        </w:rPr>
        <w:t xml:space="preserve">. When applied to durian shells, pyrolysis can yield biochar, a carbon-rich material useful as a soil amendment that improves soil health and sequesters carbon. It also produces bio-oil, which can serve as a potential biofuel or a source of chemicals for industrial applications, and syngas, a mixture of hydrogen and carbon monoxide that can be used as a fuel or chemical feedstock </w:t>
      </w:r>
      <w:r w:rsidR="00982F59" w:rsidRPr="00AC045F">
        <w:rPr>
          <w:sz w:val="20"/>
          <w:szCs w:val="20"/>
          <w:lang w:val="vi-VN"/>
        </w:rPr>
        <w:t>[24]</w:t>
      </w:r>
      <w:r w:rsidRPr="00AC045F">
        <w:rPr>
          <w:sz w:val="20"/>
          <w:szCs w:val="20"/>
          <w:lang w:val="en-US"/>
        </w:rPr>
        <w:t xml:space="preserve">. This process helps reduce agricultural waste while generating renewable energy. Additionally, biochar offers environmental benefits by enhancing soil fertility and acting as a carbon sink. However, difficulties include the high energy input required for pyrolysis and the need for subsequent refinement of bio-oil to make it commercially viable </w:t>
      </w:r>
      <w:r w:rsidR="00982F59" w:rsidRPr="00AC045F">
        <w:rPr>
          <w:sz w:val="20"/>
          <w:szCs w:val="20"/>
          <w:lang w:val="vi-VN"/>
        </w:rPr>
        <w:t>[25]</w:t>
      </w:r>
      <w:r w:rsidRPr="00AC045F">
        <w:rPr>
          <w:sz w:val="20"/>
          <w:szCs w:val="20"/>
          <w:lang w:val="en-US"/>
        </w:rPr>
        <w:t xml:space="preserve">. </w:t>
      </w:r>
    </w:p>
    <w:p w14:paraId="6470BCE8" w14:textId="77777777" w:rsidR="004E4995" w:rsidRPr="00AC045F" w:rsidRDefault="004E4995" w:rsidP="00FB381A">
      <w:pPr>
        <w:pStyle w:val="Default"/>
        <w:ind w:firstLine="720"/>
        <w:jc w:val="both"/>
        <w:rPr>
          <w:color w:val="auto"/>
          <w:sz w:val="20"/>
          <w:szCs w:val="20"/>
          <w:lang w:val="vi-VN"/>
        </w:rPr>
      </w:pPr>
    </w:p>
    <w:p w14:paraId="010CF8B0" w14:textId="2A405194" w:rsidR="004E4995" w:rsidRPr="00AC045F" w:rsidRDefault="004E4995" w:rsidP="004E4995">
      <w:pPr>
        <w:pStyle w:val="Default"/>
        <w:jc w:val="both"/>
        <w:rPr>
          <w:b/>
          <w:bCs/>
          <w:i/>
          <w:iCs/>
          <w:sz w:val="20"/>
          <w:szCs w:val="20"/>
          <w:lang w:val="vi-VN"/>
        </w:rPr>
      </w:pPr>
      <w:r w:rsidRPr="00AC045F">
        <w:rPr>
          <w:b/>
          <w:bCs/>
          <w:i/>
          <w:iCs/>
          <w:sz w:val="20"/>
          <w:szCs w:val="20"/>
          <w:lang w:val="vi-VN"/>
        </w:rPr>
        <w:t>4</w:t>
      </w:r>
      <w:r w:rsidRPr="00AC045F">
        <w:rPr>
          <w:b/>
          <w:bCs/>
          <w:i/>
          <w:iCs/>
          <w:sz w:val="20"/>
          <w:szCs w:val="20"/>
        </w:rPr>
        <w:t>.</w:t>
      </w:r>
      <w:r w:rsidRPr="00AC045F">
        <w:rPr>
          <w:b/>
          <w:bCs/>
          <w:i/>
          <w:iCs/>
          <w:sz w:val="20"/>
          <w:szCs w:val="20"/>
          <w:lang w:val="vi-VN"/>
        </w:rPr>
        <w:t>2</w:t>
      </w:r>
      <w:r w:rsidRPr="00AC045F">
        <w:rPr>
          <w:b/>
          <w:bCs/>
          <w:i/>
          <w:iCs/>
          <w:sz w:val="20"/>
          <w:szCs w:val="20"/>
        </w:rPr>
        <w:t xml:space="preserve"> Fertilizers production using effective microorganisms and enzymatic treatment</w:t>
      </w:r>
    </w:p>
    <w:p w14:paraId="69AD2784" w14:textId="79729D37" w:rsidR="004E4995" w:rsidRPr="00AC045F" w:rsidRDefault="004E4995" w:rsidP="004E4995">
      <w:pPr>
        <w:spacing w:after="0" w:line="240" w:lineRule="auto"/>
        <w:ind w:firstLine="720"/>
        <w:rPr>
          <w:sz w:val="20"/>
          <w:szCs w:val="20"/>
          <w:lang w:val="en-US"/>
        </w:rPr>
      </w:pPr>
      <w:r w:rsidRPr="00AC045F">
        <w:rPr>
          <w:sz w:val="20"/>
          <w:szCs w:val="20"/>
          <w:lang w:val="en-US"/>
        </w:rPr>
        <w:t xml:space="preserve">Research indicates that incorporating nitrogen-rich sources, such as citrus peels, enhances the degradation process. Techniques including aerobic and vermicomposting have been explored to convert durian shell waste into valuable compost, thereby mitigating environmental pollution </w:t>
      </w:r>
      <w:r w:rsidR="00982F59" w:rsidRPr="00AC045F">
        <w:rPr>
          <w:sz w:val="20"/>
          <w:szCs w:val="20"/>
          <w:lang w:val="vi-VN"/>
        </w:rPr>
        <w:t>[26]</w:t>
      </w:r>
      <w:r w:rsidRPr="00AC045F">
        <w:rPr>
          <w:sz w:val="20"/>
          <w:szCs w:val="20"/>
          <w:lang w:val="en-US"/>
        </w:rPr>
        <w:t xml:space="preserve">. The efficacy of durian peel waste as an organic fertilizer has been scientifically supported, especially when combined with biological products derived from </w:t>
      </w:r>
      <w:r w:rsidRPr="00AC045F">
        <w:rPr>
          <w:i/>
          <w:iCs/>
          <w:sz w:val="20"/>
          <w:szCs w:val="20"/>
          <w:lang w:val="en-US"/>
        </w:rPr>
        <w:t>Trichoderma</w:t>
      </w:r>
      <w:r w:rsidRPr="00AC045F">
        <w:rPr>
          <w:sz w:val="20"/>
          <w:szCs w:val="20"/>
          <w:lang w:val="en-US"/>
        </w:rPr>
        <w:t xml:space="preserve"> spp., which serve as enzymes that hydrolyze cellulose and lignocellulose in the durian shell. Studies have shown that using 5 kg of durian peel supplemented with 5 g of this biological product significantly accelerates the breakdown of the peel's lignocellulosic components </w:t>
      </w:r>
      <w:r w:rsidR="001D4FD4" w:rsidRPr="00AC045F">
        <w:rPr>
          <w:sz w:val="20"/>
          <w:szCs w:val="20"/>
          <w:lang w:val="vi-VN"/>
        </w:rPr>
        <w:t>[3]</w:t>
      </w:r>
      <w:r w:rsidRPr="00AC045F">
        <w:rPr>
          <w:sz w:val="20"/>
          <w:szCs w:val="20"/>
          <w:lang w:val="en-US"/>
        </w:rPr>
        <w:t xml:space="preserve">. The biological activity of </w:t>
      </w:r>
      <w:r w:rsidRPr="00AC045F">
        <w:rPr>
          <w:i/>
          <w:iCs/>
          <w:sz w:val="20"/>
          <w:szCs w:val="20"/>
          <w:lang w:val="en-US"/>
        </w:rPr>
        <w:t>Trichoderma</w:t>
      </w:r>
      <w:r w:rsidRPr="00AC045F">
        <w:rPr>
          <w:sz w:val="20"/>
          <w:szCs w:val="20"/>
          <w:lang w:val="en-US"/>
        </w:rPr>
        <w:t xml:space="preserve"> spp. enhances the decomposition of organic matters and improves the nutrient profile of the resulting compost, fostering more sustainable agricultural practices. This transformation of agricultural waste into organic fertilizers enriches soil ecosystems with beneficial microorganisms and increases nutrient availability for plants </w:t>
      </w:r>
      <w:r w:rsidR="001D4FD4" w:rsidRPr="00AC045F">
        <w:rPr>
          <w:sz w:val="20"/>
          <w:szCs w:val="20"/>
          <w:lang w:val="vi-VN"/>
        </w:rPr>
        <w:t>[27]</w:t>
      </w:r>
      <w:r w:rsidRPr="00AC045F">
        <w:rPr>
          <w:sz w:val="20"/>
          <w:szCs w:val="20"/>
          <w:lang w:val="en-US"/>
        </w:rPr>
        <w:t xml:space="preserve">. Enzymatic treatments complement this approach by further breaking down complex polysaccharides in durian shells, such as cellulose and lignocellulose, into simpler sugars or other valuable by-products </w:t>
      </w:r>
      <w:r w:rsidR="0005142C" w:rsidRPr="00AC045F">
        <w:rPr>
          <w:sz w:val="20"/>
          <w:szCs w:val="20"/>
          <w:lang w:val="vi-VN"/>
        </w:rPr>
        <w:t>[28]</w:t>
      </w:r>
      <w:r w:rsidRPr="00AC045F">
        <w:rPr>
          <w:sz w:val="20"/>
          <w:szCs w:val="20"/>
          <w:lang w:val="en-US"/>
        </w:rPr>
        <w:t xml:space="preserve">. This enzymatic process can produce cellulosic ethanol for biofuels, biopolymers for biodegradable plastics, and nutritional supplements, as well as bio compost to improve soil health and fertility. Both biological and enzymatic treatments share the goal of converting durian waste into high-value products, contributing to energy-efficient, sustainable agricultural systems </w:t>
      </w:r>
      <w:r w:rsidR="00583064" w:rsidRPr="00AC045F">
        <w:rPr>
          <w:sz w:val="20"/>
          <w:szCs w:val="20"/>
          <w:lang w:val="vi-VN"/>
        </w:rPr>
        <w:t>[29]</w:t>
      </w:r>
      <w:r w:rsidRPr="00AC045F">
        <w:rPr>
          <w:sz w:val="20"/>
          <w:szCs w:val="20"/>
          <w:lang w:val="en-US"/>
        </w:rPr>
        <w:t xml:space="preserve">. However, drawbacks such as enzyme costs, recycling, and process speeds must be addressed to optimize their potential </w:t>
      </w:r>
      <w:r w:rsidR="00583064" w:rsidRPr="00AC045F">
        <w:rPr>
          <w:sz w:val="20"/>
          <w:szCs w:val="20"/>
          <w:lang w:val="vi-VN"/>
        </w:rPr>
        <w:t>[30]</w:t>
      </w:r>
      <w:r w:rsidRPr="00AC045F">
        <w:rPr>
          <w:sz w:val="20"/>
          <w:szCs w:val="20"/>
          <w:lang w:val="en-US"/>
        </w:rPr>
        <w:t xml:space="preserve">. Together, these approaches offer a comprehensive strategy for the valorization of durian waste, supporting both environmental and agricultural sustainability. </w:t>
      </w:r>
    </w:p>
    <w:p w14:paraId="30ECA1EE" w14:textId="77777777" w:rsidR="004E4995" w:rsidRPr="00AC045F" w:rsidRDefault="004E4995" w:rsidP="00FB381A">
      <w:pPr>
        <w:pStyle w:val="Default"/>
        <w:ind w:firstLine="720"/>
        <w:jc w:val="both"/>
        <w:rPr>
          <w:color w:val="auto"/>
          <w:sz w:val="20"/>
          <w:szCs w:val="20"/>
          <w:lang w:val="vi-VN"/>
        </w:rPr>
      </w:pPr>
    </w:p>
    <w:p w14:paraId="629198C7" w14:textId="7DD9EB2A" w:rsidR="004E4995" w:rsidRPr="00AC045F" w:rsidRDefault="004E4995" w:rsidP="004E4995">
      <w:pPr>
        <w:pStyle w:val="Default"/>
        <w:jc w:val="both"/>
        <w:rPr>
          <w:b/>
          <w:bCs/>
          <w:i/>
          <w:iCs/>
          <w:sz w:val="20"/>
          <w:szCs w:val="20"/>
          <w:lang w:val="vi-VN"/>
        </w:rPr>
      </w:pPr>
      <w:r w:rsidRPr="00AC045F">
        <w:rPr>
          <w:b/>
          <w:bCs/>
          <w:i/>
          <w:iCs/>
          <w:sz w:val="20"/>
          <w:szCs w:val="20"/>
          <w:lang w:val="vi-VN"/>
        </w:rPr>
        <w:t>4</w:t>
      </w:r>
      <w:r w:rsidRPr="00AC045F">
        <w:rPr>
          <w:b/>
          <w:bCs/>
          <w:i/>
          <w:iCs/>
          <w:sz w:val="20"/>
          <w:szCs w:val="20"/>
        </w:rPr>
        <w:t>.</w:t>
      </w:r>
      <w:r w:rsidRPr="00AC045F">
        <w:rPr>
          <w:b/>
          <w:bCs/>
          <w:i/>
          <w:iCs/>
          <w:sz w:val="20"/>
          <w:szCs w:val="20"/>
          <w:lang w:val="vi-VN"/>
        </w:rPr>
        <w:t>3</w:t>
      </w:r>
      <w:r w:rsidRPr="00AC045F">
        <w:rPr>
          <w:b/>
          <w:bCs/>
          <w:i/>
          <w:iCs/>
          <w:sz w:val="20"/>
          <w:szCs w:val="20"/>
        </w:rPr>
        <w:t xml:space="preserve"> Nutraceuticals and pharmaceuticals</w:t>
      </w:r>
    </w:p>
    <w:p w14:paraId="46821030" w14:textId="2FD53100" w:rsidR="004E4995" w:rsidRPr="00AC045F" w:rsidRDefault="004E4995" w:rsidP="004E4995">
      <w:pPr>
        <w:spacing w:after="0" w:line="240" w:lineRule="auto"/>
        <w:ind w:firstLine="720"/>
        <w:rPr>
          <w:sz w:val="20"/>
          <w:szCs w:val="20"/>
          <w:lang w:val="en-US"/>
        </w:rPr>
      </w:pPr>
      <w:r w:rsidRPr="00AC045F">
        <w:rPr>
          <w:sz w:val="20"/>
          <w:szCs w:val="20"/>
          <w:lang w:val="en-US"/>
        </w:rPr>
        <w:t>Durian waste offers significant potential for sustainable resource utilization, particularly through its husk, which demonstrates promise for biomedical applications and the production of value-added products, surpassing the traditional application of seeds as animal feed. A study investigated the secondary metabolites and antibacterial activity of durian peel (</w:t>
      </w:r>
      <w:r w:rsidR="009452FF" w:rsidRPr="00AC045F">
        <w:rPr>
          <w:sz w:val="20"/>
          <w:szCs w:val="20"/>
          <w:lang w:val="vi-VN"/>
        </w:rPr>
        <w:t>[31]</w:t>
      </w:r>
      <w:r w:rsidRPr="00AC045F">
        <w:rPr>
          <w:sz w:val="20"/>
          <w:szCs w:val="20"/>
          <w:lang w:val="en-US"/>
        </w:rPr>
        <w:t xml:space="preserve">, </w:t>
      </w:r>
      <w:r w:rsidR="009452FF" w:rsidRPr="00AC045F">
        <w:rPr>
          <w:sz w:val="20"/>
          <w:szCs w:val="20"/>
          <w:lang w:val="vi-VN"/>
        </w:rPr>
        <w:t>[32]</w:t>
      </w:r>
      <w:r w:rsidRPr="00AC045F">
        <w:rPr>
          <w:sz w:val="20"/>
          <w:szCs w:val="20"/>
          <w:lang w:val="en-US"/>
        </w:rPr>
        <w:t xml:space="preserve">) extract to evaluate its potential as a natural antibacterial agent in hand sanitizers. The findings revealed that the extract contains phytochemicals exhibiting antibacterial </w:t>
      </w:r>
      <w:r w:rsidRPr="00AC045F">
        <w:rPr>
          <w:sz w:val="20"/>
          <w:szCs w:val="20"/>
          <w:lang w:val="en-US"/>
        </w:rPr>
        <w:lastRenderedPageBreak/>
        <w:t xml:space="preserve">properties, effectively inhibiting the growth of </w:t>
      </w:r>
      <w:r w:rsidRPr="00AC045F">
        <w:rPr>
          <w:i/>
          <w:iCs/>
          <w:sz w:val="20"/>
          <w:szCs w:val="20"/>
          <w:lang w:val="en-US"/>
        </w:rPr>
        <w:t>Escherichia coli</w:t>
      </w:r>
      <w:r w:rsidRPr="00AC045F">
        <w:rPr>
          <w:sz w:val="20"/>
          <w:szCs w:val="20"/>
          <w:lang w:val="en-US"/>
        </w:rPr>
        <w:t xml:space="preserve">, </w:t>
      </w:r>
      <w:r w:rsidRPr="00AC045F">
        <w:rPr>
          <w:i/>
          <w:iCs/>
          <w:sz w:val="20"/>
          <w:szCs w:val="20"/>
          <w:lang w:val="en-US"/>
        </w:rPr>
        <w:t xml:space="preserve">Salmonella </w:t>
      </w:r>
      <w:proofErr w:type="spellStart"/>
      <w:r w:rsidRPr="00AC045F">
        <w:rPr>
          <w:i/>
          <w:iCs/>
          <w:sz w:val="20"/>
          <w:szCs w:val="20"/>
          <w:lang w:val="en-US"/>
        </w:rPr>
        <w:t>typhosa</w:t>
      </w:r>
      <w:proofErr w:type="spellEnd"/>
      <w:r w:rsidRPr="00AC045F">
        <w:rPr>
          <w:sz w:val="20"/>
          <w:szCs w:val="20"/>
          <w:lang w:val="en-US"/>
        </w:rPr>
        <w:t xml:space="preserve">, and </w:t>
      </w:r>
      <w:r w:rsidRPr="00AC045F">
        <w:rPr>
          <w:i/>
          <w:iCs/>
          <w:sz w:val="20"/>
          <w:szCs w:val="20"/>
          <w:lang w:val="en-US"/>
        </w:rPr>
        <w:t>Staphylococcus aureus</w:t>
      </w:r>
      <w:r w:rsidRPr="00AC045F">
        <w:rPr>
          <w:sz w:val="20"/>
          <w:szCs w:val="20"/>
          <w:lang w:val="en-US"/>
        </w:rPr>
        <w:t xml:space="preserve"> at a concentration of 1% </w:t>
      </w:r>
      <w:r w:rsidR="00AA2EBA" w:rsidRPr="00AC045F">
        <w:rPr>
          <w:sz w:val="20"/>
          <w:szCs w:val="20"/>
          <w:lang w:val="vi-VN"/>
        </w:rPr>
        <w:t>[33]</w:t>
      </w:r>
      <w:r w:rsidRPr="00AC045F">
        <w:rPr>
          <w:sz w:val="20"/>
          <w:szCs w:val="20"/>
          <w:lang w:val="en-US"/>
        </w:rPr>
        <w:t xml:space="preserve">. </w:t>
      </w:r>
    </w:p>
    <w:p w14:paraId="06B3CE51" w14:textId="40B61F8F" w:rsidR="004E4995" w:rsidRPr="00AC045F" w:rsidRDefault="004E4995" w:rsidP="004E4995">
      <w:pPr>
        <w:spacing w:after="0" w:line="240" w:lineRule="auto"/>
        <w:ind w:firstLine="720"/>
        <w:rPr>
          <w:sz w:val="20"/>
          <w:szCs w:val="20"/>
          <w:lang w:val="en-US"/>
        </w:rPr>
      </w:pPr>
      <w:r w:rsidRPr="00AC045F">
        <w:rPr>
          <w:sz w:val="20"/>
          <w:szCs w:val="20"/>
          <w:lang w:val="en-US"/>
        </w:rPr>
        <w:t xml:space="preserve">Additionally, the antimicrobial activity of ethanol extract from durian shell was examined against </w:t>
      </w:r>
      <w:r w:rsidRPr="00AC045F">
        <w:rPr>
          <w:i/>
          <w:iCs/>
          <w:sz w:val="20"/>
          <w:szCs w:val="20"/>
          <w:lang w:val="en-US"/>
        </w:rPr>
        <w:t>Streptococcus mutans</w:t>
      </w:r>
      <w:r w:rsidRPr="00AC045F">
        <w:rPr>
          <w:sz w:val="20"/>
          <w:szCs w:val="20"/>
          <w:lang w:val="en-US"/>
        </w:rPr>
        <w:t xml:space="preserve"> and </w:t>
      </w:r>
      <w:r w:rsidRPr="00AC045F">
        <w:rPr>
          <w:i/>
          <w:iCs/>
          <w:sz w:val="20"/>
          <w:szCs w:val="20"/>
          <w:lang w:val="en-US"/>
        </w:rPr>
        <w:t>Enterococcus faecalis</w:t>
      </w:r>
      <w:r w:rsidRPr="00AC045F">
        <w:rPr>
          <w:sz w:val="20"/>
          <w:szCs w:val="20"/>
          <w:lang w:val="en-US"/>
        </w:rPr>
        <w:t xml:space="preserve">, bacteria frequently implicated in dental caries and root canal infections. The extract demonstrated significant inhibitory effects on both </w:t>
      </w:r>
      <w:r w:rsidRPr="00AC045F">
        <w:rPr>
          <w:i/>
          <w:iCs/>
          <w:sz w:val="20"/>
          <w:szCs w:val="20"/>
          <w:lang w:val="en-US"/>
        </w:rPr>
        <w:t>S. mutans</w:t>
      </w:r>
      <w:r w:rsidRPr="00AC045F">
        <w:rPr>
          <w:sz w:val="20"/>
          <w:szCs w:val="20"/>
          <w:lang w:val="en-US"/>
        </w:rPr>
        <w:t xml:space="preserve"> and </w:t>
      </w:r>
      <w:r w:rsidRPr="00AC045F">
        <w:rPr>
          <w:i/>
          <w:iCs/>
          <w:sz w:val="20"/>
          <w:szCs w:val="20"/>
          <w:lang w:val="en-US"/>
        </w:rPr>
        <w:t>E. faecalis</w:t>
      </w:r>
      <w:r w:rsidRPr="00AC045F">
        <w:rPr>
          <w:sz w:val="20"/>
          <w:szCs w:val="20"/>
          <w:lang w:val="en-US"/>
        </w:rPr>
        <w:t xml:space="preserve"> at concentrations ranging from 6.25% to 50%, underscoring its potential as a preventive agent for dental caries. The bioactive compounds present in durian peel extract could be effectively incorporated into formulations such as mouthwash, root canal irrigation solutions, and topical applications </w:t>
      </w:r>
      <w:r w:rsidR="006628CB" w:rsidRPr="00AC045F">
        <w:rPr>
          <w:sz w:val="20"/>
          <w:szCs w:val="20"/>
          <w:lang w:val="vi-VN"/>
        </w:rPr>
        <w:t>[34]</w:t>
      </w:r>
      <w:r w:rsidRPr="00AC045F">
        <w:rPr>
          <w:sz w:val="20"/>
          <w:szCs w:val="20"/>
          <w:lang w:val="en-US"/>
        </w:rPr>
        <w:t>.</w:t>
      </w:r>
    </w:p>
    <w:p w14:paraId="069EEC9A" w14:textId="1CE99D4D" w:rsidR="004E4995" w:rsidRPr="00AC045F" w:rsidRDefault="004E4995" w:rsidP="004E4995">
      <w:pPr>
        <w:spacing w:after="0" w:line="240" w:lineRule="auto"/>
        <w:ind w:firstLine="720"/>
        <w:rPr>
          <w:sz w:val="20"/>
          <w:szCs w:val="20"/>
          <w:lang w:val="en-US"/>
        </w:rPr>
      </w:pPr>
      <w:r w:rsidRPr="00AC045F">
        <w:rPr>
          <w:sz w:val="20"/>
          <w:szCs w:val="20"/>
          <w:lang w:val="en-US"/>
        </w:rPr>
        <w:t xml:space="preserve">In a related investigation, durian peel extract was formulated into an effervescent tablet as an alternative approach for the consumption of natural antioxidants. The antioxidant activity was assessed using the DPPH method, with the </w:t>
      </w:r>
      <w:proofErr w:type="spellStart"/>
      <w:r w:rsidRPr="00AC045F">
        <w:rPr>
          <w:sz w:val="20"/>
          <w:szCs w:val="20"/>
          <w:lang w:val="en-US"/>
        </w:rPr>
        <w:t>IC50</w:t>
      </w:r>
      <w:proofErr w:type="spellEnd"/>
      <w:r w:rsidRPr="00AC045F">
        <w:rPr>
          <w:sz w:val="20"/>
          <w:szCs w:val="20"/>
          <w:lang w:val="en-US"/>
        </w:rPr>
        <w:t xml:space="preserve"> value measured to evaluate efficacy. Formula 4, comprising 30% durian peel extract, exhibited enhanced antioxidant activity compared to the other three formulations, achieving an </w:t>
      </w:r>
      <w:proofErr w:type="spellStart"/>
      <w:r w:rsidRPr="00AC045F">
        <w:rPr>
          <w:sz w:val="20"/>
          <w:szCs w:val="20"/>
          <w:lang w:val="en-US"/>
        </w:rPr>
        <w:t>IC50</w:t>
      </w:r>
      <w:proofErr w:type="spellEnd"/>
      <w:r w:rsidRPr="00AC045F">
        <w:rPr>
          <w:sz w:val="20"/>
          <w:szCs w:val="20"/>
          <w:lang w:val="en-US"/>
        </w:rPr>
        <w:t xml:space="preserve"> value of 117.73 </w:t>
      </w:r>
      <w:proofErr w:type="spellStart"/>
      <w:r w:rsidRPr="00AC045F">
        <w:rPr>
          <w:sz w:val="20"/>
          <w:szCs w:val="20"/>
          <w:lang w:val="en-US"/>
        </w:rPr>
        <w:t>μg</w:t>
      </w:r>
      <w:proofErr w:type="spellEnd"/>
      <w:r w:rsidRPr="00AC045F">
        <w:rPr>
          <w:sz w:val="20"/>
          <w:szCs w:val="20"/>
          <w:lang w:val="en-US"/>
        </w:rPr>
        <w:t xml:space="preserve">/mL, which is categorized as moderate antioxidant activity </w:t>
      </w:r>
      <w:r w:rsidR="009A5318" w:rsidRPr="00AC045F">
        <w:rPr>
          <w:sz w:val="20"/>
          <w:szCs w:val="20"/>
          <w:lang w:val="vi-VN"/>
        </w:rPr>
        <w:t>[35]</w:t>
      </w:r>
      <w:r w:rsidRPr="00AC045F">
        <w:rPr>
          <w:sz w:val="20"/>
          <w:szCs w:val="20"/>
          <w:lang w:val="en-US"/>
        </w:rPr>
        <w:t xml:space="preserve">. Summarily, these studies highlight the diverse bioactive potential of durian peel extract, emphasizing its applicability in health-related products and sustainable resource utilization. </w:t>
      </w:r>
    </w:p>
    <w:p w14:paraId="2A2EDAEE" w14:textId="77777777" w:rsidR="004E4995" w:rsidRPr="00AC045F" w:rsidRDefault="004E4995" w:rsidP="00FB381A">
      <w:pPr>
        <w:pStyle w:val="Default"/>
        <w:ind w:firstLine="720"/>
        <w:jc w:val="both"/>
        <w:rPr>
          <w:color w:val="auto"/>
          <w:sz w:val="20"/>
          <w:szCs w:val="20"/>
          <w:lang w:val="vi-VN"/>
        </w:rPr>
      </w:pPr>
    </w:p>
    <w:p w14:paraId="34FA96B6" w14:textId="70232365" w:rsidR="00361FFB" w:rsidRPr="00AC045F" w:rsidRDefault="00361FFB" w:rsidP="00361FFB">
      <w:pPr>
        <w:pStyle w:val="Default"/>
        <w:jc w:val="both"/>
        <w:rPr>
          <w:b/>
          <w:bCs/>
          <w:i/>
          <w:iCs/>
          <w:sz w:val="20"/>
          <w:szCs w:val="20"/>
          <w:lang w:val="vi-VN"/>
        </w:rPr>
      </w:pPr>
      <w:r w:rsidRPr="00AC045F">
        <w:rPr>
          <w:b/>
          <w:bCs/>
          <w:i/>
          <w:iCs/>
          <w:sz w:val="20"/>
          <w:szCs w:val="20"/>
          <w:lang w:val="vi-VN"/>
        </w:rPr>
        <w:t>4</w:t>
      </w:r>
      <w:r w:rsidRPr="00AC045F">
        <w:rPr>
          <w:b/>
          <w:bCs/>
          <w:i/>
          <w:iCs/>
          <w:sz w:val="20"/>
          <w:szCs w:val="20"/>
        </w:rPr>
        <w:t>.</w:t>
      </w:r>
      <w:r w:rsidRPr="00AC045F">
        <w:rPr>
          <w:b/>
          <w:bCs/>
          <w:i/>
          <w:iCs/>
          <w:sz w:val="20"/>
          <w:szCs w:val="20"/>
          <w:lang w:val="vi-VN"/>
        </w:rPr>
        <w:t>4</w:t>
      </w:r>
      <w:r w:rsidRPr="00AC045F">
        <w:rPr>
          <w:b/>
          <w:bCs/>
          <w:i/>
          <w:iCs/>
          <w:sz w:val="20"/>
          <w:szCs w:val="20"/>
        </w:rPr>
        <w:t xml:space="preserve"> Other potential applications</w:t>
      </w:r>
    </w:p>
    <w:p w14:paraId="79E0A5AC" w14:textId="52534989" w:rsidR="00361FFB" w:rsidRPr="00AC045F" w:rsidRDefault="00361FFB" w:rsidP="00361FFB">
      <w:pPr>
        <w:autoSpaceDE w:val="0"/>
        <w:autoSpaceDN w:val="0"/>
        <w:adjustRightInd w:val="0"/>
        <w:spacing w:after="0" w:line="240" w:lineRule="auto"/>
        <w:rPr>
          <w:i/>
          <w:iCs/>
          <w:color w:val="000000"/>
          <w:sz w:val="20"/>
          <w:szCs w:val="20"/>
          <w:lang w:val="vi-VN"/>
        </w:rPr>
      </w:pPr>
      <w:r w:rsidRPr="00AC045F">
        <w:rPr>
          <w:i/>
          <w:iCs/>
          <w:color w:val="000000"/>
          <w:sz w:val="20"/>
          <w:szCs w:val="20"/>
          <w:lang w:val="vi-VN"/>
        </w:rPr>
        <w:tab/>
        <w:t>4</w:t>
      </w:r>
      <w:r w:rsidRPr="00AC045F">
        <w:rPr>
          <w:i/>
          <w:iCs/>
          <w:color w:val="000000"/>
          <w:sz w:val="20"/>
          <w:szCs w:val="20"/>
          <w:lang w:val="en-US"/>
        </w:rPr>
        <w:t>.</w:t>
      </w:r>
      <w:r w:rsidRPr="00AC045F">
        <w:rPr>
          <w:i/>
          <w:iCs/>
          <w:color w:val="000000"/>
          <w:sz w:val="20"/>
          <w:szCs w:val="20"/>
          <w:lang w:val="vi-VN"/>
        </w:rPr>
        <w:t>4.1</w:t>
      </w:r>
      <w:r w:rsidRPr="00AC045F">
        <w:rPr>
          <w:i/>
          <w:iCs/>
          <w:color w:val="000000"/>
          <w:sz w:val="20"/>
          <w:szCs w:val="20"/>
          <w:lang w:val="en-US"/>
        </w:rPr>
        <w:t xml:space="preserve"> Chemical</w:t>
      </w:r>
      <w:r w:rsidRPr="00AC045F">
        <w:rPr>
          <w:i/>
          <w:iCs/>
          <w:color w:val="000000"/>
          <w:sz w:val="20"/>
          <w:szCs w:val="20"/>
          <w:lang w:val="vi-VN"/>
        </w:rPr>
        <w:t xml:space="preserve"> industry</w:t>
      </w:r>
    </w:p>
    <w:p w14:paraId="3A40B00B" w14:textId="61082F86" w:rsidR="00361FFB" w:rsidRPr="00AC045F" w:rsidRDefault="00361FFB" w:rsidP="00361FFB">
      <w:pPr>
        <w:pStyle w:val="Default"/>
        <w:ind w:firstLine="720"/>
        <w:jc w:val="both"/>
        <w:rPr>
          <w:color w:val="auto"/>
          <w:sz w:val="20"/>
          <w:szCs w:val="20"/>
          <w:lang w:val="vi-VN"/>
        </w:rPr>
      </w:pPr>
      <w:r w:rsidRPr="00AC045F">
        <w:rPr>
          <w:sz w:val="20"/>
          <w:szCs w:val="20"/>
        </w:rPr>
        <w:t xml:space="preserve">Durian peel has been identified as an effective adsorbent for the purification of crude glycerol within the chemical industry. Research has focused on the utilization of durian peel as activated carbon for purifying acidified crude glycerol, achieved through acidification with concentrated acid and subsequent carbonization using </w:t>
      </w:r>
      <w:proofErr w:type="spellStart"/>
      <w:r w:rsidRPr="00AC045F">
        <w:rPr>
          <w:sz w:val="20"/>
          <w:szCs w:val="20"/>
        </w:rPr>
        <w:t>0.1N</w:t>
      </w:r>
      <w:proofErr w:type="spellEnd"/>
      <w:r w:rsidRPr="00AC045F">
        <w:rPr>
          <w:sz w:val="20"/>
          <w:szCs w:val="20"/>
        </w:rPr>
        <w:t xml:space="preserve"> KOH. This process yielded an adsorbent with a carbon content of 80.6%, achieving a maximum purity of 96.26% at a 1:1 mole ratio and a 25% mass ratio </w:t>
      </w:r>
      <w:r w:rsidR="009A5318" w:rsidRPr="00AC045F">
        <w:rPr>
          <w:sz w:val="20"/>
          <w:szCs w:val="20"/>
          <w:lang w:val="vi-VN"/>
        </w:rPr>
        <w:t>[36]</w:t>
      </w:r>
      <w:r w:rsidRPr="00AC045F">
        <w:rPr>
          <w:color w:val="auto"/>
          <w:sz w:val="20"/>
          <w:szCs w:val="20"/>
        </w:rPr>
        <w:t>.</w:t>
      </w:r>
    </w:p>
    <w:p w14:paraId="6FE46AC8" w14:textId="5EDEEC22" w:rsidR="00361FFB" w:rsidRPr="00AC045F" w:rsidRDefault="00361FFB" w:rsidP="00361FFB">
      <w:pPr>
        <w:autoSpaceDE w:val="0"/>
        <w:autoSpaceDN w:val="0"/>
        <w:adjustRightInd w:val="0"/>
        <w:spacing w:after="0" w:line="240" w:lineRule="auto"/>
        <w:rPr>
          <w:i/>
          <w:iCs/>
          <w:color w:val="000000"/>
          <w:sz w:val="20"/>
          <w:szCs w:val="20"/>
          <w:lang w:val="vi-VN"/>
        </w:rPr>
      </w:pPr>
      <w:r w:rsidRPr="00AC045F">
        <w:rPr>
          <w:i/>
          <w:iCs/>
          <w:color w:val="000000"/>
          <w:sz w:val="20"/>
          <w:szCs w:val="20"/>
          <w:lang w:val="vi-VN"/>
        </w:rPr>
        <w:tab/>
        <w:t>4</w:t>
      </w:r>
      <w:r w:rsidRPr="00AC045F">
        <w:rPr>
          <w:i/>
          <w:iCs/>
          <w:color w:val="000000"/>
          <w:sz w:val="20"/>
          <w:szCs w:val="20"/>
          <w:lang w:val="en-US"/>
        </w:rPr>
        <w:t>.</w:t>
      </w:r>
      <w:r w:rsidRPr="00AC045F">
        <w:rPr>
          <w:i/>
          <w:iCs/>
          <w:color w:val="000000"/>
          <w:sz w:val="20"/>
          <w:szCs w:val="20"/>
          <w:lang w:val="vi-VN"/>
        </w:rPr>
        <w:t>4.2</w:t>
      </w:r>
      <w:r w:rsidRPr="00AC045F">
        <w:rPr>
          <w:i/>
          <w:iCs/>
          <w:color w:val="000000"/>
          <w:sz w:val="20"/>
          <w:szCs w:val="20"/>
          <w:lang w:val="en-US"/>
        </w:rPr>
        <w:t xml:space="preserve"> Bioinsecticide</w:t>
      </w:r>
    </w:p>
    <w:p w14:paraId="28E17398" w14:textId="26BD14BC" w:rsidR="00361FFB" w:rsidRPr="00AC045F" w:rsidRDefault="00361FFB" w:rsidP="00361FFB">
      <w:pPr>
        <w:pStyle w:val="Default"/>
        <w:ind w:firstLine="720"/>
        <w:jc w:val="both"/>
        <w:rPr>
          <w:color w:val="auto"/>
          <w:sz w:val="20"/>
          <w:szCs w:val="20"/>
          <w:lang w:val="vi-VN"/>
        </w:rPr>
      </w:pPr>
      <w:r w:rsidRPr="00AC045F">
        <w:rPr>
          <w:sz w:val="20"/>
          <w:szCs w:val="20"/>
        </w:rPr>
        <w:t xml:space="preserve">Research on the development of a bioinsecticide derived from durian fruit extract has also yielded promising results. Findings indicated that the optimal solvent ratio of ethanol to methanol was 2:1, when combined with ultrasonic assistance, resulting in the highest extraction efficiency of 12.8%. Liquid chromatography-tandem mass spectrometry (LC-MS/MS) analyses identified that alkaloid, flavonoid, and fatty acid compounds present in the durian extracts may contribute to larval mortality and can be further exploited as bioinsecticide </w:t>
      </w:r>
      <w:r w:rsidR="009A5318" w:rsidRPr="00AC045F">
        <w:rPr>
          <w:sz w:val="20"/>
          <w:szCs w:val="20"/>
          <w:lang w:val="vi-VN"/>
        </w:rPr>
        <w:t>[37]</w:t>
      </w:r>
      <w:r w:rsidRPr="00AC045F">
        <w:rPr>
          <w:color w:val="auto"/>
          <w:sz w:val="20"/>
          <w:szCs w:val="20"/>
        </w:rPr>
        <w:t>.</w:t>
      </w:r>
    </w:p>
    <w:p w14:paraId="6C1C4823" w14:textId="79048DB5" w:rsidR="00361FFB" w:rsidRPr="00AC045F" w:rsidRDefault="00361FFB" w:rsidP="00361FFB">
      <w:pPr>
        <w:autoSpaceDE w:val="0"/>
        <w:autoSpaceDN w:val="0"/>
        <w:adjustRightInd w:val="0"/>
        <w:spacing w:after="0" w:line="240" w:lineRule="auto"/>
        <w:rPr>
          <w:i/>
          <w:iCs/>
          <w:color w:val="000000"/>
          <w:sz w:val="20"/>
          <w:szCs w:val="20"/>
          <w:lang w:val="vi-VN"/>
        </w:rPr>
      </w:pPr>
      <w:r w:rsidRPr="00AC045F">
        <w:rPr>
          <w:i/>
          <w:iCs/>
          <w:color w:val="000000"/>
          <w:sz w:val="20"/>
          <w:szCs w:val="20"/>
          <w:lang w:val="vi-VN"/>
        </w:rPr>
        <w:tab/>
        <w:t>4</w:t>
      </w:r>
      <w:r w:rsidRPr="00AC045F">
        <w:rPr>
          <w:i/>
          <w:iCs/>
          <w:color w:val="000000"/>
          <w:sz w:val="20"/>
          <w:szCs w:val="20"/>
          <w:lang w:val="en-US"/>
        </w:rPr>
        <w:t>.</w:t>
      </w:r>
      <w:r w:rsidRPr="00AC045F">
        <w:rPr>
          <w:i/>
          <w:iCs/>
          <w:color w:val="000000"/>
          <w:sz w:val="20"/>
          <w:szCs w:val="20"/>
          <w:lang w:val="vi-VN"/>
        </w:rPr>
        <w:t>4.3</w:t>
      </w:r>
      <w:r w:rsidRPr="00AC045F">
        <w:rPr>
          <w:i/>
          <w:iCs/>
          <w:color w:val="000000"/>
          <w:sz w:val="20"/>
          <w:szCs w:val="20"/>
          <w:lang w:val="en-US"/>
        </w:rPr>
        <w:t xml:space="preserve"> Sustainable packaging from cellulose by-products</w:t>
      </w:r>
    </w:p>
    <w:p w14:paraId="14085038" w14:textId="586C1742" w:rsidR="00361FFB" w:rsidRPr="00AC045F" w:rsidRDefault="00361FFB" w:rsidP="00361FFB">
      <w:pPr>
        <w:pStyle w:val="Default"/>
        <w:ind w:firstLine="720"/>
        <w:jc w:val="both"/>
        <w:rPr>
          <w:color w:val="auto"/>
          <w:sz w:val="20"/>
          <w:szCs w:val="20"/>
          <w:lang w:val="vi-VN"/>
        </w:rPr>
      </w:pPr>
      <w:r w:rsidRPr="00AC045F">
        <w:rPr>
          <w:sz w:val="20"/>
          <w:szCs w:val="20"/>
        </w:rPr>
        <w:t xml:space="preserve">Cellulose fibers from the shells can be used as reinforcement material in biodegradable packaging or composites. Furthermore, durian peel can be effectively combined with other organic wastes, such as citrus peels, which are frequently composted to achieve sustainable waste management </w:t>
      </w:r>
      <w:r w:rsidR="009A5318" w:rsidRPr="00AC045F">
        <w:rPr>
          <w:sz w:val="20"/>
          <w:szCs w:val="20"/>
          <w:lang w:val="vi-VN"/>
        </w:rPr>
        <w:t>[6]</w:t>
      </w:r>
      <w:r w:rsidRPr="00AC045F">
        <w:rPr>
          <w:color w:val="auto"/>
          <w:sz w:val="20"/>
          <w:szCs w:val="20"/>
        </w:rPr>
        <w:t>.</w:t>
      </w:r>
    </w:p>
    <w:p w14:paraId="433DCD52" w14:textId="77777777" w:rsidR="00361FFB" w:rsidRPr="00AC045F" w:rsidRDefault="00361FFB" w:rsidP="00FB381A">
      <w:pPr>
        <w:pStyle w:val="Default"/>
        <w:ind w:firstLine="720"/>
        <w:jc w:val="both"/>
        <w:rPr>
          <w:color w:val="auto"/>
          <w:sz w:val="20"/>
          <w:szCs w:val="20"/>
          <w:lang w:val="vi-VN"/>
        </w:rPr>
      </w:pPr>
    </w:p>
    <w:p w14:paraId="44D04CEF" w14:textId="592FC794" w:rsidR="005C71D1" w:rsidRPr="00AC045F" w:rsidRDefault="005C71D1" w:rsidP="005C71D1">
      <w:pPr>
        <w:pStyle w:val="Heading1"/>
      </w:pPr>
      <w:r w:rsidRPr="00AC045F">
        <w:t xml:space="preserve">CASE STUDIES: GLOBAL AND LOCAL INNOVATIVE RESEARCH IN THE </w:t>
      </w:r>
      <w:proofErr w:type="spellStart"/>
      <w:r w:rsidRPr="00AC045F">
        <w:t>UTILISATION</w:t>
      </w:r>
      <w:proofErr w:type="spellEnd"/>
      <w:r w:rsidRPr="00AC045F">
        <w:t xml:space="preserve"> AND RECYCLING OF DURIAN SHELL</w:t>
      </w:r>
    </w:p>
    <w:p w14:paraId="06244CA9" w14:textId="1C72703E" w:rsidR="005C71D1" w:rsidRPr="00AC045F" w:rsidRDefault="005C71D1" w:rsidP="005C71D1">
      <w:pPr>
        <w:spacing w:after="0" w:line="240" w:lineRule="auto"/>
        <w:ind w:firstLine="720"/>
        <w:rPr>
          <w:sz w:val="20"/>
          <w:szCs w:val="20"/>
          <w:lang w:val="en-US"/>
        </w:rPr>
      </w:pPr>
      <w:r w:rsidRPr="00AC045F">
        <w:rPr>
          <w:sz w:val="20"/>
          <w:szCs w:val="20"/>
          <w:lang w:val="en-US"/>
        </w:rPr>
        <w:t xml:space="preserve">Durian shell’s recycling and upcycling in countries like Malaysia, Thailand, China, and Vietnam have gained attention in various durian-producing countries due to their potential for reducing waste and promoting sustainability and demonstrated the potential of turning agricultural waste into valuable products. These studies showcased innovative solutions to the challenges posed by durian shell waste and highlighted the importance of collaboration between researchers, businesses, and governments for scaling up. Vietnam, in particular, stands to benefit from further investments in durian shell recycling technologies, with potential applications in activated carbon, organic compost, and even bioenergy </w:t>
      </w:r>
      <w:r w:rsidR="009A5318" w:rsidRPr="00AC045F">
        <w:rPr>
          <w:sz w:val="20"/>
          <w:szCs w:val="20"/>
          <w:lang w:val="vi-VN"/>
        </w:rPr>
        <w:t>[38]</w:t>
      </w:r>
      <w:r w:rsidRPr="00AC045F">
        <w:rPr>
          <w:sz w:val="20"/>
          <w:szCs w:val="20"/>
          <w:lang w:val="en-US"/>
        </w:rPr>
        <w:t xml:space="preserve">. Scaling up these initiatives could contribute to the country's sustainable development goals while providing new economic opportunities for farmers and businesses alike. </w:t>
      </w:r>
    </w:p>
    <w:p w14:paraId="754DCD77" w14:textId="77777777" w:rsidR="005C71D1" w:rsidRPr="00AC045F" w:rsidRDefault="005C71D1" w:rsidP="00FB381A">
      <w:pPr>
        <w:pStyle w:val="Default"/>
        <w:ind w:firstLine="720"/>
        <w:jc w:val="both"/>
        <w:rPr>
          <w:color w:val="auto"/>
          <w:sz w:val="20"/>
          <w:szCs w:val="20"/>
          <w:lang w:val="vi-VN"/>
        </w:rPr>
      </w:pPr>
    </w:p>
    <w:p w14:paraId="4B581DE8" w14:textId="2A71A59A" w:rsidR="003D5D76" w:rsidRPr="00AC045F" w:rsidRDefault="003D5D76" w:rsidP="003D5D76">
      <w:pPr>
        <w:pStyle w:val="Default"/>
        <w:jc w:val="both"/>
        <w:rPr>
          <w:b/>
          <w:bCs/>
          <w:i/>
          <w:iCs/>
          <w:sz w:val="20"/>
          <w:szCs w:val="20"/>
          <w:lang w:val="vi-VN"/>
        </w:rPr>
      </w:pPr>
      <w:r w:rsidRPr="00AC045F">
        <w:rPr>
          <w:b/>
          <w:bCs/>
          <w:i/>
          <w:iCs/>
          <w:sz w:val="20"/>
          <w:szCs w:val="20"/>
          <w:lang w:val="vi-VN"/>
        </w:rPr>
        <w:t>5</w:t>
      </w:r>
      <w:r w:rsidRPr="00AC045F">
        <w:rPr>
          <w:b/>
          <w:bCs/>
          <w:i/>
          <w:iCs/>
          <w:sz w:val="20"/>
          <w:szCs w:val="20"/>
        </w:rPr>
        <w:t>.</w:t>
      </w:r>
      <w:r w:rsidRPr="00AC045F">
        <w:rPr>
          <w:b/>
          <w:bCs/>
          <w:i/>
          <w:iCs/>
          <w:sz w:val="20"/>
          <w:szCs w:val="20"/>
          <w:lang w:val="vi-VN"/>
        </w:rPr>
        <w:t>1</w:t>
      </w:r>
      <w:r w:rsidRPr="00AC045F">
        <w:rPr>
          <w:b/>
          <w:bCs/>
          <w:i/>
          <w:iCs/>
          <w:sz w:val="20"/>
          <w:szCs w:val="20"/>
        </w:rPr>
        <w:t xml:space="preserve"> Malaysia: Production of biodegradable plastics and packaging </w:t>
      </w:r>
      <w:r w:rsidR="009A5318" w:rsidRPr="00AC045F">
        <w:rPr>
          <w:b/>
          <w:bCs/>
          <w:i/>
          <w:iCs/>
          <w:sz w:val="20"/>
          <w:szCs w:val="20"/>
          <w:lang w:val="vi-VN"/>
        </w:rPr>
        <w:t>[6]</w:t>
      </w:r>
    </w:p>
    <w:p w14:paraId="0E801AFC" w14:textId="4CAE7AC5" w:rsidR="003D5D76" w:rsidRPr="00AC045F" w:rsidRDefault="003D5D76" w:rsidP="003D5D76">
      <w:pPr>
        <w:spacing w:after="0" w:line="240" w:lineRule="auto"/>
        <w:ind w:firstLine="720"/>
        <w:rPr>
          <w:sz w:val="20"/>
          <w:szCs w:val="20"/>
          <w:lang w:val="en-US"/>
        </w:rPr>
      </w:pPr>
      <w:r w:rsidRPr="00AC045F">
        <w:rPr>
          <w:sz w:val="20"/>
          <w:szCs w:val="20"/>
          <w:lang w:val="en-US"/>
        </w:rPr>
        <w:t xml:space="preserve">Malaysia, one of the world’s largest durian producers, has been at the forefront of recycling durian shells into biodegradable plastics. As a consequence, the development of bioplastics using cellulose extracted from durian shells from researchers of Taylor’s University (Selangor, Malaysia) was announced with positive results. Through an innovative process, recycling durian shells were chemically treated for the obtaining of cellulose, and the further developed into thin bioplastic films.  These films can be used as biodegradable packaging, offering a sustainable alternative to traditional single-use plastics. The biodegradable packaging maintains the strength and flexibility of conventional plastics while decomposing much faster in the environment. This research marked a significant achievement in the reduction of our reliance on petroleum-based plastics through its direct tackling of issues from both plastic pollution and agricultural waste in durian consumption. This initiative has attracted interest from the packaging and Fast-Moving Consumer Goods (FMCG) industries, driving the broader adoption of biodegradable materials. Key lessons from this project highlight the importance of collaboration between academic institutions and businesses to foster innovation. </w:t>
      </w:r>
      <w:r w:rsidRPr="00AC045F">
        <w:rPr>
          <w:sz w:val="20"/>
          <w:szCs w:val="20"/>
          <w:lang w:val="en-US"/>
        </w:rPr>
        <w:lastRenderedPageBreak/>
        <w:t xml:space="preserve">However, for bioplastics from durian shells to be commercially viable on a large scale, further efforts in scaling up production and optimizing costs are necessary). </w:t>
      </w:r>
    </w:p>
    <w:p w14:paraId="400CEFCB" w14:textId="77777777" w:rsidR="003D5D76" w:rsidRPr="00AC045F" w:rsidRDefault="003D5D76" w:rsidP="00FB381A">
      <w:pPr>
        <w:pStyle w:val="Default"/>
        <w:ind w:firstLine="720"/>
        <w:jc w:val="both"/>
        <w:rPr>
          <w:color w:val="auto"/>
          <w:sz w:val="20"/>
          <w:szCs w:val="20"/>
          <w:lang w:val="vi-VN"/>
        </w:rPr>
      </w:pPr>
    </w:p>
    <w:p w14:paraId="5B99B01D" w14:textId="621047D4" w:rsidR="003D5D76" w:rsidRPr="00AC045F" w:rsidRDefault="003D5D76" w:rsidP="003D5D76">
      <w:pPr>
        <w:pStyle w:val="Default"/>
        <w:jc w:val="both"/>
        <w:rPr>
          <w:b/>
          <w:bCs/>
          <w:i/>
          <w:iCs/>
          <w:sz w:val="20"/>
          <w:szCs w:val="20"/>
          <w:lang w:val="vi-VN"/>
        </w:rPr>
      </w:pPr>
      <w:r w:rsidRPr="00AC045F">
        <w:rPr>
          <w:b/>
          <w:bCs/>
          <w:i/>
          <w:iCs/>
          <w:sz w:val="20"/>
          <w:szCs w:val="20"/>
          <w:lang w:val="vi-VN"/>
        </w:rPr>
        <w:t>5</w:t>
      </w:r>
      <w:r w:rsidRPr="00AC045F">
        <w:rPr>
          <w:b/>
          <w:bCs/>
          <w:i/>
          <w:iCs/>
          <w:sz w:val="20"/>
          <w:szCs w:val="20"/>
        </w:rPr>
        <w:t>.</w:t>
      </w:r>
      <w:r w:rsidRPr="00AC045F">
        <w:rPr>
          <w:b/>
          <w:bCs/>
          <w:i/>
          <w:iCs/>
          <w:sz w:val="20"/>
          <w:szCs w:val="20"/>
          <w:lang w:val="vi-VN"/>
        </w:rPr>
        <w:t>2</w:t>
      </w:r>
      <w:r w:rsidRPr="00AC045F">
        <w:rPr>
          <w:b/>
          <w:bCs/>
          <w:i/>
          <w:iCs/>
          <w:sz w:val="20"/>
          <w:szCs w:val="20"/>
        </w:rPr>
        <w:t xml:space="preserve"> Thailand: Production of biochar </w:t>
      </w:r>
      <w:r w:rsidR="003045D6" w:rsidRPr="00AC045F">
        <w:rPr>
          <w:b/>
          <w:bCs/>
          <w:i/>
          <w:iCs/>
          <w:sz w:val="20"/>
          <w:szCs w:val="20"/>
          <w:lang w:val="vi-VN"/>
        </w:rPr>
        <w:t>[23]</w:t>
      </w:r>
    </w:p>
    <w:p w14:paraId="32063867" w14:textId="69527E1D" w:rsidR="003D5D76" w:rsidRPr="00AC045F" w:rsidRDefault="003D5D76" w:rsidP="003D5D76">
      <w:pPr>
        <w:spacing w:after="0" w:line="240" w:lineRule="auto"/>
        <w:ind w:firstLine="720"/>
        <w:rPr>
          <w:sz w:val="20"/>
          <w:szCs w:val="20"/>
          <w:lang w:val="en-US"/>
        </w:rPr>
      </w:pPr>
      <w:r w:rsidRPr="00AC045F">
        <w:rPr>
          <w:sz w:val="20"/>
          <w:szCs w:val="20"/>
          <w:lang w:val="en-US"/>
        </w:rPr>
        <w:t xml:space="preserve">Thailand, another major durian producer, has implemented several projects aimed at converting durian shells into biochar, a carbon-rich material used to improve soil health, store carbon, and generate energy. In a joint project between scientists from </w:t>
      </w:r>
      <w:proofErr w:type="spellStart"/>
      <w:r w:rsidRPr="00AC045F">
        <w:rPr>
          <w:sz w:val="20"/>
          <w:szCs w:val="20"/>
          <w:lang w:val="en-US"/>
        </w:rPr>
        <w:t>Phranakhon</w:t>
      </w:r>
      <w:proofErr w:type="spellEnd"/>
      <w:r w:rsidRPr="00AC045F">
        <w:rPr>
          <w:sz w:val="20"/>
          <w:szCs w:val="20"/>
          <w:lang w:val="en-US"/>
        </w:rPr>
        <w:t xml:space="preserve"> Rajabhat University (Bangkok, Thailand) and </w:t>
      </w:r>
      <w:proofErr w:type="spellStart"/>
      <w:r w:rsidRPr="00AC045F">
        <w:rPr>
          <w:sz w:val="20"/>
          <w:szCs w:val="20"/>
          <w:lang w:val="en-US"/>
        </w:rPr>
        <w:t>Rajamangala</w:t>
      </w:r>
      <w:proofErr w:type="spellEnd"/>
      <w:r w:rsidRPr="00AC045F">
        <w:rPr>
          <w:sz w:val="20"/>
          <w:szCs w:val="20"/>
          <w:lang w:val="en-US"/>
        </w:rPr>
        <w:t xml:space="preserve"> University of Technology (Pathum Thani, Thailand), durian shells were subjected to pyrolysis, a process in which biomass is heated in the absence of oxygen. This method produced biochar, a carbon-rich material used as a soil conditioner that enhances soil fertility and water retention. The excess heat generated during pyrolysis is also harnessed to produce energy. The adoption of biochar by Thai farmers has improved soil quality, reduced the need for chemical fertilizers, and increased crop yields. Additionally, the carbon sequestration properties of biochar help mitigate climate change by locking carbon in the soil for long periods. Biochar production has created new revenue streams for agricultural waste management businesses, turning waste into valuable products. This project demonstrates the potential of a circular economy model, benefiting both farmers and carbon management efforts. However, scaling up biochar production could be made more feasible through government support in the form of subsidies or incentives, particularly for small-scale farmers. </w:t>
      </w:r>
    </w:p>
    <w:p w14:paraId="3C4FC732" w14:textId="77777777" w:rsidR="003D5D76" w:rsidRPr="00AC045F" w:rsidRDefault="003D5D76" w:rsidP="00FB381A">
      <w:pPr>
        <w:pStyle w:val="Default"/>
        <w:ind w:firstLine="720"/>
        <w:jc w:val="both"/>
        <w:rPr>
          <w:color w:val="auto"/>
          <w:sz w:val="20"/>
          <w:szCs w:val="20"/>
          <w:lang w:val="vi-VN"/>
        </w:rPr>
      </w:pPr>
    </w:p>
    <w:p w14:paraId="60218C23" w14:textId="03BE357C" w:rsidR="003D5D76" w:rsidRPr="00AC045F" w:rsidRDefault="003D5D76" w:rsidP="003D5D76">
      <w:pPr>
        <w:pStyle w:val="Default"/>
        <w:jc w:val="both"/>
        <w:rPr>
          <w:b/>
          <w:bCs/>
          <w:i/>
          <w:iCs/>
          <w:sz w:val="20"/>
          <w:szCs w:val="20"/>
          <w:lang w:val="vi-VN"/>
        </w:rPr>
      </w:pPr>
      <w:r w:rsidRPr="00AC045F">
        <w:rPr>
          <w:b/>
          <w:bCs/>
          <w:i/>
          <w:iCs/>
          <w:sz w:val="20"/>
          <w:szCs w:val="20"/>
          <w:lang w:val="vi-VN"/>
        </w:rPr>
        <w:t>5</w:t>
      </w:r>
      <w:r w:rsidRPr="00AC045F">
        <w:rPr>
          <w:b/>
          <w:bCs/>
          <w:i/>
          <w:iCs/>
          <w:sz w:val="20"/>
          <w:szCs w:val="20"/>
        </w:rPr>
        <w:t>.</w:t>
      </w:r>
      <w:r w:rsidRPr="00AC045F">
        <w:rPr>
          <w:b/>
          <w:bCs/>
          <w:i/>
          <w:iCs/>
          <w:sz w:val="20"/>
          <w:szCs w:val="20"/>
          <w:lang w:val="vi-VN"/>
        </w:rPr>
        <w:t>3</w:t>
      </w:r>
      <w:r w:rsidRPr="00AC045F">
        <w:rPr>
          <w:b/>
          <w:bCs/>
          <w:i/>
          <w:iCs/>
          <w:sz w:val="20"/>
          <w:szCs w:val="20"/>
        </w:rPr>
        <w:t xml:space="preserve"> China: Production of biogas </w:t>
      </w:r>
      <w:r w:rsidR="003045D6" w:rsidRPr="00AC045F">
        <w:rPr>
          <w:b/>
          <w:bCs/>
          <w:i/>
          <w:iCs/>
          <w:sz w:val="20"/>
          <w:szCs w:val="20"/>
          <w:lang w:val="vi-VN"/>
        </w:rPr>
        <w:t>[39]</w:t>
      </w:r>
    </w:p>
    <w:p w14:paraId="0209F814" w14:textId="010C6D2D" w:rsidR="003D5D76" w:rsidRPr="00AC045F" w:rsidRDefault="003D5D76" w:rsidP="003D5D76">
      <w:pPr>
        <w:spacing w:after="0" w:line="240" w:lineRule="auto"/>
        <w:ind w:firstLine="720"/>
        <w:rPr>
          <w:sz w:val="20"/>
          <w:szCs w:val="20"/>
          <w:lang w:val="en-US"/>
        </w:rPr>
      </w:pPr>
      <w:r w:rsidRPr="00AC045F">
        <w:rPr>
          <w:sz w:val="20"/>
          <w:szCs w:val="20"/>
          <w:lang w:val="en-US"/>
        </w:rPr>
        <w:t xml:space="preserve">In China, where durian consumption has been growing rapidly, researchers from Beijing University of Chemical Technology (Beijing) reported positive outcomes in biogas production from anaerobic co-digestion of durian shell in order to reduce the environmental footprint of durian waste. Durian shells, along with other organic waste, were placed in anaerobic digesters where microorganisms broke down shells to methane-rich biogas. This biogas was captured and used as a renewable energy source for cooking and electricity generation in local communities, while the residual waste from the process was converted into organic compost. Therefore, this project provides an approach to significantly reduce landfill waste and supplies a renewable energy source to rural areas. In addition, it offers an alternative income stream for local farmers and communities, as the organic compost can be sold to agricultural sectors. The use of biogas has contributed to improved energy access in areas with limited or unreliable electricity grids. Key lessons from the project highlight that biogas production from durian shells is a practical, community-level solution for both waste management and energy generation, though awareness programs are needed to encourage wider adoption by farmers and communities. </w:t>
      </w:r>
    </w:p>
    <w:p w14:paraId="4115105D" w14:textId="77777777" w:rsidR="003D5D76" w:rsidRPr="00AC045F" w:rsidRDefault="003D5D76" w:rsidP="00FB381A">
      <w:pPr>
        <w:pStyle w:val="Default"/>
        <w:ind w:firstLine="720"/>
        <w:jc w:val="both"/>
        <w:rPr>
          <w:color w:val="auto"/>
          <w:sz w:val="20"/>
          <w:szCs w:val="20"/>
          <w:lang w:val="vi-VN"/>
        </w:rPr>
      </w:pPr>
    </w:p>
    <w:p w14:paraId="33D9B13F" w14:textId="275C9FFA" w:rsidR="003D5D76" w:rsidRPr="00AC045F" w:rsidRDefault="003D5D76" w:rsidP="003D5D76">
      <w:pPr>
        <w:pStyle w:val="Default"/>
        <w:jc w:val="both"/>
        <w:rPr>
          <w:b/>
          <w:bCs/>
          <w:i/>
          <w:iCs/>
          <w:sz w:val="20"/>
          <w:szCs w:val="20"/>
          <w:lang w:val="vi-VN"/>
        </w:rPr>
      </w:pPr>
      <w:r w:rsidRPr="00AC045F">
        <w:rPr>
          <w:b/>
          <w:bCs/>
          <w:i/>
          <w:iCs/>
          <w:sz w:val="20"/>
          <w:szCs w:val="20"/>
          <w:lang w:val="vi-VN"/>
        </w:rPr>
        <w:t>5</w:t>
      </w:r>
      <w:r w:rsidRPr="00AC045F">
        <w:rPr>
          <w:b/>
          <w:bCs/>
          <w:i/>
          <w:iCs/>
          <w:sz w:val="20"/>
          <w:szCs w:val="20"/>
        </w:rPr>
        <w:t>.</w:t>
      </w:r>
      <w:r w:rsidRPr="00AC045F">
        <w:rPr>
          <w:b/>
          <w:bCs/>
          <w:i/>
          <w:iCs/>
          <w:sz w:val="20"/>
          <w:szCs w:val="20"/>
          <w:lang w:val="vi-VN"/>
        </w:rPr>
        <w:t>4</w:t>
      </w:r>
      <w:r w:rsidRPr="00AC045F">
        <w:rPr>
          <w:b/>
          <w:bCs/>
          <w:i/>
          <w:iCs/>
          <w:sz w:val="20"/>
          <w:szCs w:val="20"/>
        </w:rPr>
        <w:t xml:space="preserve"> Vietnam: Compost production for organic agriculture </w:t>
      </w:r>
      <w:r w:rsidR="003045D6" w:rsidRPr="00AC045F">
        <w:rPr>
          <w:b/>
          <w:bCs/>
          <w:i/>
          <w:iCs/>
          <w:sz w:val="20"/>
          <w:szCs w:val="20"/>
          <w:lang w:val="vi-VN"/>
        </w:rPr>
        <w:t>[3]</w:t>
      </w:r>
    </w:p>
    <w:p w14:paraId="38951344" w14:textId="24874BB4" w:rsidR="00FB381A" w:rsidRPr="00AC045F" w:rsidRDefault="00030F71" w:rsidP="003778E0">
      <w:pPr>
        <w:spacing w:after="0" w:line="240" w:lineRule="auto"/>
        <w:ind w:firstLine="720"/>
        <w:rPr>
          <w:sz w:val="20"/>
          <w:szCs w:val="20"/>
          <w:lang w:val="en-US"/>
        </w:rPr>
      </w:pPr>
      <w:r w:rsidRPr="00AC045F">
        <w:rPr>
          <w:sz w:val="20"/>
          <w:szCs w:val="20"/>
          <w:lang w:val="en-US"/>
        </w:rPr>
        <w:t>In Vietnam, scientists from the Vietnam National University of Forestry conducted the evaluation of organic fertilizers produced from durian’s shells in Trang Bom District, Dong Nai Province to support the country’s growing green agriculture sector. This initiative has contributed to sustainable farming practices by reducing chemical fertilizer use and promoting the use of natural alternatives in agriculture. The project composted durian shells along with other organic waste materials, such as food scraps and agricultural residues, to produce nutrient-rich organic fertilizers. The composting process was carefully managed under controlled conditions to efficiently break down the fibrous materials in the durian shells. The resulting compost can be sold to local farmers or used in organic farming cooperatives. This initiative has significantly contributed to reducing the use of chemical fertilizers, aligning with Vietnam’s goals of promoting sustainable agricultural practices. Farmers using the organic compost have reported improved soil fertility, better crop yields, and lower farming costs. Additionally, the project has reduced the volume of durian waste going to landfills, helping to create cleaner urban and rural environments. Overall, composting durian shells offers a scalable solution for managing agricultural waste and supporting sustainable farming. Expanding the market for organic compost could further incentivize farmers to participate in similar composting initiatives</w:t>
      </w:r>
      <w:r w:rsidR="003D5D76" w:rsidRPr="00AC045F">
        <w:rPr>
          <w:sz w:val="20"/>
          <w:szCs w:val="20"/>
          <w:lang w:val="en-US"/>
        </w:rPr>
        <w:t xml:space="preserve">. </w:t>
      </w:r>
    </w:p>
    <w:p w14:paraId="17F25716" w14:textId="77777777" w:rsidR="00703D23" w:rsidRPr="00AC045F" w:rsidRDefault="00703D23" w:rsidP="00A730AA">
      <w:pPr>
        <w:pStyle w:val="Default"/>
        <w:jc w:val="both"/>
        <w:rPr>
          <w:sz w:val="20"/>
          <w:szCs w:val="20"/>
        </w:rPr>
      </w:pPr>
      <w:bookmarkStart w:id="0" w:name="_Toc362244865"/>
      <w:bookmarkStart w:id="1" w:name="_Toc362245029"/>
      <w:bookmarkStart w:id="2" w:name="_Toc362245040"/>
    </w:p>
    <w:p w14:paraId="470397B2" w14:textId="5AF2F1F4" w:rsidR="006C01C7" w:rsidRPr="00AC045F" w:rsidRDefault="006C3A0A" w:rsidP="006C3A0A">
      <w:pPr>
        <w:pStyle w:val="Heading1"/>
      </w:pPr>
      <w:r w:rsidRPr="00AC045F">
        <w:t>CONCLUSIONS AND RECOMMENDATIONS</w:t>
      </w:r>
    </w:p>
    <w:p w14:paraId="6FDF640C" w14:textId="15FB6328" w:rsidR="00AC58BD" w:rsidRPr="00AC045F" w:rsidRDefault="005B78B8" w:rsidP="00CA3E48">
      <w:pPr>
        <w:pStyle w:val="Default"/>
        <w:ind w:firstLine="720"/>
        <w:jc w:val="both"/>
        <w:rPr>
          <w:sz w:val="20"/>
          <w:szCs w:val="20"/>
          <w:lang w:val="vi-VN"/>
        </w:rPr>
      </w:pPr>
      <w:r w:rsidRPr="00AC045F">
        <w:rPr>
          <w:sz w:val="20"/>
          <w:szCs w:val="20"/>
        </w:rPr>
        <w:t xml:space="preserve">In conclusion, the </w:t>
      </w:r>
      <w:proofErr w:type="spellStart"/>
      <w:r w:rsidRPr="00AC045F">
        <w:rPr>
          <w:sz w:val="20"/>
          <w:szCs w:val="20"/>
        </w:rPr>
        <w:t>utilisation</w:t>
      </w:r>
      <w:proofErr w:type="spellEnd"/>
      <w:r w:rsidRPr="00AC045F">
        <w:rPr>
          <w:sz w:val="20"/>
          <w:szCs w:val="20"/>
        </w:rPr>
        <w:t xml:space="preserve"> and recycling of shell waste is an inevitable future trend that help ensure the sustainability in growing for not only the durian industry but also the society. Therefore, innovative approaches for managing durian shells and turning them into a variety of value-added products are crucial for reducing environmental impact and fostering a circular economy in Vietnam. Despite existing limitations and constraints, both internal and external, the future outlook for durian shell </w:t>
      </w:r>
      <w:proofErr w:type="spellStart"/>
      <w:r w:rsidRPr="00AC045F">
        <w:rPr>
          <w:sz w:val="20"/>
          <w:szCs w:val="20"/>
        </w:rPr>
        <w:t>utilisation</w:t>
      </w:r>
      <w:proofErr w:type="spellEnd"/>
      <w:r w:rsidRPr="00AC045F">
        <w:rPr>
          <w:sz w:val="20"/>
          <w:szCs w:val="20"/>
        </w:rPr>
        <w:t xml:space="preserve"> and recycling in Vietnam is extremely promising, especially in fields such as sustainable agriculture, nutraceuticals, pharmaceuticals, renewable energy, etc. Recommendations for further improvements include: </w:t>
      </w:r>
      <w:proofErr w:type="spellStart"/>
      <w:r w:rsidRPr="00AC045F">
        <w:rPr>
          <w:sz w:val="20"/>
          <w:szCs w:val="20"/>
        </w:rPr>
        <w:t>i</w:t>
      </w:r>
      <w:proofErr w:type="spellEnd"/>
      <w:r w:rsidRPr="00AC045F">
        <w:rPr>
          <w:sz w:val="20"/>
          <w:szCs w:val="20"/>
        </w:rPr>
        <w:t xml:space="preserve">) the optimization of technologies for durian shell’s extraction and transformation, ii) the development of innovative value-added products and of targeted incentives for businesses engagement, such as tax breaks or subsidies, to encourage investment and innovation; iii) the establishment of partnerships between government, industry stakeholders, and research </w:t>
      </w:r>
      <w:r w:rsidRPr="00AC045F">
        <w:rPr>
          <w:sz w:val="20"/>
          <w:szCs w:val="20"/>
        </w:rPr>
        <w:lastRenderedPageBreak/>
        <w:t>institutions to facilitate the exploration of new technologies and methods for processing of durian shells; together with iv) the assessment of economic viability and affordability</w:t>
      </w:r>
      <w:r w:rsidRPr="00AC045F">
        <w:rPr>
          <w:sz w:val="20"/>
          <w:szCs w:val="20"/>
          <w:lang w:val="vi-VN"/>
        </w:rPr>
        <w:t>.</w:t>
      </w:r>
    </w:p>
    <w:p w14:paraId="00BEE0B1" w14:textId="77777777" w:rsidR="005B78B8" w:rsidRPr="00AC045F" w:rsidRDefault="005B78B8" w:rsidP="00CA3E48">
      <w:pPr>
        <w:pStyle w:val="Default"/>
        <w:ind w:firstLine="720"/>
        <w:jc w:val="both"/>
        <w:rPr>
          <w:sz w:val="20"/>
          <w:szCs w:val="20"/>
          <w:lang w:val="vi-VN"/>
        </w:rPr>
      </w:pPr>
    </w:p>
    <w:p w14:paraId="696C8FB2" w14:textId="04B59AE6" w:rsidR="005B78B8" w:rsidRPr="00AC045F" w:rsidRDefault="005B78B8" w:rsidP="005B78B8">
      <w:pPr>
        <w:pStyle w:val="Default"/>
        <w:jc w:val="center"/>
        <w:rPr>
          <w:b/>
          <w:bCs/>
          <w:sz w:val="20"/>
          <w:szCs w:val="20"/>
        </w:rPr>
      </w:pPr>
      <w:r w:rsidRPr="00AC045F">
        <w:rPr>
          <w:b/>
          <w:bCs/>
          <w:sz w:val="20"/>
          <w:szCs w:val="20"/>
        </w:rPr>
        <w:t>COMPETING INTERESTS</w:t>
      </w:r>
    </w:p>
    <w:p w14:paraId="6BE28A5B" w14:textId="2634A20F" w:rsidR="005B78B8" w:rsidRPr="00AC045F" w:rsidRDefault="005B78B8" w:rsidP="005B78B8">
      <w:pPr>
        <w:pStyle w:val="Default"/>
        <w:ind w:firstLine="720"/>
        <w:jc w:val="both"/>
        <w:rPr>
          <w:sz w:val="16"/>
          <w:szCs w:val="16"/>
        </w:rPr>
      </w:pPr>
      <w:r w:rsidRPr="00AC045F">
        <w:rPr>
          <w:sz w:val="16"/>
          <w:szCs w:val="16"/>
        </w:rPr>
        <w:t>The authors declare no conflicts of interest</w:t>
      </w:r>
      <w:r w:rsidRPr="00AC045F">
        <w:rPr>
          <w:sz w:val="16"/>
          <w:szCs w:val="16"/>
          <w:lang w:val="vi-VN"/>
        </w:rPr>
        <w:t>.</w:t>
      </w:r>
    </w:p>
    <w:p w14:paraId="691BDBA0" w14:textId="77777777" w:rsidR="005B78B8" w:rsidRPr="00AC045F" w:rsidRDefault="005B78B8" w:rsidP="00CA3E48">
      <w:pPr>
        <w:pStyle w:val="Default"/>
        <w:ind w:firstLine="720"/>
        <w:jc w:val="both"/>
        <w:rPr>
          <w:sz w:val="20"/>
          <w:szCs w:val="20"/>
        </w:rPr>
      </w:pPr>
    </w:p>
    <w:p w14:paraId="43985799" w14:textId="07B183BE" w:rsidR="005B78B8" w:rsidRPr="00AC045F" w:rsidRDefault="005B78B8" w:rsidP="005B78B8">
      <w:pPr>
        <w:pStyle w:val="Default"/>
        <w:jc w:val="center"/>
        <w:rPr>
          <w:b/>
          <w:bCs/>
          <w:sz w:val="20"/>
          <w:szCs w:val="20"/>
        </w:rPr>
      </w:pPr>
      <w:r w:rsidRPr="00AC045F">
        <w:rPr>
          <w:b/>
          <w:bCs/>
          <w:sz w:val="20"/>
          <w:szCs w:val="20"/>
        </w:rPr>
        <w:t>AUTHOR CONTRIBUTIONS</w:t>
      </w:r>
    </w:p>
    <w:p w14:paraId="46656079" w14:textId="57CCC780" w:rsidR="005B78B8" w:rsidRPr="00AC045F" w:rsidRDefault="005B78B8" w:rsidP="005B78B8">
      <w:pPr>
        <w:pStyle w:val="Default"/>
        <w:ind w:firstLine="720"/>
        <w:jc w:val="both"/>
        <w:rPr>
          <w:sz w:val="16"/>
          <w:szCs w:val="16"/>
        </w:rPr>
      </w:pPr>
      <w:r w:rsidRPr="00AC045F">
        <w:rPr>
          <w:sz w:val="16"/>
          <w:szCs w:val="16"/>
        </w:rPr>
        <w:t>Phu H. Le conceived the idea, provided support, and critically revised the manuscript. An D.X. Nguyen and Phuc N.T. Le structured the contents and wrote the manuscript. Anh N. Nguyen, Uyen P. Le, and Nghi B.P. Nguyen contributed to the finding of materials and proofreading. All authors read and approved the final manuscript</w:t>
      </w:r>
      <w:r w:rsidRPr="00AC045F">
        <w:rPr>
          <w:sz w:val="16"/>
          <w:szCs w:val="16"/>
          <w:lang w:val="vi-VN"/>
        </w:rPr>
        <w:t>.</w:t>
      </w:r>
    </w:p>
    <w:p w14:paraId="665AAF4E" w14:textId="77777777" w:rsidR="00CA3E48" w:rsidRPr="00AC045F" w:rsidRDefault="00CA3E48" w:rsidP="00A730AA">
      <w:pPr>
        <w:pStyle w:val="Default"/>
        <w:jc w:val="both"/>
        <w:rPr>
          <w:b/>
          <w:bCs/>
          <w:sz w:val="20"/>
          <w:szCs w:val="20"/>
        </w:rPr>
      </w:pPr>
    </w:p>
    <w:p w14:paraId="0AEFDFB9" w14:textId="4B5957B0" w:rsidR="005B78B8" w:rsidRPr="00AC045F" w:rsidRDefault="005B78B8" w:rsidP="005B78B8">
      <w:pPr>
        <w:pStyle w:val="Default"/>
        <w:jc w:val="center"/>
        <w:rPr>
          <w:b/>
          <w:bCs/>
          <w:sz w:val="20"/>
          <w:szCs w:val="20"/>
        </w:rPr>
      </w:pPr>
      <w:r w:rsidRPr="00AC045F">
        <w:rPr>
          <w:b/>
          <w:bCs/>
          <w:sz w:val="20"/>
          <w:szCs w:val="20"/>
        </w:rPr>
        <w:t>ACKNOWLEDGEMENT</w:t>
      </w:r>
    </w:p>
    <w:p w14:paraId="2F666B0A" w14:textId="6D86F591" w:rsidR="005B78B8" w:rsidRPr="00AC045F" w:rsidRDefault="005B78B8" w:rsidP="005B78B8">
      <w:pPr>
        <w:pStyle w:val="Default"/>
        <w:ind w:firstLine="720"/>
        <w:jc w:val="both"/>
        <w:rPr>
          <w:sz w:val="16"/>
          <w:szCs w:val="16"/>
        </w:rPr>
      </w:pPr>
      <w:r w:rsidRPr="00AC045F">
        <w:rPr>
          <w:sz w:val="16"/>
          <w:szCs w:val="16"/>
        </w:rPr>
        <w:t>No external funding was received. The authors would like to express sincere gratitude to the School of Biotechnology, International University – Vietnam National University of HCMC for administrative support</w:t>
      </w:r>
      <w:r w:rsidRPr="00AC045F">
        <w:rPr>
          <w:sz w:val="16"/>
          <w:szCs w:val="16"/>
          <w:lang w:val="vi-VN"/>
        </w:rPr>
        <w:t>.</w:t>
      </w:r>
    </w:p>
    <w:p w14:paraId="7FA22845" w14:textId="77777777" w:rsidR="005B78B8" w:rsidRPr="00AC045F" w:rsidRDefault="005B78B8" w:rsidP="00A730AA">
      <w:pPr>
        <w:pStyle w:val="Default"/>
        <w:jc w:val="both"/>
        <w:rPr>
          <w:b/>
          <w:bCs/>
          <w:sz w:val="20"/>
          <w:szCs w:val="20"/>
        </w:rPr>
      </w:pPr>
    </w:p>
    <w:p w14:paraId="40043CA5" w14:textId="71FCD655" w:rsidR="00886844" w:rsidRPr="00AC045F" w:rsidRDefault="00CA3E48" w:rsidP="00CA3E48">
      <w:pPr>
        <w:pStyle w:val="Default"/>
        <w:jc w:val="center"/>
        <w:rPr>
          <w:b/>
          <w:bCs/>
          <w:sz w:val="20"/>
          <w:szCs w:val="20"/>
        </w:rPr>
      </w:pPr>
      <w:r w:rsidRPr="00AC045F">
        <w:rPr>
          <w:b/>
          <w:bCs/>
          <w:sz w:val="20"/>
          <w:szCs w:val="20"/>
        </w:rPr>
        <w:t>REFERENCES</w:t>
      </w:r>
    </w:p>
    <w:bookmarkEnd w:id="0"/>
    <w:bookmarkEnd w:id="1"/>
    <w:bookmarkEnd w:id="2"/>
    <w:p w14:paraId="54197AE9" w14:textId="77777777" w:rsidR="003045D6" w:rsidRPr="00AC045F" w:rsidRDefault="003045D6" w:rsidP="003045D6">
      <w:pPr>
        <w:pStyle w:val="EndNoteBibliography"/>
        <w:numPr>
          <w:ilvl w:val="0"/>
          <w:numId w:val="18"/>
        </w:numPr>
        <w:ind w:left="567" w:hanging="567"/>
        <w:rPr>
          <w:rFonts w:ascii="Times New Roman" w:hAnsi="Times New Roman" w:cs="Times New Roman"/>
          <w:noProof/>
          <w:sz w:val="16"/>
          <w:szCs w:val="16"/>
        </w:rPr>
      </w:pPr>
      <w:r w:rsidRPr="00AC045F">
        <w:rPr>
          <w:rFonts w:ascii="Times New Roman" w:hAnsi="Times New Roman" w:cs="Times New Roman"/>
          <w:noProof/>
          <w:sz w:val="16"/>
          <w:szCs w:val="16"/>
        </w:rPr>
        <w:t>L</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 T. N. H., Nguy</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n, H. H., Ph</w:t>
      </w:r>
      <w:r w:rsidRPr="00AC045F">
        <w:rPr>
          <w:rFonts w:ascii="Times New Roman" w:hAnsi="Times New Roman" w:cs="Times New Roman"/>
          <w:noProof/>
          <w:sz w:val="16"/>
          <w:szCs w:val="16"/>
          <w:lang w:val="vi-VN"/>
        </w:rPr>
        <w:t>u</w:t>
      </w:r>
      <w:r w:rsidRPr="00AC045F">
        <w:rPr>
          <w:rFonts w:ascii="Times New Roman" w:hAnsi="Times New Roman" w:cs="Times New Roman"/>
          <w:noProof/>
          <w:sz w:val="16"/>
          <w:szCs w:val="16"/>
        </w:rPr>
        <w:t>ng, T. H. N., Nguy</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n, N. H., Nguy</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 xml:space="preserve">n, T. T. L., &amp; </w:t>
      </w:r>
      <w:r w:rsidRPr="00AC045F">
        <w:rPr>
          <w:rFonts w:ascii="Times New Roman" w:hAnsi="Times New Roman" w:cs="Times New Roman"/>
          <w:noProof/>
          <w:sz w:val="16"/>
          <w:szCs w:val="16"/>
          <w:lang w:val="vi-VN"/>
        </w:rPr>
        <w:t>D</w:t>
      </w:r>
      <w:r w:rsidRPr="00AC045F">
        <w:rPr>
          <w:rFonts w:ascii="Times New Roman" w:hAnsi="Times New Roman" w:cs="Times New Roman"/>
          <w:noProof/>
          <w:sz w:val="16"/>
          <w:szCs w:val="16"/>
        </w:rPr>
        <w:t>o</w:t>
      </w:r>
      <w:r w:rsidRPr="00AC045F">
        <w:rPr>
          <w:rFonts w:ascii="Times New Roman" w:hAnsi="Times New Roman" w:cs="Times New Roman"/>
          <w:noProof/>
          <w:sz w:val="16"/>
          <w:szCs w:val="16"/>
          <w:lang w:val="vi-VN"/>
        </w:rPr>
        <w:t>a</w:t>
      </w:r>
      <w:r w:rsidRPr="00AC045F">
        <w:rPr>
          <w:rFonts w:ascii="Times New Roman" w:hAnsi="Times New Roman" w:cs="Times New Roman"/>
          <w:noProof/>
          <w:sz w:val="16"/>
          <w:szCs w:val="16"/>
        </w:rPr>
        <w:t xml:space="preserve">n, T. M. P. (2021). Phân lập gel polysaccharide từ vỏ sầu riêng </w:t>
      </w:r>
      <w:r w:rsidRPr="00AC045F">
        <w:rPr>
          <w:rFonts w:ascii="Times New Roman" w:hAnsi="Times New Roman" w:cs="Times New Roman"/>
          <w:i/>
          <w:noProof/>
          <w:sz w:val="16"/>
          <w:szCs w:val="16"/>
        </w:rPr>
        <w:t>Durio zibethinus</w:t>
      </w:r>
      <w:r w:rsidRPr="00AC045F">
        <w:rPr>
          <w:rFonts w:ascii="Times New Roman" w:hAnsi="Times New Roman" w:cs="Times New Roman"/>
          <w:noProof/>
          <w:sz w:val="16"/>
          <w:szCs w:val="16"/>
          <w:lang w:val="vi-VN"/>
        </w:rPr>
        <w:t xml:space="preserve"> (in Vietnamese). </w:t>
      </w:r>
      <w:r w:rsidRPr="00AC045F">
        <w:rPr>
          <w:rFonts w:ascii="Times New Roman" w:hAnsi="Times New Roman" w:cs="Times New Roman"/>
          <w:i/>
          <w:noProof/>
          <w:sz w:val="16"/>
          <w:szCs w:val="16"/>
          <w:lang w:val="vi-VN"/>
        </w:rPr>
        <w:t xml:space="preserve">Vietnam trade and industry review, </w:t>
      </w:r>
      <w:r w:rsidRPr="00AC045F">
        <w:rPr>
          <w:rFonts w:ascii="Times New Roman" w:hAnsi="Times New Roman" w:cs="Times New Roman"/>
          <w:i/>
          <w:iCs/>
          <w:noProof/>
          <w:sz w:val="16"/>
          <w:szCs w:val="16"/>
        </w:rPr>
        <w:t>10</w:t>
      </w:r>
      <w:r w:rsidRPr="00AC045F">
        <w:rPr>
          <w:rFonts w:ascii="Times New Roman" w:hAnsi="Times New Roman" w:cs="Times New Roman"/>
          <w:noProof/>
          <w:sz w:val="16"/>
          <w:szCs w:val="16"/>
        </w:rPr>
        <w:t>, 145-151.</w:t>
      </w:r>
      <w:r w:rsidRPr="00AC045F">
        <w:rPr>
          <w:rFonts w:ascii="Times New Roman" w:hAnsi="Times New Roman" w:cs="Times New Roman"/>
          <w:noProof/>
          <w:sz w:val="16"/>
          <w:szCs w:val="16"/>
          <w:lang w:val="vi-VN"/>
        </w:rPr>
        <w:t xml:space="preserve"> </w:t>
      </w:r>
      <w:hyperlink r:id="rId8" w:history="1">
        <w:r w:rsidRPr="00AC045F">
          <w:rPr>
            <w:rStyle w:val="Hyperlink"/>
            <w:rFonts w:ascii="Times New Roman" w:hAnsi="Times New Roman" w:cs="Times New Roman"/>
            <w:noProof/>
            <w:sz w:val="16"/>
            <w:szCs w:val="16"/>
            <w:lang w:val="vi-VN"/>
          </w:rPr>
          <w:t>https://sti.vista.gov.vn/tw/Lists/TaiLieuKHCN/Attachments/320171/CVv146S102021145.pdf</w:t>
        </w:r>
      </w:hyperlink>
    </w:p>
    <w:p w14:paraId="708D2983"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Nguy</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n, L.</w:t>
      </w:r>
      <w:r w:rsidRPr="00AC045F">
        <w:rPr>
          <w:rFonts w:ascii="Times New Roman" w:hAnsi="Times New Roman" w:cs="Times New Roman"/>
          <w:noProof/>
          <w:sz w:val="16"/>
          <w:szCs w:val="16"/>
          <w:lang w:val="vi-VN"/>
        </w:rPr>
        <w:t xml:space="preserve"> T.</w:t>
      </w:r>
      <w:r w:rsidRPr="00AC045F">
        <w:rPr>
          <w:rFonts w:ascii="Times New Roman" w:hAnsi="Times New Roman" w:cs="Times New Roman"/>
          <w:noProof/>
          <w:sz w:val="16"/>
          <w:szCs w:val="16"/>
        </w:rPr>
        <w:t>, &amp; Cao, S.</w:t>
      </w:r>
      <w:r w:rsidRPr="00AC045F">
        <w:rPr>
          <w:rFonts w:ascii="Times New Roman" w:hAnsi="Times New Roman" w:cs="Times New Roman"/>
          <w:noProof/>
          <w:sz w:val="16"/>
          <w:szCs w:val="16"/>
          <w:lang w:val="vi-VN"/>
        </w:rPr>
        <w:t xml:space="preserve"> T.</w:t>
      </w:r>
      <w:r w:rsidRPr="00AC045F">
        <w:rPr>
          <w:rFonts w:ascii="Times New Roman" w:hAnsi="Times New Roman" w:cs="Times New Roman"/>
          <w:noProof/>
          <w:sz w:val="16"/>
          <w:szCs w:val="16"/>
        </w:rPr>
        <w:t xml:space="preserve"> (2024). Thực trạng phát sinh phế phụ phẩm nông nghiệp và giải pháp quản lý tại Việt Nam</w:t>
      </w:r>
      <w:r w:rsidRPr="00AC045F">
        <w:rPr>
          <w:rFonts w:ascii="Times New Roman" w:hAnsi="Times New Roman" w:cs="Times New Roman"/>
          <w:noProof/>
          <w:sz w:val="16"/>
          <w:szCs w:val="16"/>
          <w:lang w:val="vi-VN"/>
        </w:rPr>
        <w:t xml:space="preserve"> (in Vietnamese)</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lang w:val="vi-VN"/>
        </w:rPr>
        <w:t>In p</w:t>
      </w:r>
      <w:r w:rsidRPr="00AC045F">
        <w:rPr>
          <w:rFonts w:ascii="Times New Roman" w:hAnsi="Times New Roman" w:cs="Times New Roman"/>
          <w:i/>
          <w:noProof/>
          <w:sz w:val="16"/>
          <w:szCs w:val="16"/>
        </w:rPr>
        <w:t>roceeding</w:t>
      </w:r>
      <w:r w:rsidRPr="00AC045F">
        <w:rPr>
          <w:rFonts w:ascii="Times New Roman" w:hAnsi="Times New Roman" w:cs="Times New Roman"/>
          <w:i/>
          <w:noProof/>
          <w:sz w:val="16"/>
          <w:szCs w:val="16"/>
          <w:lang w:val="vi-VN"/>
        </w:rPr>
        <w:t xml:space="preserve"> of</w:t>
      </w:r>
      <w:r w:rsidRPr="00AC045F">
        <w:rPr>
          <w:rFonts w:ascii="Times New Roman" w:hAnsi="Times New Roman" w:cs="Times New Roman"/>
          <w:i/>
          <w:noProof/>
          <w:sz w:val="16"/>
          <w:szCs w:val="16"/>
        </w:rPr>
        <w:t xml:space="preserve"> Hội thảo khoa học quốc gia “Môi trường nông nghiệp, nông thôn và Phát triển bền vững”</w:t>
      </w:r>
      <w:r w:rsidRPr="00AC045F">
        <w:rPr>
          <w:rFonts w:ascii="Times New Roman" w:hAnsi="Times New Roman" w:cs="Times New Roman"/>
          <w:noProof/>
          <w:sz w:val="16"/>
          <w:szCs w:val="16"/>
          <w:lang w:val="vi-VN"/>
        </w:rPr>
        <w:t>, 159-168.</w:t>
      </w:r>
    </w:p>
    <w:p w14:paraId="727E83DE" w14:textId="77777777" w:rsidR="003045D6" w:rsidRPr="00AC045F" w:rsidRDefault="003045D6" w:rsidP="003045D6">
      <w:pPr>
        <w:pStyle w:val="EndNoteBibliography"/>
        <w:numPr>
          <w:ilvl w:val="0"/>
          <w:numId w:val="18"/>
        </w:numPr>
        <w:ind w:left="567" w:hanging="567"/>
        <w:rPr>
          <w:rFonts w:ascii="Times New Roman" w:hAnsi="Times New Roman" w:cs="Times New Roman"/>
          <w:noProof/>
          <w:sz w:val="16"/>
          <w:szCs w:val="16"/>
        </w:rPr>
      </w:pPr>
      <w:r w:rsidRPr="00AC045F">
        <w:rPr>
          <w:rFonts w:ascii="Times New Roman" w:hAnsi="Times New Roman" w:cs="Times New Roman"/>
          <w:noProof/>
          <w:sz w:val="16"/>
          <w:szCs w:val="16"/>
        </w:rPr>
        <w:t>Phan, T. T. T., &amp; Nguy</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n, V. V. (2018). Đánh giá chất lượng phân hữu cơ được làm từ vỏ quả sầu riêng tại huyện Trảng Bom, tỉnh Đồng Nai</w:t>
      </w:r>
      <w:r w:rsidRPr="00AC045F">
        <w:rPr>
          <w:rFonts w:ascii="Times New Roman" w:hAnsi="Times New Roman" w:cs="Times New Roman"/>
          <w:noProof/>
          <w:sz w:val="16"/>
          <w:szCs w:val="16"/>
          <w:lang w:val="vi-VN"/>
        </w:rPr>
        <w:t xml:space="preserve"> (in Vietnamese)</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Vietnam Journal of Agricultural Sciences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2</w:t>
      </w:r>
      <w:r w:rsidRPr="00AC045F">
        <w:rPr>
          <w:rFonts w:ascii="Times New Roman" w:hAnsi="Times New Roman" w:cs="Times New Roman"/>
          <w:noProof/>
          <w:sz w:val="16"/>
          <w:szCs w:val="16"/>
        </w:rPr>
        <w:t xml:space="preserve">(2), 789-798. </w:t>
      </w:r>
      <w:hyperlink r:id="rId9" w:history="1">
        <w:r w:rsidRPr="00AC045F">
          <w:rPr>
            <w:rStyle w:val="Hyperlink"/>
            <w:rFonts w:ascii="Times New Roman" w:hAnsi="Times New Roman" w:cs="Times New Roman"/>
            <w:noProof/>
            <w:sz w:val="16"/>
            <w:szCs w:val="16"/>
          </w:rPr>
          <w:t>https://doi.org/10.46826/huaf-jasat.v2n2y2018.</w:t>
        </w:r>
        <w:r w:rsidRPr="00AC045F">
          <w:rPr>
            <w:rStyle w:val="Hyperlink"/>
            <w:rFonts w:ascii="Times New Roman" w:hAnsi="Times New Roman" w:cs="Times New Roman"/>
            <w:noProof/>
            <w:sz w:val="16"/>
            <w:szCs w:val="16"/>
          </w:rPr>
          <w:t>1</w:t>
        </w:r>
        <w:r w:rsidRPr="00AC045F">
          <w:rPr>
            <w:rStyle w:val="Hyperlink"/>
            <w:rFonts w:ascii="Times New Roman" w:hAnsi="Times New Roman" w:cs="Times New Roman"/>
            <w:noProof/>
            <w:sz w:val="16"/>
            <w:szCs w:val="16"/>
          </w:rPr>
          <w:t>65</w:t>
        </w:r>
      </w:hyperlink>
      <w:r w:rsidRPr="00AC045F">
        <w:rPr>
          <w:rFonts w:ascii="Times New Roman" w:hAnsi="Times New Roman" w:cs="Times New Roman"/>
          <w:noProof/>
          <w:sz w:val="16"/>
          <w:szCs w:val="16"/>
        </w:rPr>
        <w:t xml:space="preserve"> </w:t>
      </w:r>
    </w:p>
    <w:p w14:paraId="7A95D075"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Zhan, Y. F., Hou, X. T., Fan, L. L., Du, Z. C., Ch'ng, S. E., Ng, S. M., Thepkaysone, K., Hao, E. W., &amp; Deng, J. G. (2021). Chemical constituents and pharmacological effects of durian shells in ASEAN countries: A review. </w:t>
      </w:r>
      <w:r w:rsidRPr="00AC045F">
        <w:rPr>
          <w:rFonts w:ascii="Times New Roman" w:hAnsi="Times New Roman" w:cs="Times New Roman"/>
          <w:i/>
          <w:noProof/>
          <w:sz w:val="16"/>
          <w:szCs w:val="16"/>
        </w:rPr>
        <w:t>Chin Herb Med</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13</w:t>
      </w:r>
      <w:r w:rsidRPr="00AC045F">
        <w:rPr>
          <w:rFonts w:ascii="Times New Roman" w:hAnsi="Times New Roman" w:cs="Times New Roman"/>
          <w:noProof/>
          <w:sz w:val="16"/>
          <w:szCs w:val="16"/>
        </w:rPr>
        <w:t xml:space="preserve">(4), 461-471. </w:t>
      </w:r>
      <w:hyperlink r:id="rId10" w:history="1">
        <w:r w:rsidRPr="00AC045F">
          <w:rPr>
            <w:rStyle w:val="Hyperlink"/>
            <w:rFonts w:ascii="Times New Roman" w:hAnsi="Times New Roman" w:cs="Times New Roman"/>
            <w:noProof/>
            <w:sz w:val="16"/>
            <w:szCs w:val="16"/>
          </w:rPr>
          <w:t>https://doi.org/10.1016/j.chmed.2021.10.001</w:t>
        </w:r>
      </w:hyperlink>
    </w:p>
    <w:p w14:paraId="606B1F99" w14:textId="77777777" w:rsidR="003045D6" w:rsidRPr="00AC045F" w:rsidRDefault="003045D6" w:rsidP="003045D6">
      <w:pPr>
        <w:pStyle w:val="EndNoteBibliography"/>
        <w:numPr>
          <w:ilvl w:val="0"/>
          <w:numId w:val="18"/>
        </w:numPr>
        <w:ind w:left="567" w:hanging="567"/>
        <w:rPr>
          <w:rFonts w:ascii="Times New Roman" w:hAnsi="Times New Roman" w:cs="Times New Roman"/>
          <w:noProof/>
          <w:sz w:val="16"/>
          <w:szCs w:val="16"/>
        </w:rPr>
      </w:pPr>
      <w:r w:rsidRPr="00AC045F">
        <w:rPr>
          <w:rFonts w:ascii="Times New Roman" w:hAnsi="Times New Roman" w:cs="Times New Roman"/>
          <w:noProof/>
          <w:sz w:val="16"/>
          <w:szCs w:val="16"/>
        </w:rPr>
        <w:t xml:space="preserve">Jha, K., Yahya, E. B., Bairwan, R. D., Sabri, M., Abdul Khalil, H. P. S., Ahmad, M. I., &amp; Surya, I. (2024). Eco-friendly approach for carboxymethyl cellulose isolation from durian peel waste and aerogel scaffold preparation. </w:t>
      </w:r>
      <w:r w:rsidRPr="00AC045F">
        <w:rPr>
          <w:rFonts w:ascii="Times New Roman" w:hAnsi="Times New Roman" w:cs="Times New Roman"/>
          <w:i/>
          <w:noProof/>
          <w:sz w:val="16"/>
          <w:szCs w:val="16"/>
        </w:rPr>
        <w:t>Nano-Structures &amp; Nano-Objects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40</w:t>
      </w:r>
      <w:r w:rsidRPr="00AC045F">
        <w:rPr>
          <w:rFonts w:ascii="Times New Roman" w:hAnsi="Times New Roman" w:cs="Times New Roman"/>
          <w:noProof/>
          <w:sz w:val="16"/>
          <w:szCs w:val="16"/>
        </w:rPr>
        <w:t xml:space="preserve">, 101345. </w:t>
      </w:r>
      <w:hyperlink r:id="rId11" w:history="1">
        <w:r w:rsidRPr="00AC045F">
          <w:rPr>
            <w:rStyle w:val="Hyperlink"/>
            <w:rFonts w:ascii="Times New Roman" w:hAnsi="Times New Roman" w:cs="Times New Roman"/>
            <w:noProof/>
            <w:sz w:val="16"/>
            <w:szCs w:val="16"/>
          </w:rPr>
          <w:t>https://doi.org/https://doi.org/10.1016/j.nanoso.2024.101345</w:t>
        </w:r>
      </w:hyperlink>
      <w:r w:rsidRPr="00AC045F">
        <w:rPr>
          <w:rFonts w:ascii="Times New Roman" w:hAnsi="Times New Roman" w:cs="Times New Roman"/>
          <w:noProof/>
          <w:sz w:val="16"/>
          <w:szCs w:val="16"/>
        </w:rPr>
        <w:t xml:space="preserve"> </w:t>
      </w:r>
    </w:p>
    <w:p w14:paraId="08A81D9B"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Lee, M. C., Koay, S. C., Chan, M. Y., Pang, M. M., Chou, P. M., &amp; Tsai, K. Y. (2018). Preparation and characterization of durian husk fiber filled polylactic acid biocomposites. </w:t>
      </w:r>
      <w:r w:rsidRPr="00AC045F">
        <w:rPr>
          <w:rFonts w:ascii="Times New Roman" w:hAnsi="Times New Roman" w:cs="Times New Roman"/>
          <w:i/>
          <w:noProof/>
          <w:sz w:val="16"/>
          <w:szCs w:val="16"/>
        </w:rPr>
        <w:t>MATEC Web Conf.</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152</w:t>
      </w:r>
      <w:r w:rsidRPr="00AC045F">
        <w:rPr>
          <w:rFonts w:ascii="Times New Roman" w:hAnsi="Times New Roman" w:cs="Times New Roman"/>
          <w:noProof/>
          <w:sz w:val="16"/>
          <w:szCs w:val="16"/>
        </w:rPr>
        <w:t xml:space="preserve">, 02007. </w:t>
      </w:r>
      <w:hyperlink r:id="rId12" w:history="1">
        <w:r w:rsidRPr="00AC045F">
          <w:rPr>
            <w:rStyle w:val="Hyperlink"/>
            <w:rFonts w:ascii="Times New Roman" w:hAnsi="Times New Roman" w:cs="Times New Roman"/>
            <w:noProof/>
            <w:sz w:val="16"/>
            <w:szCs w:val="16"/>
          </w:rPr>
          <w:t>https://doi.org/10.1051/matecconf/201815202007</w:t>
        </w:r>
      </w:hyperlink>
    </w:p>
    <w:p w14:paraId="348481CD"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L</w:t>
      </w:r>
      <w:r w:rsidRPr="00AC045F">
        <w:rPr>
          <w:rFonts w:ascii="Times New Roman" w:hAnsi="Times New Roman" w:cs="Times New Roman"/>
          <w:noProof/>
          <w:sz w:val="16"/>
          <w:szCs w:val="16"/>
          <w:lang w:val="vi-VN"/>
        </w:rPr>
        <w:t>e</w:t>
      </w:r>
      <w:r w:rsidRPr="00AC045F">
        <w:rPr>
          <w:rFonts w:ascii="Times New Roman" w:hAnsi="Times New Roman" w:cs="Times New Roman"/>
          <w:noProof/>
          <w:sz w:val="16"/>
          <w:szCs w:val="16"/>
        </w:rPr>
        <w:t xml:space="preserve">, </w:t>
      </w:r>
      <w:r w:rsidRPr="00AC045F">
        <w:rPr>
          <w:rFonts w:ascii="Times New Roman" w:hAnsi="Times New Roman" w:cs="Times New Roman"/>
          <w:noProof/>
          <w:sz w:val="16"/>
          <w:szCs w:val="16"/>
          <w:lang w:val="vi-VN"/>
        </w:rPr>
        <w:t>D</w:t>
      </w:r>
      <w:r w:rsidRPr="00AC045F">
        <w:rPr>
          <w:rFonts w:ascii="Times New Roman" w:hAnsi="Times New Roman" w:cs="Times New Roman"/>
          <w:noProof/>
          <w:sz w:val="16"/>
          <w:szCs w:val="16"/>
        </w:rPr>
        <w:t xml:space="preserve">. T. (2023). </w:t>
      </w:r>
      <w:r w:rsidRPr="00AC045F">
        <w:rPr>
          <w:rFonts w:ascii="Times New Roman" w:hAnsi="Times New Roman" w:cs="Times New Roman"/>
          <w:iCs/>
          <w:noProof/>
          <w:sz w:val="16"/>
          <w:szCs w:val="16"/>
        </w:rPr>
        <w:t>Điều tra, đánh giá và xây dựng mô hình sản xuất xoài, bơ, sầu riêng an toàn theo chuỗi giá trị hướng tới xuất khẩu trên địa bàn tỉnh Đắk Nông</w:t>
      </w:r>
      <w:r w:rsidRPr="00AC045F">
        <w:rPr>
          <w:rFonts w:ascii="Times New Roman" w:hAnsi="Times New Roman" w:cs="Times New Roman"/>
          <w:iCs/>
          <w:noProof/>
          <w:sz w:val="16"/>
          <w:szCs w:val="16"/>
          <w:lang w:val="vi-VN"/>
        </w:rPr>
        <w:t xml:space="preserve"> (in Vietnamese)</w:t>
      </w:r>
      <w:r w:rsidRPr="00AC045F">
        <w:rPr>
          <w:rFonts w:ascii="Times New Roman" w:hAnsi="Times New Roman" w:cs="Times New Roman"/>
          <w:i/>
          <w:noProof/>
          <w:sz w:val="16"/>
          <w:szCs w:val="16"/>
        </w:rPr>
        <w:t>.</w:t>
      </w:r>
      <w:r w:rsidRPr="00AC045F">
        <w:rPr>
          <w:rFonts w:ascii="Times New Roman" w:hAnsi="Times New Roman" w:cs="Times New Roman"/>
          <w:noProof/>
          <w:sz w:val="16"/>
          <w:szCs w:val="16"/>
          <w:lang w:val="vi-VN"/>
        </w:rPr>
        <w:t xml:space="preserve"> </w:t>
      </w:r>
      <w:r w:rsidRPr="00AC045F">
        <w:rPr>
          <w:rFonts w:ascii="Times New Roman" w:hAnsi="Times New Roman" w:cs="Times New Roman"/>
          <w:i/>
          <w:iCs/>
          <w:noProof/>
          <w:sz w:val="16"/>
          <w:szCs w:val="16"/>
          <w:lang w:val="vi-VN"/>
        </w:rPr>
        <w:t>Research report of Dak Nong Department of Science and Technology.</w:t>
      </w:r>
      <w:r w:rsidRPr="00AC045F">
        <w:rPr>
          <w:rFonts w:ascii="Times New Roman" w:hAnsi="Times New Roman" w:cs="Times New Roman"/>
          <w:noProof/>
          <w:sz w:val="16"/>
          <w:szCs w:val="16"/>
        </w:rPr>
        <w:t xml:space="preserve"> </w:t>
      </w:r>
      <w:hyperlink r:id="rId13" w:history="1">
        <w:r w:rsidRPr="00AC045F">
          <w:rPr>
            <w:rStyle w:val="Hyperlink"/>
            <w:rFonts w:ascii="Times New Roman" w:hAnsi="Times New Roman" w:cs="Times New Roman"/>
            <w:noProof/>
            <w:sz w:val="16"/>
            <w:szCs w:val="16"/>
          </w:rPr>
          <w:t>https://storage-vnportal.vnpt.vn/dkg-chinhquyen/4797/si/bctt-25.4.23.pdf</w:t>
        </w:r>
      </w:hyperlink>
    </w:p>
    <w:p w14:paraId="5A745BAE"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lang w:val="vi-VN"/>
        </w:rPr>
        <w:t xml:space="preserve">General Statistics Office of Vietnam. </w:t>
      </w:r>
      <w:r w:rsidRPr="00AC045F">
        <w:rPr>
          <w:rFonts w:ascii="Times New Roman" w:hAnsi="Times New Roman" w:cs="Times New Roman"/>
          <w:noProof/>
          <w:sz w:val="16"/>
          <w:szCs w:val="16"/>
        </w:rPr>
        <w:t xml:space="preserve">(2017). </w:t>
      </w:r>
      <w:r w:rsidRPr="00AC045F">
        <w:rPr>
          <w:rFonts w:ascii="Times New Roman" w:hAnsi="Times New Roman" w:cs="Times New Roman"/>
          <w:i/>
          <w:noProof/>
          <w:sz w:val="16"/>
          <w:szCs w:val="16"/>
        </w:rPr>
        <w:t>Statistical Yearbook of Viet Nam 2016</w:t>
      </w:r>
      <w:r w:rsidRPr="00AC045F">
        <w:rPr>
          <w:rFonts w:ascii="Times New Roman" w:hAnsi="Times New Roman" w:cs="Times New Roman"/>
          <w:noProof/>
          <w:sz w:val="16"/>
          <w:szCs w:val="16"/>
        </w:rPr>
        <w:t>. Statistical Publishing House.</w:t>
      </w:r>
    </w:p>
    <w:p w14:paraId="3CEE039E"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bCs/>
          <w:color w:val="000000" w:themeColor="text1"/>
          <w:sz w:val="16"/>
          <w:szCs w:val="16"/>
        </w:rPr>
      </w:pPr>
      <w:r w:rsidRPr="00AC045F">
        <w:rPr>
          <w:rFonts w:ascii="Times New Roman" w:hAnsi="Times New Roman" w:cs="Times New Roman"/>
          <w:noProof/>
          <w:sz w:val="16"/>
          <w:szCs w:val="16"/>
        </w:rPr>
        <w:t>Department of Crop Production. (2023). Statistics on durian planting area, yield, and production in major durian-growing regions in Vietnam in 2022</w:t>
      </w:r>
      <w:r w:rsidRPr="00AC045F">
        <w:rPr>
          <w:rFonts w:ascii="Times New Roman" w:hAnsi="Times New Roman" w:cs="Times New Roman"/>
          <w:noProof/>
          <w:sz w:val="16"/>
          <w:szCs w:val="16"/>
          <w:lang w:val="vi-VN"/>
        </w:rPr>
        <w:t xml:space="preserve"> (in Vietnamese)</w:t>
      </w:r>
      <w:r w:rsidRPr="00AC045F">
        <w:rPr>
          <w:rFonts w:ascii="Times New Roman" w:hAnsi="Times New Roman" w:cs="Times New Roman"/>
          <w:noProof/>
          <w:sz w:val="16"/>
          <w:szCs w:val="16"/>
        </w:rPr>
        <w:t>.</w:t>
      </w:r>
      <w:r w:rsidRPr="00AC045F">
        <w:rPr>
          <w:rFonts w:ascii="Times New Roman" w:hAnsi="Times New Roman" w:cs="Times New Roman"/>
          <w:noProof/>
          <w:sz w:val="16"/>
          <w:szCs w:val="16"/>
          <w:lang w:val="vi-VN"/>
        </w:rPr>
        <w:t xml:space="preserve"> Report of Vietnam Ministry of Agriculture and Rural Development.</w:t>
      </w:r>
      <w:r w:rsidRPr="00AC045F">
        <w:rPr>
          <w:rFonts w:ascii="Times New Roman" w:hAnsi="Times New Roman" w:cs="Times New Roman"/>
          <w:noProof/>
          <w:sz w:val="16"/>
          <w:szCs w:val="16"/>
        </w:rPr>
        <w:t xml:space="preserve"> </w:t>
      </w:r>
      <w:hyperlink r:id="rId14" w:history="1">
        <w:r w:rsidRPr="00AC045F">
          <w:rPr>
            <w:rStyle w:val="Hyperlink"/>
            <w:rFonts w:ascii="Times New Roman" w:hAnsi="Times New Roman" w:cs="Times New Roman"/>
            <w:noProof/>
            <w:sz w:val="16"/>
            <w:szCs w:val="16"/>
          </w:rPr>
          <w:t>https://www.mard.gov.vn/</w:t>
        </w:r>
      </w:hyperlink>
    </w:p>
    <w:p w14:paraId="120DA356"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bCs/>
          <w:color w:val="000000" w:themeColor="text1"/>
          <w:sz w:val="16"/>
          <w:szCs w:val="16"/>
        </w:rPr>
      </w:pPr>
      <w:r w:rsidRPr="00AC045F">
        <w:rPr>
          <w:rFonts w:ascii="Times New Roman" w:hAnsi="Times New Roman" w:cs="Times New Roman"/>
          <w:noProof/>
          <w:sz w:val="16"/>
          <w:szCs w:val="16"/>
          <w:lang w:val="vi-VN"/>
        </w:rPr>
        <w:t>Tr</w:t>
      </w:r>
      <w:r w:rsidRPr="00AC045F">
        <w:rPr>
          <w:rFonts w:ascii="Times New Roman" w:hAnsi="Times New Roman" w:cs="Times New Roman"/>
          <w:noProof/>
          <w:sz w:val="16"/>
          <w:szCs w:val="16"/>
        </w:rPr>
        <w:t>an</w:t>
      </w:r>
      <w:r w:rsidRPr="00AC045F">
        <w:rPr>
          <w:rFonts w:ascii="Times New Roman" w:hAnsi="Times New Roman" w:cs="Times New Roman"/>
          <w:noProof/>
          <w:sz w:val="16"/>
          <w:szCs w:val="16"/>
          <w:lang w:val="vi-VN"/>
        </w:rPr>
        <w:t>, H. V.,</w:t>
      </w:r>
      <w:r w:rsidRPr="00AC045F">
        <w:rPr>
          <w:rFonts w:ascii="Times New Roman" w:hAnsi="Times New Roman" w:cs="Times New Roman"/>
          <w:noProof/>
          <w:sz w:val="16"/>
          <w:szCs w:val="16"/>
        </w:rPr>
        <w:t xml:space="preserve"> Doan</w:t>
      </w:r>
      <w:r w:rsidRPr="00AC045F">
        <w:rPr>
          <w:rFonts w:ascii="Times New Roman" w:hAnsi="Times New Roman" w:cs="Times New Roman"/>
          <w:noProof/>
          <w:sz w:val="16"/>
          <w:szCs w:val="16"/>
          <w:lang w:val="vi-VN"/>
        </w:rPr>
        <w:t xml:space="preserve">, T. H., </w:t>
      </w:r>
      <w:r w:rsidRPr="00AC045F">
        <w:rPr>
          <w:rFonts w:ascii="Times New Roman" w:hAnsi="Times New Roman" w:cs="Times New Roman"/>
          <w:noProof/>
          <w:sz w:val="16"/>
          <w:szCs w:val="16"/>
        </w:rPr>
        <w:t>Nguyen</w:t>
      </w:r>
      <w:r w:rsidRPr="00AC045F">
        <w:rPr>
          <w:rFonts w:ascii="Times New Roman" w:hAnsi="Times New Roman" w:cs="Times New Roman"/>
          <w:noProof/>
          <w:sz w:val="16"/>
          <w:szCs w:val="16"/>
          <w:lang w:val="vi-VN"/>
        </w:rPr>
        <w:t>, T. M,</w:t>
      </w:r>
      <w:r w:rsidRPr="00AC045F">
        <w:rPr>
          <w:rFonts w:ascii="Times New Roman" w:hAnsi="Times New Roman" w:cs="Times New Roman"/>
          <w:noProof/>
          <w:sz w:val="16"/>
          <w:szCs w:val="16"/>
        </w:rPr>
        <w:t xml:space="preserve"> Huynh</w:t>
      </w:r>
      <w:r w:rsidRPr="00AC045F">
        <w:rPr>
          <w:rFonts w:ascii="Times New Roman" w:hAnsi="Times New Roman" w:cs="Times New Roman"/>
          <w:noProof/>
          <w:sz w:val="16"/>
          <w:szCs w:val="16"/>
          <w:lang w:val="vi-VN"/>
        </w:rPr>
        <w:t>, K.,</w:t>
      </w:r>
      <w:r w:rsidRPr="00AC045F">
        <w:rPr>
          <w:rFonts w:ascii="Times New Roman" w:hAnsi="Times New Roman" w:cs="Times New Roman"/>
          <w:noProof/>
          <w:sz w:val="16"/>
          <w:szCs w:val="16"/>
        </w:rPr>
        <w:t xml:space="preserve"> </w:t>
      </w:r>
      <w:r w:rsidRPr="00AC045F">
        <w:rPr>
          <w:rFonts w:ascii="Times New Roman" w:hAnsi="Times New Roman" w:cs="Times New Roman"/>
          <w:noProof/>
          <w:sz w:val="16"/>
          <w:szCs w:val="16"/>
          <w:lang w:val="vi-VN"/>
        </w:rPr>
        <w:t>Tr</w:t>
      </w:r>
      <w:r w:rsidRPr="00AC045F">
        <w:rPr>
          <w:rFonts w:ascii="Times New Roman" w:hAnsi="Times New Roman" w:cs="Times New Roman"/>
          <w:noProof/>
          <w:sz w:val="16"/>
          <w:szCs w:val="16"/>
        </w:rPr>
        <w:t>an</w:t>
      </w:r>
      <w:r w:rsidRPr="00AC045F">
        <w:rPr>
          <w:rFonts w:ascii="Times New Roman" w:hAnsi="Times New Roman" w:cs="Times New Roman"/>
          <w:noProof/>
          <w:sz w:val="16"/>
          <w:szCs w:val="16"/>
          <w:lang w:val="vi-VN"/>
        </w:rPr>
        <w:t>, Y. T. O.,</w:t>
      </w:r>
      <w:r w:rsidRPr="00AC045F">
        <w:rPr>
          <w:rFonts w:ascii="Times New Roman" w:hAnsi="Times New Roman" w:cs="Times New Roman"/>
          <w:noProof/>
          <w:sz w:val="16"/>
          <w:szCs w:val="16"/>
        </w:rPr>
        <w:t xml:space="preserve"> Mai</w:t>
      </w:r>
      <w:r w:rsidRPr="00AC045F">
        <w:rPr>
          <w:rFonts w:ascii="Times New Roman" w:hAnsi="Times New Roman" w:cs="Times New Roman"/>
          <w:noProof/>
          <w:sz w:val="16"/>
          <w:szCs w:val="16"/>
          <w:lang w:val="vi-VN"/>
        </w:rPr>
        <w:t>, T.V.,</w:t>
      </w:r>
      <w:r w:rsidRPr="00AC045F">
        <w:rPr>
          <w:rFonts w:ascii="Times New Roman" w:hAnsi="Times New Roman" w:cs="Times New Roman"/>
          <w:noProof/>
          <w:sz w:val="16"/>
          <w:szCs w:val="16"/>
        </w:rPr>
        <w:t xml:space="preserve"> &amp; Hoa, Nguyen</w:t>
      </w:r>
      <w:r w:rsidRPr="00AC045F">
        <w:rPr>
          <w:rFonts w:ascii="Times New Roman" w:hAnsi="Times New Roman" w:cs="Times New Roman"/>
          <w:noProof/>
          <w:sz w:val="16"/>
          <w:szCs w:val="16"/>
          <w:lang w:val="vi-VN"/>
        </w:rPr>
        <w:t>, H. V,</w:t>
      </w:r>
      <w:r w:rsidRPr="00AC045F">
        <w:rPr>
          <w:rFonts w:ascii="Times New Roman" w:hAnsi="Times New Roman" w:cs="Times New Roman"/>
          <w:noProof/>
          <w:sz w:val="16"/>
          <w:szCs w:val="16"/>
        </w:rPr>
        <w:t xml:space="preserve"> &amp; Tran, H.</w:t>
      </w:r>
      <w:r w:rsidRPr="00AC045F">
        <w:rPr>
          <w:rFonts w:ascii="Times New Roman" w:hAnsi="Times New Roman" w:cs="Times New Roman"/>
          <w:noProof/>
          <w:sz w:val="16"/>
          <w:szCs w:val="16"/>
          <w:lang w:val="vi-VN"/>
        </w:rPr>
        <w:t xml:space="preserve"> S.</w:t>
      </w:r>
      <w:r w:rsidRPr="00AC045F">
        <w:rPr>
          <w:rFonts w:ascii="Times New Roman" w:hAnsi="Times New Roman" w:cs="Times New Roman"/>
          <w:noProof/>
          <w:sz w:val="16"/>
          <w:szCs w:val="16"/>
        </w:rPr>
        <w:t xml:space="preserve"> (2023). Durian.</w:t>
      </w:r>
      <w:r w:rsidRPr="00AC045F">
        <w:rPr>
          <w:rFonts w:ascii="Times New Roman" w:hAnsi="Times New Roman" w:cs="Times New Roman"/>
          <w:noProof/>
          <w:sz w:val="16"/>
          <w:szCs w:val="16"/>
          <w:lang w:val="vi-VN"/>
        </w:rPr>
        <w:t xml:space="preserve"> In book: Mandal, D., Wermund, U., Phavaphutanon, L., Cronje, R.. (Eds.). </w:t>
      </w:r>
      <w:r w:rsidRPr="00AC045F">
        <w:rPr>
          <w:rFonts w:ascii="Times New Roman" w:hAnsi="Times New Roman" w:cs="Times New Roman"/>
          <w:i/>
          <w:iCs/>
          <w:noProof/>
          <w:sz w:val="16"/>
          <w:szCs w:val="16"/>
          <w:lang w:val="vi-VN"/>
        </w:rPr>
        <w:t>Tropical and Sub-Tropical Fruits Crops</w:t>
      </w:r>
      <w:r w:rsidRPr="00AC045F">
        <w:rPr>
          <w:rFonts w:ascii="Times New Roman" w:hAnsi="Times New Roman" w:cs="Times New Roman"/>
          <w:noProof/>
          <w:sz w:val="16"/>
          <w:szCs w:val="16"/>
          <w:lang w:val="vi-VN"/>
        </w:rPr>
        <w:t>. CRC Press., 161-200.</w:t>
      </w:r>
      <w:r w:rsidRPr="00AC045F">
        <w:rPr>
          <w:rFonts w:ascii="Times New Roman" w:hAnsi="Times New Roman" w:cs="Times New Roman"/>
          <w:noProof/>
          <w:sz w:val="16"/>
          <w:szCs w:val="16"/>
        </w:rPr>
        <w:t xml:space="preserve"> </w:t>
      </w:r>
      <w:hyperlink r:id="rId15" w:history="1">
        <w:r w:rsidRPr="00AC045F">
          <w:rPr>
            <w:rStyle w:val="Hyperlink"/>
            <w:rFonts w:ascii="Times New Roman" w:hAnsi="Times New Roman" w:cs="Times New Roman"/>
            <w:noProof/>
            <w:sz w:val="16"/>
            <w:szCs w:val="16"/>
          </w:rPr>
          <w:t>https://doi.org/10.1201/9781003305033-3</w:t>
        </w:r>
      </w:hyperlink>
      <w:r w:rsidRPr="00AC045F">
        <w:rPr>
          <w:rFonts w:ascii="Times New Roman" w:hAnsi="Times New Roman" w:cs="Times New Roman"/>
          <w:noProof/>
          <w:sz w:val="16"/>
          <w:szCs w:val="16"/>
        </w:rPr>
        <w:t>.</w:t>
      </w:r>
      <w:r w:rsidRPr="00AC045F">
        <w:rPr>
          <w:rFonts w:ascii="Times New Roman" w:eastAsia="Times New Roman" w:hAnsi="Times New Roman" w:cs="Times New Roman"/>
          <w:bCs/>
          <w:color w:val="000000" w:themeColor="text1"/>
          <w:sz w:val="16"/>
          <w:szCs w:val="16"/>
        </w:rPr>
        <w:t>.</w:t>
      </w:r>
    </w:p>
    <w:p w14:paraId="303FD30A" w14:textId="77777777" w:rsidR="003045D6" w:rsidRPr="00AC045F" w:rsidRDefault="003045D6" w:rsidP="003045D6">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lang w:val="vi-VN"/>
        </w:rPr>
        <w:t xml:space="preserve">Nguyen, M. Q. (2024). Sustainable durian's production and export (in Vietnamese). </w:t>
      </w:r>
      <w:r w:rsidRPr="00AC045F">
        <w:rPr>
          <w:rFonts w:ascii="Times New Roman" w:hAnsi="Times New Roman" w:cs="Times New Roman"/>
          <w:i/>
          <w:iCs/>
          <w:noProof/>
          <w:sz w:val="16"/>
          <w:szCs w:val="16"/>
          <w:lang w:val="vi-VN"/>
        </w:rPr>
        <w:t>2024 Conference of Vietnam</w:t>
      </w:r>
      <w:r w:rsidRPr="00AC045F">
        <w:rPr>
          <w:rFonts w:ascii="Times New Roman" w:hAnsi="Times New Roman" w:cs="Times New Roman"/>
          <w:i/>
          <w:iCs/>
          <w:noProof/>
          <w:sz w:val="16"/>
          <w:szCs w:val="16"/>
        </w:rPr>
        <w:t xml:space="preserve"> Ministry of Agriculture and Rural Development</w:t>
      </w:r>
      <w:r w:rsidRPr="00AC045F">
        <w:rPr>
          <w:rFonts w:ascii="Times New Roman" w:hAnsi="Times New Roman" w:cs="Times New Roman"/>
          <w:i/>
          <w:iCs/>
          <w:noProof/>
          <w:sz w:val="16"/>
          <w:szCs w:val="16"/>
          <w:lang w:val="vi-VN"/>
        </w:rPr>
        <w:t>, Ho Chi Minh City</w:t>
      </w:r>
      <w:r w:rsidRPr="00AC045F">
        <w:rPr>
          <w:rFonts w:ascii="Times New Roman" w:hAnsi="Times New Roman" w:cs="Times New Roman"/>
          <w:noProof/>
          <w:sz w:val="16"/>
          <w:szCs w:val="16"/>
          <w:lang w:val="vi-VN"/>
        </w:rPr>
        <w:t>.</w:t>
      </w:r>
    </w:p>
    <w:p w14:paraId="1B8FF456"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Ho</w:t>
      </w:r>
      <w:r w:rsidRPr="00AC045F">
        <w:rPr>
          <w:rFonts w:ascii="Times New Roman" w:hAnsi="Times New Roman" w:cs="Times New Roman"/>
          <w:noProof/>
          <w:sz w:val="16"/>
          <w:szCs w:val="16"/>
          <w:lang w:val="vi-VN"/>
        </w:rPr>
        <w:t>a</w:t>
      </w:r>
      <w:r w:rsidRPr="00AC045F">
        <w:rPr>
          <w:rFonts w:ascii="Times New Roman" w:hAnsi="Times New Roman" w:cs="Times New Roman"/>
          <w:noProof/>
          <w:sz w:val="16"/>
          <w:szCs w:val="16"/>
        </w:rPr>
        <w:t>ng, C.</w:t>
      </w:r>
      <w:r w:rsidRPr="00AC045F">
        <w:rPr>
          <w:rFonts w:ascii="Times New Roman" w:hAnsi="Times New Roman" w:cs="Times New Roman"/>
          <w:noProof/>
          <w:sz w:val="16"/>
          <w:szCs w:val="16"/>
          <w:lang w:val="vi-VN"/>
        </w:rPr>
        <w:t xml:space="preserve"> M.</w:t>
      </w:r>
      <w:r w:rsidRPr="00AC045F">
        <w:rPr>
          <w:rFonts w:ascii="Times New Roman" w:hAnsi="Times New Roman" w:cs="Times New Roman"/>
          <w:noProof/>
          <w:sz w:val="16"/>
          <w:szCs w:val="16"/>
        </w:rPr>
        <w:t>, &amp; L</w:t>
      </w:r>
      <w:r w:rsidRPr="00AC045F">
        <w:rPr>
          <w:rFonts w:ascii="Times New Roman" w:hAnsi="Times New Roman" w:cs="Times New Roman"/>
          <w:noProof/>
          <w:sz w:val="16"/>
          <w:szCs w:val="16"/>
          <w:lang w:val="vi-VN"/>
        </w:rPr>
        <w:t>a</w:t>
      </w:r>
      <w:r w:rsidRPr="00AC045F">
        <w:rPr>
          <w:rFonts w:ascii="Times New Roman" w:hAnsi="Times New Roman" w:cs="Times New Roman"/>
          <w:noProof/>
          <w:sz w:val="16"/>
          <w:szCs w:val="16"/>
        </w:rPr>
        <w:t xml:space="preserve">m, V. </w:t>
      </w:r>
      <w:r w:rsidRPr="00AC045F">
        <w:rPr>
          <w:rFonts w:ascii="Times New Roman" w:hAnsi="Times New Roman" w:cs="Times New Roman"/>
          <w:noProof/>
          <w:sz w:val="16"/>
          <w:szCs w:val="16"/>
          <w:lang w:val="vi-VN"/>
        </w:rPr>
        <w:t xml:space="preserve">M. </w:t>
      </w:r>
      <w:r w:rsidRPr="00AC045F">
        <w:rPr>
          <w:rFonts w:ascii="Times New Roman" w:hAnsi="Times New Roman" w:cs="Times New Roman"/>
          <w:noProof/>
          <w:sz w:val="16"/>
          <w:szCs w:val="16"/>
        </w:rPr>
        <w:t>(2019). Kết quả điều tra thời điểm ra hoa và thu hoạch các giống sầu riêng, cam bơ trồng tại Tây Nguyên.</w:t>
      </w:r>
      <w:r w:rsidRPr="00AC045F">
        <w:rPr>
          <w:rFonts w:ascii="Times New Roman" w:hAnsi="Times New Roman" w:cs="Times New Roman"/>
          <w:noProof/>
          <w:sz w:val="16"/>
          <w:szCs w:val="16"/>
          <w:lang w:val="vi-VN"/>
        </w:rPr>
        <w:t xml:space="preserve"> </w:t>
      </w:r>
      <w:r w:rsidRPr="00AC045F">
        <w:rPr>
          <w:rFonts w:ascii="Times New Roman" w:hAnsi="Times New Roman" w:cs="Times New Roman"/>
          <w:i/>
          <w:iCs/>
          <w:noProof/>
          <w:sz w:val="16"/>
          <w:szCs w:val="16"/>
          <w:lang w:val="vi-VN"/>
        </w:rPr>
        <w:t>Report of the Western Highlands Agriculture and Forestry Science Institute (Vietnam)</w:t>
      </w:r>
      <w:r w:rsidRPr="00AC045F">
        <w:rPr>
          <w:rFonts w:ascii="Times New Roman" w:hAnsi="Times New Roman" w:cs="Times New Roman"/>
          <w:noProof/>
          <w:sz w:val="16"/>
          <w:szCs w:val="16"/>
          <w:lang w:val="vi-VN"/>
        </w:rPr>
        <w:t>.</w:t>
      </w:r>
    </w:p>
    <w:p w14:paraId="7C9D4894"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lang w:val="vi-VN"/>
        </w:rPr>
        <w:t>Tr</w:t>
      </w:r>
      <w:r w:rsidRPr="00AC045F">
        <w:rPr>
          <w:rFonts w:ascii="Times New Roman" w:hAnsi="Times New Roman" w:cs="Times New Roman"/>
          <w:noProof/>
          <w:sz w:val="16"/>
          <w:szCs w:val="16"/>
        </w:rPr>
        <w:t>an</w:t>
      </w:r>
      <w:r w:rsidRPr="00AC045F">
        <w:rPr>
          <w:rFonts w:ascii="Times New Roman" w:hAnsi="Times New Roman" w:cs="Times New Roman"/>
          <w:noProof/>
          <w:sz w:val="16"/>
          <w:szCs w:val="16"/>
          <w:lang w:val="vi-VN"/>
        </w:rPr>
        <w:t>, H. V.</w:t>
      </w:r>
      <w:r w:rsidRPr="00AC045F">
        <w:rPr>
          <w:rFonts w:ascii="Times New Roman" w:hAnsi="Times New Roman" w:cs="Times New Roman"/>
          <w:noProof/>
          <w:sz w:val="16"/>
          <w:szCs w:val="16"/>
        </w:rPr>
        <w:t xml:space="preserve"> (2021). Sự ra hoa và biện pháp xử lý ra hoa sầu riêng (</w:t>
      </w:r>
      <w:r w:rsidRPr="00AC045F">
        <w:rPr>
          <w:rFonts w:ascii="Times New Roman" w:hAnsi="Times New Roman" w:cs="Times New Roman"/>
          <w:i/>
          <w:noProof/>
          <w:sz w:val="16"/>
          <w:szCs w:val="16"/>
        </w:rPr>
        <w:t>Durio zibethinus</w:t>
      </w:r>
      <w:r w:rsidRPr="00AC045F">
        <w:rPr>
          <w:rFonts w:ascii="Times New Roman" w:hAnsi="Times New Roman" w:cs="Times New Roman"/>
          <w:noProof/>
          <w:sz w:val="16"/>
          <w:szCs w:val="16"/>
        </w:rPr>
        <w:t xml:space="preserve"> Murr.)</w:t>
      </w:r>
      <w:r w:rsidRPr="00AC045F">
        <w:rPr>
          <w:rFonts w:ascii="Times New Roman" w:hAnsi="Times New Roman" w:cs="Times New Roman"/>
          <w:noProof/>
          <w:sz w:val="16"/>
          <w:szCs w:val="16"/>
          <w:lang w:val="vi-VN"/>
        </w:rPr>
        <w:t xml:space="preserve"> (in Vietnamese).</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lang w:val="vi-VN"/>
        </w:rPr>
        <w:t>In p</w:t>
      </w:r>
      <w:r w:rsidRPr="00AC045F">
        <w:rPr>
          <w:rFonts w:ascii="Times New Roman" w:hAnsi="Times New Roman" w:cs="Times New Roman"/>
          <w:i/>
          <w:noProof/>
          <w:sz w:val="16"/>
          <w:szCs w:val="16"/>
        </w:rPr>
        <w:t>roceeding</w:t>
      </w:r>
      <w:r w:rsidRPr="00AC045F">
        <w:rPr>
          <w:rFonts w:ascii="Times New Roman" w:hAnsi="Times New Roman" w:cs="Times New Roman"/>
          <w:i/>
          <w:noProof/>
          <w:sz w:val="16"/>
          <w:szCs w:val="16"/>
          <w:lang w:val="vi-VN"/>
        </w:rPr>
        <w:t xml:space="preserve"> of</w:t>
      </w:r>
      <w:r w:rsidRPr="00AC045F">
        <w:rPr>
          <w:rFonts w:ascii="Times New Roman" w:hAnsi="Times New Roman" w:cs="Times New Roman"/>
          <w:i/>
          <w:noProof/>
          <w:sz w:val="16"/>
          <w:szCs w:val="16"/>
        </w:rPr>
        <w:t xml:space="preserve"> Hội thảo Khoa học ứng dụng khoa học công nghệ nâng cao giá trị và phát triển bền vững cây sầu riêng theo chuỗi liên kết tại Việt Nam</w:t>
      </w:r>
      <w:r w:rsidRPr="00AC045F">
        <w:rPr>
          <w:rFonts w:ascii="Times New Roman" w:hAnsi="Times New Roman" w:cs="Times New Roman"/>
          <w:noProof/>
          <w:sz w:val="16"/>
          <w:szCs w:val="16"/>
        </w:rPr>
        <w:t>, 11-21.</w:t>
      </w:r>
    </w:p>
    <w:p w14:paraId="38F63E97" w14:textId="77777777" w:rsidR="003045D6" w:rsidRPr="00AC045F" w:rsidRDefault="003045D6" w:rsidP="003045D6">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lang w:val="vi-VN"/>
        </w:rPr>
        <w:t>Vietnam Ministry of Industry and Trade. (2022). Industrial production and trading activity. Report of Vietnam Ministry of Industry and Trade.</w:t>
      </w:r>
    </w:p>
    <w:p w14:paraId="59CC0530" w14:textId="77777777" w:rsidR="003045D6" w:rsidRPr="00AC045F" w:rsidRDefault="003045D6" w:rsidP="003045D6">
      <w:pPr>
        <w:pStyle w:val="Default"/>
        <w:numPr>
          <w:ilvl w:val="0"/>
          <w:numId w:val="18"/>
        </w:numPr>
        <w:ind w:left="567" w:hanging="567"/>
        <w:jc w:val="both"/>
        <w:rPr>
          <w:bCs/>
          <w:color w:val="000000" w:themeColor="text1"/>
          <w:sz w:val="16"/>
          <w:szCs w:val="16"/>
        </w:rPr>
      </w:pPr>
      <w:r w:rsidRPr="00AC045F">
        <w:rPr>
          <w:noProof/>
          <w:sz w:val="16"/>
          <w:szCs w:val="16"/>
        </w:rPr>
        <w:t>Vietnam Ministry of Natural Resources and Environment. (2021a). Status report of the national environment 2016-2020.</w:t>
      </w:r>
    </w:p>
    <w:p w14:paraId="02EFF695" w14:textId="77777777" w:rsidR="003045D6" w:rsidRPr="00AC045F" w:rsidRDefault="003045D6" w:rsidP="003045D6">
      <w:pPr>
        <w:pStyle w:val="Default"/>
        <w:numPr>
          <w:ilvl w:val="0"/>
          <w:numId w:val="18"/>
        </w:numPr>
        <w:ind w:left="540" w:hanging="540"/>
        <w:jc w:val="both"/>
        <w:rPr>
          <w:bCs/>
          <w:color w:val="000000" w:themeColor="text1"/>
          <w:sz w:val="16"/>
          <w:szCs w:val="16"/>
        </w:rPr>
      </w:pPr>
      <w:r w:rsidRPr="00AC045F">
        <w:rPr>
          <w:noProof/>
          <w:sz w:val="16"/>
          <w:szCs w:val="16"/>
        </w:rPr>
        <w:t>Vietnam Ministry of Natural Resources and Environment. (2021b). Status report of the national environment 2019.</w:t>
      </w:r>
    </w:p>
    <w:p w14:paraId="4AD35412" w14:textId="77777777" w:rsidR="003045D6" w:rsidRPr="00AC045F" w:rsidRDefault="003045D6" w:rsidP="003045D6">
      <w:pPr>
        <w:pStyle w:val="Default"/>
        <w:numPr>
          <w:ilvl w:val="0"/>
          <w:numId w:val="18"/>
        </w:numPr>
        <w:ind w:left="567" w:hanging="567"/>
        <w:jc w:val="both"/>
        <w:rPr>
          <w:bCs/>
          <w:color w:val="000000" w:themeColor="text1"/>
          <w:sz w:val="16"/>
          <w:szCs w:val="16"/>
        </w:rPr>
      </w:pPr>
      <w:r w:rsidRPr="00AC045F">
        <w:rPr>
          <w:noProof/>
          <w:sz w:val="16"/>
          <w:szCs w:val="16"/>
        </w:rPr>
        <w:t xml:space="preserve">Vietnam National Assembly. (2020). </w:t>
      </w:r>
      <w:r w:rsidRPr="00AC045F">
        <w:rPr>
          <w:iCs/>
          <w:noProof/>
          <w:sz w:val="16"/>
          <w:szCs w:val="16"/>
        </w:rPr>
        <w:t>Law on Environmental Protection (No. 72/2020/QH14).</w:t>
      </w:r>
    </w:p>
    <w:p w14:paraId="284D1B3F"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Government of Vietnam. (2018). </w:t>
      </w:r>
      <w:r w:rsidRPr="00AC045F">
        <w:rPr>
          <w:rFonts w:ascii="Times New Roman" w:hAnsi="Times New Roman" w:cs="Times New Roman"/>
          <w:iCs/>
          <w:noProof/>
          <w:sz w:val="16"/>
          <w:szCs w:val="16"/>
        </w:rPr>
        <w:t>National strategy on integrated solid waste management to 2025, vision to 2040. Decision No. 491/QD-TTg.</w:t>
      </w:r>
    </w:p>
    <w:p w14:paraId="311B0F29"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lang w:val="vi-VN"/>
        </w:rPr>
        <w:t>Vietnam Ministry of Natural Resources and Environment.</w:t>
      </w:r>
      <w:r w:rsidRPr="00AC045F">
        <w:rPr>
          <w:rFonts w:ascii="Times New Roman" w:hAnsi="Times New Roman" w:cs="Times New Roman"/>
          <w:noProof/>
          <w:sz w:val="16"/>
          <w:szCs w:val="16"/>
        </w:rPr>
        <w:t xml:space="preserve"> (2015). </w:t>
      </w:r>
      <w:r w:rsidRPr="00AC045F">
        <w:rPr>
          <w:rFonts w:ascii="Times New Roman" w:hAnsi="Times New Roman" w:cs="Times New Roman"/>
          <w:iCs/>
          <w:noProof/>
          <w:sz w:val="16"/>
          <w:szCs w:val="16"/>
        </w:rPr>
        <w:t>Circular No. 36/2015/TT-BTNMT on Hazardous Waste Management.</w:t>
      </w:r>
      <w:r w:rsidRPr="00AC045F">
        <w:rPr>
          <w:rFonts w:ascii="Times New Roman" w:hAnsi="Times New Roman" w:cs="Times New Roman"/>
          <w:noProof/>
          <w:sz w:val="16"/>
          <w:szCs w:val="16"/>
        </w:rPr>
        <w:t xml:space="preserve">  Retrieved from </w:t>
      </w:r>
      <w:hyperlink r:id="rId16" w:history="1">
        <w:r w:rsidRPr="00AC045F">
          <w:rPr>
            <w:rStyle w:val="Hyperlink"/>
            <w:rFonts w:ascii="Times New Roman" w:hAnsi="Times New Roman" w:cs="Times New Roman"/>
            <w:noProof/>
            <w:sz w:val="16"/>
            <w:szCs w:val="16"/>
          </w:rPr>
          <w:t>https://vupc.monre.gov.vn/Data/files/36-2015-tt-btnmt.PDF</w:t>
        </w:r>
      </w:hyperlink>
    </w:p>
    <w:p w14:paraId="76217879"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Government of Vietnam. (2012). </w:t>
      </w:r>
      <w:r w:rsidRPr="00AC045F">
        <w:rPr>
          <w:rFonts w:ascii="Times New Roman" w:hAnsi="Times New Roman" w:cs="Times New Roman"/>
          <w:iCs/>
          <w:noProof/>
          <w:sz w:val="16"/>
          <w:szCs w:val="16"/>
        </w:rPr>
        <w:t xml:space="preserve">Decision No. 491/QD-TTg on the </w:t>
      </w:r>
      <w:r w:rsidRPr="00AC045F">
        <w:rPr>
          <w:rFonts w:ascii="Times New Roman" w:hAnsi="Times New Roman" w:cs="Times New Roman"/>
          <w:iCs/>
          <w:noProof/>
          <w:sz w:val="16"/>
          <w:szCs w:val="16"/>
          <w:lang w:val="vi-VN"/>
        </w:rPr>
        <w:t>n</w:t>
      </w:r>
      <w:r w:rsidRPr="00AC045F">
        <w:rPr>
          <w:rFonts w:ascii="Times New Roman" w:hAnsi="Times New Roman" w:cs="Times New Roman"/>
          <w:iCs/>
          <w:noProof/>
          <w:sz w:val="16"/>
          <w:szCs w:val="16"/>
        </w:rPr>
        <w:t xml:space="preserve">ational </w:t>
      </w:r>
      <w:r w:rsidRPr="00AC045F">
        <w:rPr>
          <w:rFonts w:ascii="Times New Roman" w:hAnsi="Times New Roman" w:cs="Times New Roman"/>
          <w:iCs/>
          <w:noProof/>
          <w:sz w:val="16"/>
          <w:szCs w:val="16"/>
          <w:lang w:val="vi-VN"/>
        </w:rPr>
        <w:t>g</w:t>
      </w:r>
      <w:r w:rsidRPr="00AC045F">
        <w:rPr>
          <w:rFonts w:ascii="Times New Roman" w:hAnsi="Times New Roman" w:cs="Times New Roman"/>
          <w:iCs/>
          <w:noProof/>
          <w:sz w:val="16"/>
          <w:szCs w:val="16"/>
        </w:rPr>
        <w:t xml:space="preserve">reen </w:t>
      </w:r>
      <w:r w:rsidRPr="00AC045F">
        <w:rPr>
          <w:rFonts w:ascii="Times New Roman" w:hAnsi="Times New Roman" w:cs="Times New Roman"/>
          <w:iCs/>
          <w:noProof/>
          <w:sz w:val="16"/>
          <w:szCs w:val="16"/>
          <w:lang w:val="vi-VN"/>
        </w:rPr>
        <w:t>g</w:t>
      </w:r>
      <w:r w:rsidRPr="00AC045F">
        <w:rPr>
          <w:rFonts w:ascii="Times New Roman" w:hAnsi="Times New Roman" w:cs="Times New Roman"/>
          <w:iCs/>
          <w:noProof/>
          <w:sz w:val="16"/>
          <w:szCs w:val="16"/>
        </w:rPr>
        <w:t xml:space="preserve">rowth </w:t>
      </w:r>
      <w:r w:rsidRPr="00AC045F">
        <w:rPr>
          <w:rFonts w:ascii="Times New Roman" w:hAnsi="Times New Roman" w:cs="Times New Roman"/>
          <w:iCs/>
          <w:noProof/>
          <w:sz w:val="16"/>
          <w:szCs w:val="16"/>
          <w:lang w:val="vi-VN"/>
        </w:rPr>
        <w:t>s</w:t>
      </w:r>
      <w:r w:rsidRPr="00AC045F">
        <w:rPr>
          <w:rFonts w:ascii="Times New Roman" w:hAnsi="Times New Roman" w:cs="Times New Roman"/>
          <w:iCs/>
          <w:noProof/>
          <w:sz w:val="16"/>
          <w:szCs w:val="16"/>
        </w:rPr>
        <w:t xml:space="preserve">trategy. </w:t>
      </w:r>
      <w:r w:rsidRPr="00AC045F">
        <w:rPr>
          <w:rFonts w:ascii="Times New Roman" w:hAnsi="Times New Roman" w:cs="Times New Roman"/>
          <w:noProof/>
          <w:sz w:val="16"/>
          <w:szCs w:val="16"/>
        </w:rPr>
        <w:t xml:space="preserve"> Retrieved from </w:t>
      </w:r>
      <w:hyperlink r:id="rId17" w:history="1">
        <w:r w:rsidRPr="00AC045F">
          <w:rPr>
            <w:rStyle w:val="Hyperlink"/>
            <w:rFonts w:ascii="Times New Roman" w:hAnsi="Times New Roman" w:cs="Times New Roman"/>
            <w:noProof/>
            <w:sz w:val="16"/>
            <w:szCs w:val="16"/>
          </w:rPr>
          <w:t>https://datafiles.chinhphu.vn/cpp/files/vbpq/2018/05/491.signed.pdf</w:t>
        </w:r>
      </w:hyperlink>
    </w:p>
    <w:p w14:paraId="7D17BF53"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T</w:t>
      </w:r>
      <w:r w:rsidRPr="00AC045F">
        <w:rPr>
          <w:rFonts w:ascii="Times New Roman" w:hAnsi="Times New Roman" w:cs="Times New Roman"/>
          <w:noProof/>
          <w:sz w:val="16"/>
          <w:szCs w:val="16"/>
          <w:lang w:val="vi-VN"/>
        </w:rPr>
        <w:t>a</w:t>
      </w:r>
      <w:r w:rsidRPr="00AC045F">
        <w:rPr>
          <w:rFonts w:ascii="Times New Roman" w:hAnsi="Times New Roman" w:cs="Times New Roman"/>
          <w:noProof/>
          <w:sz w:val="16"/>
          <w:szCs w:val="16"/>
        </w:rPr>
        <w:t>, T. T. T. (2020). Một số bất cập của pháp luật bảo vệ môi trường về xử lý nước thải</w:t>
      </w:r>
      <w:r w:rsidRPr="00AC045F">
        <w:rPr>
          <w:rFonts w:ascii="Times New Roman" w:hAnsi="Times New Roman" w:cs="Times New Roman"/>
          <w:noProof/>
          <w:sz w:val="16"/>
          <w:szCs w:val="16"/>
          <w:lang w:val="vi-VN"/>
        </w:rPr>
        <w:t xml:space="preserve"> (in Vietnamese)</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Tạp chí nghiên cứu lập pháp</w:t>
      </w:r>
      <w:r w:rsidRPr="00AC045F">
        <w:rPr>
          <w:rFonts w:ascii="Times New Roman" w:hAnsi="Times New Roman" w:cs="Times New Roman"/>
          <w:noProof/>
          <w:sz w:val="16"/>
          <w:szCs w:val="16"/>
        </w:rPr>
        <w:t xml:space="preserve">. </w:t>
      </w:r>
      <w:hyperlink r:id="rId18" w:history="1">
        <w:r w:rsidRPr="00AC045F">
          <w:rPr>
            <w:rStyle w:val="Hyperlink"/>
            <w:rFonts w:ascii="Times New Roman" w:hAnsi="Times New Roman" w:cs="Times New Roman"/>
            <w:noProof/>
            <w:sz w:val="16"/>
            <w:szCs w:val="16"/>
          </w:rPr>
          <w:t>https://lapphap.vn/Pages/tintuc/tinchitiet.aspx?tintucid=210445</w:t>
        </w:r>
      </w:hyperlink>
    </w:p>
    <w:p w14:paraId="1313DFA5" w14:textId="77777777" w:rsidR="003045D6" w:rsidRPr="00AC045F" w:rsidRDefault="003045D6" w:rsidP="003045D6">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Chua, J., Pen, K., Poi, J., Ooi, K. M., &amp; Yee, K.-F. (2023). Upcycling of biomass waste from durian industry for green and sustainable applications: An analysis review in the Malaysia context. </w:t>
      </w:r>
      <w:r w:rsidRPr="00AC045F">
        <w:rPr>
          <w:rFonts w:ascii="Times New Roman" w:hAnsi="Times New Roman" w:cs="Times New Roman"/>
          <w:i/>
          <w:noProof/>
          <w:sz w:val="16"/>
          <w:szCs w:val="16"/>
        </w:rPr>
        <w:t>Energy Nexus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10</w:t>
      </w:r>
      <w:r w:rsidRPr="00AC045F">
        <w:rPr>
          <w:rFonts w:ascii="Times New Roman" w:hAnsi="Times New Roman" w:cs="Times New Roman"/>
          <w:noProof/>
          <w:sz w:val="16"/>
          <w:szCs w:val="16"/>
        </w:rPr>
        <w:t xml:space="preserve">, 100203. </w:t>
      </w:r>
      <w:hyperlink r:id="rId19" w:history="1">
        <w:r w:rsidRPr="00AC045F">
          <w:rPr>
            <w:rStyle w:val="Hyperlink"/>
            <w:rFonts w:ascii="Times New Roman" w:hAnsi="Times New Roman" w:cs="Times New Roman"/>
            <w:noProof/>
            <w:sz w:val="16"/>
            <w:szCs w:val="16"/>
          </w:rPr>
          <w:t>https://doi.org/10.1016/j.nexus.2023.100203</w:t>
        </w:r>
      </w:hyperlink>
    </w:p>
    <w:p w14:paraId="7C778698"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Thonglem, S., &amp; Intawin, P. (2020). Characterization of biochar derived from durian shells by pyrolysis process. </w:t>
      </w:r>
      <w:r w:rsidRPr="00AC045F">
        <w:rPr>
          <w:rFonts w:ascii="Times New Roman" w:hAnsi="Times New Roman" w:cs="Times New Roman"/>
          <w:i/>
          <w:noProof/>
          <w:sz w:val="16"/>
          <w:szCs w:val="16"/>
        </w:rPr>
        <w:t>Research on Modern science and Utilizing Technological Innovation Journal (RMUTI Journal)</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13</w:t>
      </w:r>
      <w:r w:rsidRPr="00AC045F">
        <w:rPr>
          <w:rFonts w:ascii="Times New Roman" w:hAnsi="Times New Roman" w:cs="Times New Roman"/>
          <w:noProof/>
          <w:sz w:val="16"/>
          <w:szCs w:val="16"/>
        </w:rPr>
        <w:t xml:space="preserve">(3), 44-56. </w:t>
      </w:r>
      <w:hyperlink r:id="rId20" w:history="1">
        <w:r w:rsidRPr="00AC045F">
          <w:rPr>
            <w:rStyle w:val="Hyperlink"/>
            <w:rFonts w:ascii="Times New Roman" w:hAnsi="Times New Roman" w:cs="Times New Roman"/>
            <w:noProof/>
            <w:sz w:val="16"/>
            <w:szCs w:val="16"/>
          </w:rPr>
          <w:t>https://ph01.tci-thaijo.org/index.php/rmutijo/article/view/240196/165404</w:t>
        </w:r>
      </w:hyperlink>
    </w:p>
    <w:p w14:paraId="10736444"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Al-Rumaihi, A., Shahbaz, M., McKay, G., Mackey, H., &amp; Al-Ansari, T. (2022). A review of pyrolysis technologies and feedstock: A blending approach for plastic and biomass towards optimum biochar yield. </w:t>
      </w:r>
      <w:r w:rsidRPr="00AC045F">
        <w:rPr>
          <w:rFonts w:ascii="Times New Roman" w:hAnsi="Times New Roman" w:cs="Times New Roman"/>
          <w:i/>
          <w:noProof/>
          <w:sz w:val="16"/>
          <w:szCs w:val="16"/>
        </w:rPr>
        <w:t>Renewable and Sustainable Energy Reviews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167</w:t>
      </w:r>
      <w:r w:rsidRPr="00AC045F">
        <w:rPr>
          <w:rFonts w:ascii="Times New Roman" w:hAnsi="Times New Roman" w:cs="Times New Roman"/>
          <w:noProof/>
          <w:sz w:val="16"/>
          <w:szCs w:val="16"/>
        </w:rPr>
        <w:t xml:space="preserve">, 112715. </w:t>
      </w:r>
      <w:hyperlink r:id="rId21" w:history="1">
        <w:r w:rsidRPr="00AC045F">
          <w:rPr>
            <w:rStyle w:val="Hyperlink"/>
            <w:rFonts w:ascii="Times New Roman" w:hAnsi="Times New Roman" w:cs="Times New Roman"/>
            <w:noProof/>
            <w:sz w:val="16"/>
            <w:szCs w:val="16"/>
          </w:rPr>
          <w:t>https://doi.org/https://doi.org/10.1016/j.rser.2022.112715</w:t>
        </w:r>
      </w:hyperlink>
    </w:p>
    <w:p w14:paraId="35DA3FAC"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Bridgwater, T. (2018). Challenges and opportunities in fast pyrolysis of biomass: part I. </w:t>
      </w:r>
      <w:r w:rsidRPr="00AC045F">
        <w:rPr>
          <w:rFonts w:ascii="Times New Roman" w:hAnsi="Times New Roman" w:cs="Times New Roman"/>
          <w:i/>
          <w:noProof/>
          <w:sz w:val="16"/>
          <w:szCs w:val="16"/>
        </w:rPr>
        <w:t>Johnson Matthey Technology Review</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62</w:t>
      </w:r>
      <w:r w:rsidRPr="00AC045F">
        <w:rPr>
          <w:rFonts w:ascii="Times New Roman" w:hAnsi="Times New Roman" w:cs="Times New Roman"/>
          <w:noProof/>
          <w:sz w:val="16"/>
          <w:szCs w:val="16"/>
        </w:rPr>
        <w:t xml:space="preserve">, 118-130. </w:t>
      </w:r>
      <w:hyperlink r:id="rId22" w:history="1">
        <w:r w:rsidRPr="00AC045F">
          <w:rPr>
            <w:rStyle w:val="Hyperlink"/>
            <w:rFonts w:ascii="Times New Roman" w:hAnsi="Times New Roman" w:cs="Times New Roman"/>
            <w:noProof/>
            <w:sz w:val="16"/>
            <w:szCs w:val="16"/>
          </w:rPr>
          <w:t>https://doi.org/10.1595/205651318X696693</w:t>
        </w:r>
      </w:hyperlink>
    </w:p>
    <w:p w14:paraId="10C98174"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lastRenderedPageBreak/>
        <w:t xml:space="preserve">Mahathaninwong, N., Wandee, S., Totwaree, N., &amp; Romyen, P. (2022). Aerobic composting and vermicomposting of durian shell and citrus peel wastes. </w:t>
      </w:r>
      <w:r w:rsidRPr="00AC045F">
        <w:rPr>
          <w:rFonts w:ascii="Times New Roman" w:hAnsi="Times New Roman" w:cs="Times New Roman"/>
          <w:i/>
          <w:noProof/>
          <w:sz w:val="16"/>
          <w:szCs w:val="16"/>
        </w:rPr>
        <w:t>BioResources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17</w:t>
      </w:r>
      <w:r w:rsidRPr="00AC045F">
        <w:rPr>
          <w:rFonts w:ascii="Times New Roman" w:hAnsi="Times New Roman" w:cs="Times New Roman"/>
          <w:noProof/>
          <w:sz w:val="16"/>
          <w:szCs w:val="16"/>
        </w:rPr>
        <w:t>(1), 1144.</w:t>
      </w:r>
    </w:p>
    <w:p w14:paraId="1D77FC0F"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Asghar, W., Craven, K. D., Kataoka, R., Mahmood, A., Asghar, N., Raza, T., &amp; Iftikhar, F. (2024). The application of </w:t>
      </w:r>
      <w:r w:rsidRPr="00AC045F">
        <w:rPr>
          <w:rFonts w:ascii="Times New Roman" w:hAnsi="Times New Roman" w:cs="Times New Roman"/>
          <w:i/>
          <w:noProof/>
          <w:sz w:val="16"/>
          <w:szCs w:val="16"/>
        </w:rPr>
        <w:t>Trichoderma</w:t>
      </w:r>
      <w:r w:rsidRPr="00AC045F">
        <w:rPr>
          <w:rFonts w:ascii="Times New Roman" w:hAnsi="Times New Roman" w:cs="Times New Roman"/>
          <w:noProof/>
          <w:sz w:val="16"/>
          <w:szCs w:val="16"/>
        </w:rPr>
        <w:t xml:space="preserve"> spp., an old but new useful fungus, in sustainable soil health intensification: A comprehensive strategy for addressing challenges. </w:t>
      </w:r>
      <w:r w:rsidRPr="00AC045F">
        <w:rPr>
          <w:rFonts w:ascii="Times New Roman" w:hAnsi="Times New Roman" w:cs="Times New Roman"/>
          <w:i/>
          <w:noProof/>
          <w:sz w:val="16"/>
          <w:szCs w:val="16"/>
        </w:rPr>
        <w:t>Plant Stress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12</w:t>
      </w:r>
      <w:r w:rsidRPr="00AC045F">
        <w:rPr>
          <w:rFonts w:ascii="Times New Roman" w:hAnsi="Times New Roman" w:cs="Times New Roman"/>
          <w:noProof/>
          <w:sz w:val="16"/>
          <w:szCs w:val="16"/>
        </w:rPr>
        <w:t xml:space="preserve">, 100455. </w:t>
      </w:r>
      <w:hyperlink r:id="rId23" w:history="1">
        <w:r w:rsidRPr="00AC045F">
          <w:rPr>
            <w:rStyle w:val="Hyperlink"/>
            <w:rFonts w:ascii="Times New Roman" w:hAnsi="Times New Roman" w:cs="Times New Roman"/>
            <w:noProof/>
            <w:sz w:val="16"/>
            <w:szCs w:val="16"/>
          </w:rPr>
          <w:t>https://doi.org/https://doi.org/10.1016/j.stress.2024.100455</w:t>
        </w:r>
      </w:hyperlink>
    </w:p>
    <w:p w14:paraId="1F0D98C7" w14:textId="77777777" w:rsidR="003045D6" w:rsidRPr="00AC045F" w:rsidRDefault="003045D6" w:rsidP="003045D6">
      <w:pPr>
        <w:pStyle w:val="ListParagraph"/>
        <w:numPr>
          <w:ilvl w:val="0"/>
          <w:numId w:val="18"/>
        </w:numPr>
        <w:spacing w:after="0" w:line="240" w:lineRule="auto"/>
        <w:ind w:left="540" w:hanging="540"/>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Strakowska, J., Błaszczyk, L., &amp; Chełkowski, J. (2014). The significance of cellulolytic enzymes produced by </w:t>
      </w:r>
      <w:r w:rsidRPr="00AC045F">
        <w:rPr>
          <w:rFonts w:ascii="Times New Roman" w:hAnsi="Times New Roman" w:cs="Times New Roman"/>
          <w:i/>
          <w:iCs/>
          <w:noProof/>
          <w:sz w:val="16"/>
          <w:szCs w:val="16"/>
        </w:rPr>
        <w:t>Trichoderma</w:t>
      </w:r>
      <w:r w:rsidRPr="00AC045F">
        <w:rPr>
          <w:rFonts w:ascii="Times New Roman" w:hAnsi="Times New Roman" w:cs="Times New Roman"/>
          <w:noProof/>
          <w:sz w:val="16"/>
          <w:szCs w:val="16"/>
        </w:rPr>
        <w:t xml:space="preserve"> in opportunistic lifestyle of this fungus. </w:t>
      </w:r>
      <w:r w:rsidRPr="00AC045F">
        <w:rPr>
          <w:rFonts w:ascii="Times New Roman" w:hAnsi="Times New Roman" w:cs="Times New Roman"/>
          <w:i/>
          <w:noProof/>
          <w:sz w:val="16"/>
          <w:szCs w:val="16"/>
        </w:rPr>
        <w:t>Journal of basic microbiology</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54</w:t>
      </w:r>
      <w:r w:rsidRPr="00AC045F">
        <w:rPr>
          <w:rFonts w:ascii="Times New Roman" w:hAnsi="Times New Roman" w:cs="Times New Roman"/>
          <w:noProof/>
          <w:sz w:val="16"/>
          <w:szCs w:val="16"/>
        </w:rPr>
        <w:t xml:space="preserve">. </w:t>
      </w:r>
      <w:hyperlink r:id="rId24" w:history="1">
        <w:r w:rsidRPr="00AC045F">
          <w:rPr>
            <w:rStyle w:val="Hyperlink"/>
            <w:rFonts w:ascii="Times New Roman" w:hAnsi="Times New Roman" w:cs="Times New Roman"/>
            <w:noProof/>
            <w:sz w:val="16"/>
            <w:szCs w:val="16"/>
          </w:rPr>
          <w:t>https://doi.org/10.1002/jobm.201300821</w:t>
        </w:r>
      </w:hyperlink>
    </w:p>
    <w:p w14:paraId="67AACF26" w14:textId="77777777" w:rsidR="003045D6" w:rsidRPr="00AC045F" w:rsidRDefault="003045D6" w:rsidP="003045D6">
      <w:pPr>
        <w:pStyle w:val="ListParagraph"/>
        <w:numPr>
          <w:ilvl w:val="0"/>
          <w:numId w:val="18"/>
        </w:numPr>
        <w:autoSpaceDE w:val="0"/>
        <w:autoSpaceDN w:val="0"/>
        <w:adjustRightInd w:val="0"/>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Dave, S., &amp; Das, J. (2021). Chapter 13 - Role of microbial enzymes for biodegradation and bioremediation of environmental pollutants: challenges and future prospects. In G. Saxena, V. Kumar, &amp; M. P. Shah (Eds.), </w:t>
      </w:r>
      <w:r w:rsidRPr="00AC045F">
        <w:rPr>
          <w:rFonts w:ascii="Times New Roman" w:hAnsi="Times New Roman" w:cs="Times New Roman"/>
          <w:i/>
          <w:noProof/>
          <w:sz w:val="16"/>
          <w:szCs w:val="16"/>
        </w:rPr>
        <w:t>Bioremediation for Environmental Sustainability</w:t>
      </w:r>
      <w:r w:rsidRPr="00AC045F">
        <w:rPr>
          <w:rFonts w:ascii="Times New Roman" w:hAnsi="Times New Roman" w:cs="Times New Roman"/>
          <w:i/>
          <w:noProof/>
          <w:sz w:val="16"/>
          <w:szCs w:val="16"/>
          <w:lang w:val="vi-VN"/>
        </w:rPr>
        <w:t>,</w:t>
      </w:r>
      <w:r w:rsidRPr="00AC045F">
        <w:rPr>
          <w:rFonts w:ascii="Times New Roman" w:hAnsi="Times New Roman" w:cs="Times New Roman"/>
          <w:noProof/>
          <w:sz w:val="16"/>
          <w:szCs w:val="16"/>
        </w:rPr>
        <w:t xml:space="preserve"> 325-346. Elsevier. </w:t>
      </w:r>
      <w:hyperlink r:id="rId25" w:history="1">
        <w:r w:rsidRPr="00AC045F">
          <w:rPr>
            <w:rStyle w:val="Hyperlink"/>
            <w:rFonts w:ascii="Times New Roman" w:hAnsi="Times New Roman" w:cs="Times New Roman"/>
            <w:noProof/>
            <w:sz w:val="16"/>
            <w:szCs w:val="16"/>
          </w:rPr>
          <w:t>https://doi.org/https://doi.org/10.1016/B978-0-12-820524-2.00013-4</w:t>
        </w:r>
      </w:hyperlink>
    </w:p>
    <w:p w14:paraId="1ED9E23D"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Karigar, C. S., &amp; Rao, S. S. (2011). Role of microbial enzymes in the bioremediation of pollutants: a review. </w:t>
      </w:r>
      <w:r w:rsidRPr="00AC045F">
        <w:rPr>
          <w:rFonts w:ascii="Times New Roman" w:hAnsi="Times New Roman" w:cs="Times New Roman"/>
          <w:i/>
          <w:noProof/>
          <w:sz w:val="16"/>
          <w:szCs w:val="16"/>
        </w:rPr>
        <w:t>Enzyme Res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2011</w:t>
      </w:r>
      <w:r w:rsidRPr="00AC045F">
        <w:rPr>
          <w:rFonts w:ascii="Times New Roman" w:hAnsi="Times New Roman" w:cs="Times New Roman"/>
          <w:noProof/>
          <w:sz w:val="16"/>
          <w:szCs w:val="16"/>
        </w:rPr>
        <w:t xml:space="preserve">, 805187. </w:t>
      </w:r>
      <w:hyperlink r:id="rId26" w:history="1">
        <w:r w:rsidRPr="00AC045F">
          <w:rPr>
            <w:rStyle w:val="Hyperlink"/>
            <w:rFonts w:ascii="Times New Roman" w:hAnsi="Times New Roman" w:cs="Times New Roman"/>
            <w:noProof/>
            <w:sz w:val="16"/>
            <w:szCs w:val="16"/>
          </w:rPr>
          <w:t>https://doi.org/10.4061/2011/805187</w:t>
        </w:r>
      </w:hyperlink>
    </w:p>
    <w:p w14:paraId="27C8F42F"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color w:val="000000" w:themeColor="text1"/>
          <w:sz w:val="16"/>
          <w:szCs w:val="16"/>
        </w:rPr>
        <w:t xml:space="preserve">Panyawoot, N., So, S., Cherdthong, A., &amp; Chanjula, P. (2022). Effect of feeding discarded durian peel ensiled with </w:t>
      </w:r>
      <w:r w:rsidRPr="00AC045F">
        <w:rPr>
          <w:rFonts w:ascii="Times New Roman" w:hAnsi="Times New Roman" w:cs="Times New Roman"/>
          <w:i/>
          <w:noProof/>
          <w:color w:val="000000" w:themeColor="text1"/>
          <w:sz w:val="16"/>
          <w:szCs w:val="16"/>
        </w:rPr>
        <w:t>Lactobacillus</w:t>
      </w:r>
      <w:r w:rsidRPr="00AC045F">
        <w:rPr>
          <w:rFonts w:ascii="Times New Roman" w:hAnsi="Times New Roman" w:cs="Times New Roman"/>
          <w:noProof/>
          <w:color w:val="000000" w:themeColor="text1"/>
          <w:sz w:val="16"/>
          <w:szCs w:val="16"/>
        </w:rPr>
        <w:t xml:space="preserve"> </w:t>
      </w:r>
      <w:r w:rsidRPr="00AC045F">
        <w:rPr>
          <w:rFonts w:ascii="Times New Roman" w:hAnsi="Times New Roman" w:cs="Times New Roman"/>
          <w:i/>
          <w:noProof/>
          <w:color w:val="000000" w:themeColor="text1"/>
          <w:sz w:val="16"/>
          <w:szCs w:val="16"/>
        </w:rPr>
        <w:t>casei</w:t>
      </w:r>
      <w:r w:rsidRPr="00AC045F">
        <w:rPr>
          <w:rFonts w:ascii="Times New Roman" w:hAnsi="Times New Roman" w:cs="Times New Roman"/>
          <w:noProof/>
          <w:color w:val="000000" w:themeColor="text1"/>
          <w:sz w:val="16"/>
          <w:szCs w:val="16"/>
        </w:rPr>
        <w:t xml:space="preserve"> TH14 and additives in total mixed rations on digestibility, ruminal fermentation, methane mitigation, and nitrogen balance of Thai native–anglo-nubian goats effect of feeding discarded durian peel ensiled with </w:t>
      </w:r>
      <w:r w:rsidRPr="00AC045F">
        <w:rPr>
          <w:rFonts w:ascii="Times New Roman" w:hAnsi="Times New Roman" w:cs="Times New Roman"/>
          <w:i/>
          <w:noProof/>
          <w:color w:val="000000" w:themeColor="text1"/>
          <w:sz w:val="16"/>
          <w:szCs w:val="16"/>
        </w:rPr>
        <w:t>Lactobacillus</w:t>
      </w:r>
      <w:r w:rsidRPr="00AC045F">
        <w:rPr>
          <w:rFonts w:ascii="Times New Roman" w:hAnsi="Times New Roman" w:cs="Times New Roman"/>
          <w:noProof/>
          <w:color w:val="000000" w:themeColor="text1"/>
          <w:sz w:val="16"/>
          <w:szCs w:val="16"/>
        </w:rPr>
        <w:t xml:space="preserve"> </w:t>
      </w:r>
      <w:r w:rsidRPr="00AC045F">
        <w:rPr>
          <w:rFonts w:ascii="Times New Roman" w:hAnsi="Times New Roman" w:cs="Times New Roman"/>
          <w:i/>
          <w:noProof/>
          <w:color w:val="000000" w:themeColor="text1"/>
          <w:sz w:val="16"/>
          <w:szCs w:val="16"/>
        </w:rPr>
        <w:t>casei</w:t>
      </w:r>
      <w:r w:rsidRPr="00AC045F">
        <w:rPr>
          <w:rFonts w:ascii="Times New Roman" w:hAnsi="Times New Roman" w:cs="Times New Roman"/>
          <w:noProof/>
          <w:color w:val="000000" w:themeColor="text1"/>
          <w:sz w:val="16"/>
          <w:szCs w:val="16"/>
        </w:rPr>
        <w:t xml:space="preserve"> TH14 and additives in total mixed rations on digestibility, ruminal fermentation, methane mitigation, and nitrogen balance of thai native–anglo-nubian goats. </w:t>
      </w:r>
      <w:r w:rsidRPr="00AC045F">
        <w:rPr>
          <w:rFonts w:ascii="Times New Roman" w:hAnsi="Times New Roman" w:cs="Times New Roman"/>
          <w:i/>
          <w:noProof/>
          <w:color w:val="000000" w:themeColor="text1"/>
          <w:sz w:val="16"/>
          <w:szCs w:val="16"/>
        </w:rPr>
        <w:t>Fermentation</w:t>
      </w:r>
      <w:r w:rsidRPr="00AC045F">
        <w:rPr>
          <w:rFonts w:ascii="Times New Roman" w:hAnsi="Times New Roman" w:cs="Times New Roman"/>
          <w:noProof/>
          <w:color w:val="000000" w:themeColor="text1"/>
          <w:sz w:val="16"/>
          <w:szCs w:val="16"/>
        </w:rPr>
        <w:t>,</w:t>
      </w:r>
      <w:r w:rsidRPr="00AC045F">
        <w:rPr>
          <w:rFonts w:ascii="Times New Roman" w:hAnsi="Times New Roman" w:cs="Times New Roman"/>
          <w:i/>
          <w:noProof/>
          <w:color w:val="000000" w:themeColor="text1"/>
          <w:sz w:val="16"/>
          <w:szCs w:val="16"/>
        </w:rPr>
        <w:t xml:space="preserve"> 8</w:t>
      </w:r>
      <w:r w:rsidRPr="00AC045F">
        <w:rPr>
          <w:rFonts w:ascii="Times New Roman" w:hAnsi="Times New Roman" w:cs="Times New Roman"/>
          <w:noProof/>
          <w:color w:val="000000" w:themeColor="text1"/>
          <w:sz w:val="16"/>
          <w:szCs w:val="16"/>
        </w:rPr>
        <w:t xml:space="preserve">(2), 43. </w:t>
      </w:r>
      <w:hyperlink r:id="rId27" w:history="1">
        <w:r w:rsidRPr="00AC045F">
          <w:rPr>
            <w:rStyle w:val="Hyperlink"/>
            <w:rFonts w:ascii="Times New Roman" w:hAnsi="Times New Roman" w:cs="Times New Roman"/>
            <w:noProof/>
            <w:color w:val="000000" w:themeColor="text1"/>
            <w:sz w:val="16"/>
            <w:szCs w:val="16"/>
          </w:rPr>
          <w:t>https://www.mdpi.com/2311-5637/8/2/43</w:t>
        </w:r>
      </w:hyperlink>
      <w:r w:rsidRPr="00AC045F">
        <w:rPr>
          <w:rFonts w:ascii="Times New Roman" w:hAnsi="Times New Roman" w:cs="Times New Roman"/>
          <w:noProof/>
          <w:color w:val="000000" w:themeColor="text1"/>
          <w:sz w:val="16"/>
          <w:szCs w:val="16"/>
          <w:lang w:val="vi-VN"/>
        </w:rPr>
        <w:t>.</w:t>
      </w:r>
    </w:p>
    <w:p w14:paraId="634C877D"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Khaksar, G., Kasemcholathan, S., &amp; Sirikantaramas, S. (2024). Durian (</w:t>
      </w:r>
      <w:r w:rsidRPr="00AC045F">
        <w:rPr>
          <w:rFonts w:ascii="Times New Roman" w:hAnsi="Times New Roman" w:cs="Times New Roman"/>
          <w:i/>
          <w:noProof/>
          <w:sz w:val="16"/>
          <w:szCs w:val="16"/>
        </w:rPr>
        <w:t>Durio zibethinus</w:t>
      </w:r>
      <w:r w:rsidRPr="00AC045F">
        <w:rPr>
          <w:rFonts w:ascii="Times New Roman" w:hAnsi="Times New Roman" w:cs="Times New Roman"/>
          <w:noProof/>
          <w:sz w:val="16"/>
          <w:szCs w:val="16"/>
        </w:rPr>
        <w:t xml:space="preserve"> L.): Nutritional composition, pharmacological implications, value-added products, and omics-based investigations. </w:t>
      </w:r>
      <w:r w:rsidRPr="00AC045F">
        <w:rPr>
          <w:rFonts w:ascii="Times New Roman" w:hAnsi="Times New Roman" w:cs="Times New Roman"/>
          <w:i/>
          <w:noProof/>
          <w:sz w:val="16"/>
          <w:szCs w:val="16"/>
        </w:rPr>
        <w:t>Horticulturae</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10</w:t>
      </w:r>
      <w:r w:rsidRPr="00AC045F">
        <w:rPr>
          <w:rFonts w:ascii="Times New Roman" w:hAnsi="Times New Roman" w:cs="Times New Roman"/>
          <w:noProof/>
          <w:sz w:val="16"/>
          <w:szCs w:val="16"/>
        </w:rPr>
        <w:t xml:space="preserve">, 342. </w:t>
      </w:r>
      <w:hyperlink r:id="rId28" w:history="1">
        <w:r w:rsidRPr="00AC045F">
          <w:rPr>
            <w:rStyle w:val="Hyperlink"/>
            <w:rFonts w:ascii="Times New Roman" w:hAnsi="Times New Roman" w:cs="Times New Roman"/>
            <w:noProof/>
            <w:sz w:val="16"/>
            <w:szCs w:val="16"/>
          </w:rPr>
          <w:t>https://doi.org/10.3390/horticulturae10040342</w:t>
        </w:r>
      </w:hyperlink>
    </w:p>
    <w:p w14:paraId="09F6AD24"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Arlofa, N., Ismiyati, I., Kosasih, M., &amp; Fitriyah, N. (2019). Effectiveness of durian peel extract as a natural anti-bacterial agent. </w:t>
      </w:r>
      <w:r w:rsidRPr="00AC045F">
        <w:rPr>
          <w:rFonts w:ascii="Times New Roman" w:hAnsi="Times New Roman" w:cs="Times New Roman"/>
          <w:i/>
          <w:noProof/>
          <w:sz w:val="16"/>
          <w:szCs w:val="16"/>
        </w:rPr>
        <w:t>Jurnal Rekayasa Kimia &amp; Lingkungan</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14</w:t>
      </w:r>
      <w:r w:rsidRPr="00AC045F">
        <w:rPr>
          <w:rFonts w:ascii="Times New Roman" w:hAnsi="Times New Roman" w:cs="Times New Roman"/>
          <w:noProof/>
          <w:sz w:val="16"/>
          <w:szCs w:val="16"/>
        </w:rPr>
        <w:t xml:space="preserve">, 163-170. </w:t>
      </w:r>
      <w:hyperlink r:id="rId29" w:history="1">
        <w:r w:rsidRPr="00AC045F">
          <w:rPr>
            <w:rStyle w:val="Hyperlink"/>
            <w:rFonts w:ascii="Times New Roman" w:hAnsi="Times New Roman" w:cs="Times New Roman"/>
            <w:noProof/>
            <w:sz w:val="16"/>
            <w:szCs w:val="16"/>
          </w:rPr>
          <w:t>https://doi.org/10.23955/rkl.v14i2.14275</w:t>
        </w:r>
      </w:hyperlink>
    </w:p>
    <w:p w14:paraId="575CF2AD"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Octiara, E., Meliala, C. P., &amp; Sikumbang, L. (2023). Antibacterial activity of durian peel ethanol extract (</w:t>
      </w:r>
      <w:r w:rsidRPr="00AC045F">
        <w:rPr>
          <w:rFonts w:ascii="Times New Roman" w:hAnsi="Times New Roman" w:cs="Times New Roman"/>
          <w:i/>
          <w:noProof/>
          <w:sz w:val="16"/>
          <w:szCs w:val="16"/>
        </w:rPr>
        <w:t>Durio zibethinus</w:t>
      </w:r>
      <w:r w:rsidRPr="00AC045F">
        <w:rPr>
          <w:rFonts w:ascii="Times New Roman" w:hAnsi="Times New Roman" w:cs="Times New Roman"/>
          <w:noProof/>
          <w:sz w:val="16"/>
          <w:szCs w:val="16"/>
        </w:rPr>
        <w:t xml:space="preserve"> Murr.) against </w:t>
      </w:r>
      <w:r w:rsidRPr="00AC045F">
        <w:rPr>
          <w:rFonts w:ascii="Times New Roman" w:hAnsi="Times New Roman" w:cs="Times New Roman"/>
          <w:i/>
          <w:noProof/>
          <w:sz w:val="16"/>
          <w:szCs w:val="16"/>
        </w:rPr>
        <w:t>Streptococcus</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mutans</w:t>
      </w:r>
      <w:r w:rsidRPr="00AC045F">
        <w:rPr>
          <w:rFonts w:ascii="Times New Roman" w:hAnsi="Times New Roman" w:cs="Times New Roman"/>
          <w:noProof/>
          <w:sz w:val="16"/>
          <w:szCs w:val="16"/>
        </w:rPr>
        <w:t xml:space="preserve"> and </w:t>
      </w:r>
      <w:r w:rsidRPr="00AC045F">
        <w:rPr>
          <w:rFonts w:ascii="Times New Roman" w:hAnsi="Times New Roman" w:cs="Times New Roman"/>
          <w:i/>
          <w:noProof/>
          <w:sz w:val="16"/>
          <w:szCs w:val="16"/>
        </w:rPr>
        <w:t>Enterococcus</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faecalis</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Biomedical and Pharmacology Journal</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16</w:t>
      </w:r>
      <w:r w:rsidRPr="00AC045F">
        <w:rPr>
          <w:rFonts w:ascii="Times New Roman" w:hAnsi="Times New Roman" w:cs="Times New Roman"/>
          <w:noProof/>
          <w:sz w:val="16"/>
          <w:szCs w:val="16"/>
        </w:rPr>
        <w:t>(2), 877-883.</w:t>
      </w:r>
    </w:p>
    <w:p w14:paraId="23D6C452"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Pramesti, C., &amp; Alighiri, D. (2023). Formulation of effervescent tablet from extract of durian (</w:t>
      </w:r>
      <w:r w:rsidRPr="00AC045F">
        <w:rPr>
          <w:rFonts w:ascii="Times New Roman" w:hAnsi="Times New Roman" w:cs="Times New Roman"/>
          <w:i/>
          <w:noProof/>
          <w:sz w:val="16"/>
          <w:szCs w:val="16"/>
        </w:rPr>
        <w:t>Durio</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zibethinus</w:t>
      </w:r>
      <w:r w:rsidRPr="00AC045F">
        <w:rPr>
          <w:rFonts w:ascii="Times New Roman" w:hAnsi="Times New Roman" w:cs="Times New Roman"/>
          <w:noProof/>
          <w:sz w:val="16"/>
          <w:szCs w:val="16"/>
        </w:rPr>
        <w:t xml:space="preserve"> Murr.) peels and its antioxidant activity. </w:t>
      </w:r>
      <w:r w:rsidRPr="00AC045F">
        <w:rPr>
          <w:rFonts w:ascii="Times New Roman" w:hAnsi="Times New Roman" w:cs="Times New Roman"/>
          <w:i/>
          <w:noProof/>
          <w:sz w:val="16"/>
          <w:szCs w:val="16"/>
        </w:rPr>
        <w:t>Journal of Science and Technology Research for Pharmacy</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3</w:t>
      </w:r>
      <w:r w:rsidRPr="00AC045F">
        <w:rPr>
          <w:rFonts w:ascii="Times New Roman" w:hAnsi="Times New Roman" w:cs="Times New Roman"/>
          <w:noProof/>
          <w:sz w:val="16"/>
          <w:szCs w:val="16"/>
        </w:rPr>
        <w:t xml:space="preserve">(1), 35-44. </w:t>
      </w:r>
      <w:hyperlink r:id="rId30" w:history="1">
        <w:r w:rsidRPr="00AC045F">
          <w:rPr>
            <w:rStyle w:val="Hyperlink"/>
            <w:rFonts w:ascii="Times New Roman" w:hAnsi="Times New Roman" w:cs="Times New Roman"/>
            <w:noProof/>
            <w:sz w:val="16"/>
            <w:szCs w:val="16"/>
          </w:rPr>
          <w:t>https://doi.org/10.15294/jstrp.v3i1.75595</w:t>
        </w:r>
      </w:hyperlink>
    </w:p>
    <w:p w14:paraId="01363FBB"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Tambun, R., Haryanto, B., Alexander, V., Manurung, D. R., &amp; Ritonga, A. P. (2024). Durian peel (</w:t>
      </w:r>
      <w:r w:rsidRPr="00AC045F">
        <w:rPr>
          <w:rFonts w:ascii="Times New Roman" w:hAnsi="Times New Roman" w:cs="Times New Roman"/>
          <w:i/>
          <w:noProof/>
          <w:sz w:val="16"/>
          <w:szCs w:val="16"/>
        </w:rPr>
        <w:t>Durio</w:t>
      </w:r>
      <w:r w:rsidRPr="00AC045F">
        <w:rPr>
          <w:rFonts w:ascii="Times New Roman" w:hAnsi="Times New Roman" w:cs="Times New Roman"/>
          <w:noProof/>
          <w:sz w:val="16"/>
          <w:szCs w:val="16"/>
        </w:rPr>
        <w:t xml:space="preserve"> </w:t>
      </w:r>
      <w:r w:rsidRPr="00AC045F">
        <w:rPr>
          <w:rFonts w:ascii="Times New Roman" w:hAnsi="Times New Roman" w:cs="Times New Roman"/>
          <w:i/>
          <w:noProof/>
          <w:sz w:val="16"/>
          <w:szCs w:val="16"/>
        </w:rPr>
        <w:t>zibethinus</w:t>
      </w:r>
      <w:r w:rsidRPr="00AC045F">
        <w:rPr>
          <w:rFonts w:ascii="Times New Roman" w:hAnsi="Times New Roman" w:cs="Times New Roman"/>
          <w:noProof/>
          <w:sz w:val="16"/>
          <w:szCs w:val="16"/>
        </w:rPr>
        <w:t xml:space="preserve">) utilization as an adsorbent in the purification of acidified crude glycerol. </w:t>
      </w:r>
      <w:r w:rsidRPr="00AC045F">
        <w:rPr>
          <w:rFonts w:ascii="Times New Roman" w:hAnsi="Times New Roman" w:cs="Times New Roman"/>
          <w:i/>
          <w:noProof/>
          <w:sz w:val="16"/>
          <w:szCs w:val="16"/>
        </w:rPr>
        <w:t>South African Journal of Chemical Engineering</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49</w:t>
      </w:r>
      <w:r w:rsidRPr="00AC045F">
        <w:rPr>
          <w:rFonts w:ascii="Times New Roman" w:hAnsi="Times New Roman" w:cs="Times New Roman"/>
          <w:noProof/>
          <w:sz w:val="16"/>
          <w:szCs w:val="16"/>
        </w:rPr>
        <w:t xml:space="preserve">, 162-169. </w:t>
      </w:r>
      <w:hyperlink r:id="rId31" w:history="1">
        <w:r w:rsidRPr="00AC045F">
          <w:rPr>
            <w:rStyle w:val="Hyperlink"/>
            <w:rFonts w:ascii="Times New Roman" w:hAnsi="Times New Roman" w:cs="Times New Roman"/>
            <w:noProof/>
            <w:sz w:val="16"/>
            <w:szCs w:val="16"/>
          </w:rPr>
          <w:t>https://doi.org/10.1016/j.sajce.2024.05.002</w:t>
        </w:r>
      </w:hyperlink>
    </w:p>
    <w:p w14:paraId="1937966B"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Sumayyah, H. N., Fitri, W. R., Utami, T. S., &amp; Arbianti, R. (2024). Production of bioinsecticide from durian peel waste and Dioscorea hispida tuber extract by ultrasonic-assisted extraction. </w:t>
      </w:r>
      <w:r w:rsidRPr="00AC045F">
        <w:rPr>
          <w:rFonts w:ascii="Times New Roman" w:hAnsi="Times New Roman" w:cs="Times New Roman"/>
          <w:i/>
          <w:noProof/>
          <w:sz w:val="16"/>
          <w:szCs w:val="16"/>
        </w:rPr>
        <w:t>AIP Conference Proceedings</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2710</w:t>
      </w:r>
      <w:r w:rsidRPr="00AC045F">
        <w:rPr>
          <w:rFonts w:ascii="Times New Roman" w:hAnsi="Times New Roman" w:cs="Times New Roman"/>
          <w:noProof/>
          <w:sz w:val="16"/>
          <w:szCs w:val="16"/>
        </w:rPr>
        <w:t xml:space="preserve">(1). </w:t>
      </w:r>
      <w:hyperlink r:id="rId32" w:history="1">
        <w:r w:rsidRPr="00AC045F">
          <w:rPr>
            <w:rStyle w:val="Hyperlink"/>
            <w:rFonts w:ascii="Times New Roman" w:hAnsi="Times New Roman" w:cs="Times New Roman"/>
            <w:noProof/>
            <w:sz w:val="16"/>
            <w:szCs w:val="16"/>
          </w:rPr>
          <w:t>https://doi.org/10.1063/5.0143951</w:t>
        </w:r>
      </w:hyperlink>
    </w:p>
    <w:p w14:paraId="0492442B" w14:textId="77777777" w:rsidR="003045D6" w:rsidRPr="00AC045F" w:rsidRDefault="003045D6" w:rsidP="003045D6">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Steele,</w:t>
      </w:r>
      <w:r w:rsidRPr="00AC045F">
        <w:rPr>
          <w:rFonts w:ascii="Times New Roman" w:hAnsi="Times New Roman" w:cs="Times New Roman"/>
          <w:noProof/>
          <w:sz w:val="16"/>
          <w:szCs w:val="16"/>
          <w:lang w:val="vi-VN"/>
        </w:rPr>
        <w:t xml:space="preserve"> P.,</w:t>
      </w:r>
      <w:r w:rsidRPr="00AC045F">
        <w:rPr>
          <w:rFonts w:ascii="Times New Roman" w:hAnsi="Times New Roman" w:cs="Times New Roman"/>
          <w:noProof/>
          <w:sz w:val="16"/>
          <w:szCs w:val="16"/>
        </w:rPr>
        <w:t xml:space="preserve"> Halimanjaya</w:t>
      </w:r>
      <w:r w:rsidRPr="00AC045F">
        <w:rPr>
          <w:rFonts w:ascii="Times New Roman" w:hAnsi="Times New Roman" w:cs="Times New Roman"/>
          <w:noProof/>
          <w:sz w:val="16"/>
          <w:szCs w:val="16"/>
          <w:lang w:val="vi-VN"/>
        </w:rPr>
        <w:t>, A.,</w:t>
      </w:r>
      <w:r w:rsidRPr="00AC045F">
        <w:rPr>
          <w:rFonts w:ascii="Times New Roman" w:hAnsi="Times New Roman" w:cs="Times New Roman"/>
          <w:noProof/>
          <w:sz w:val="16"/>
          <w:szCs w:val="16"/>
        </w:rPr>
        <w:t xml:space="preserve"> </w:t>
      </w:r>
      <w:r w:rsidRPr="00AC045F">
        <w:rPr>
          <w:rFonts w:ascii="Times New Roman" w:hAnsi="Times New Roman" w:cs="Times New Roman"/>
          <w:noProof/>
          <w:sz w:val="16"/>
          <w:szCs w:val="16"/>
          <w:lang w:val="vi-VN"/>
        </w:rPr>
        <w:t>&amp;</w:t>
      </w:r>
      <w:r w:rsidRPr="00AC045F">
        <w:rPr>
          <w:rFonts w:ascii="Times New Roman" w:hAnsi="Times New Roman" w:cs="Times New Roman"/>
          <w:noProof/>
          <w:sz w:val="16"/>
          <w:szCs w:val="16"/>
        </w:rPr>
        <w:t xml:space="preserve"> Pasaribu</w:t>
      </w:r>
      <w:r w:rsidRPr="00AC045F">
        <w:rPr>
          <w:rFonts w:ascii="Times New Roman" w:hAnsi="Times New Roman" w:cs="Times New Roman"/>
          <w:noProof/>
          <w:sz w:val="16"/>
          <w:szCs w:val="16"/>
          <w:lang w:val="vi-VN"/>
        </w:rPr>
        <w:t>, K.</w:t>
      </w:r>
      <w:r w:rsidRPr="00AC045F">
        <w:rPr>
          <w:rFonts w:ascii="Times New Roman" w:hAnsi="Times New Roman" w:cs="Times New Roman"/>
          <w:noProof/>
          <w:sz w:val="16"/>
          <w:szCs w:val="16"/>
        </w:rPr>
        <w:t xml:space="preserve"> (2021). Investing in sustainable natural capital in ASEAN</w:t>
      </w:r>
      <w:r w:rsidRPr="00AC045F">
        <w:rPr>
          <w:rFonts w:ascii="Times New Roman" w:hAnsi="Times New Roman" w:cs="Times New Roman"/>
          <w:noProof/>
          <w:sz w:val="16"/>
          <w:szCs w:val="16"/>
          <w:lang w:val="vi-VN"/>
        </w:rPr>
        <w:t xml:space="preserve"> - Status report.</w:t>
      </w:r>
    </w:p>
    <w:p w14:paraId="142A2908" w14:textId="5BE39685" w:rsidR="003C7F3D" w:rsidRPr="00AC045F" w:rsidRDefault="003045D6" w:rsidP="00A730AA">
      <w:pPr>
        <w:pStyle w:val="ListParagraph"/>
        <w:numPr>
          <w:ilvl w:val="0"/>
          <w:numId w:val="18"/>
        </w:numPr>
        <w:spacing w:after="0" w:line="240" w:lineRule="auto"/>
        <w:ind w:left="567" w:hanging="567"/>
        <w:jc w:val="both"/>
        <w:rPr>
          <w:rFonts w:ascii="Times New Roman" w:hAnsi="Times New Roman" w:cs="Times New Roman"/>
          <w:bCs/>
          <w:color w:val="000000" w:themeColor="text1"/>
          <w:sz w:val="16"/>
          <w:szCs w:val="16"/>
        </w:rPr>
      </w:pPr>
      <w:r w:rsidRPr="00AC045F">
        <w:rPr>
          <w:rFonts w:ascii="Times New Roman" w:hAnsi="Times New Roman" w:cs="Times New Roman"/>
          <w:noProof/>
          <w:sz w:val="16"/>
          <w:szCs w:val="16"/>
        </w:rPr>
        <w:t xml:space="preserve">Shen, J., Zhao, C., Liu, Y., Zhang, R., Liu, G., &amp; Chen, C. (2019). Biogas production from anaerobic co-digestion of durian shell with chicken, dairy, and pig manures. </w:t>
      </w:r>
      <w:r w:rsidRPr="00AC045F">
        <w:rPr>
          <w:rFonts w:ascii="Times New Roman" w:hAnsi="Times New Roman" w:cs="Times New Roman"/>
          <w:i/>
          <w:noProof/>
          <w:sz w:val="16"/>
          <w:szCs w:val="16"/>
        </w:rPr>
        <w:t>Energy Conversion and Management</w:t>
      </w:r>
      <w:r w:rsidRPr="00AC045F">
        <w:rPr>
          <w:rFonts w:ascii="Times New Roman" w:hAnsi="Times New Roman" w:cs="Times New Roman"/>
          <w:noProof/>
          <w:sz w:val="16"/>
          <w:szCs w:val="16"/>
        </w:rPr>
        <w:t>,</w:t>
      </w:r>
      <w:r w:rsidRPr="00AC045F">
        <w:rPr>
          <w:rFonts w:ascii="Times New Roman" w:hAnsi="Times New Roman" w:cs="Times New Roman"/>
          <w:i/>
          <w:noProof/>
          <w:sz w:val="16"/>
          <w:szCs w:val="16"/>
        </w:rPr>
        <w:t xml:space="preserve"> 198</w:t>
      </w:r>
      <w:r w:rsidRPr="00AC045F">
        <w:rPr>
          <w:rFonts w:ascii="Times New Roman" w:hAnsi="Times New Roman" w:cs="Times New Roman"/>
          <w:noProof/>
          <w:sz w:val="16"/>
          <w:szCs w:val="16"/>
        </w:rPr>
        <w:t xml:space="preserve">, 110535. </w:t>
      </w:r>
      <w:hyperlink r:id="rId33" w:history="1">
        <w:r w:rsidRPr="00AC045F">
          <w:rPr>
            <w:rStyle w:val="Hyperlink"/>
            <w:rFonts w:ascii="Times New Roman" w:hAnsi="Times New Roman" w:cs="Times New Roman"/>
            <w:noProof/>
            <w:sz w:val="16"/>
            <w:szCs w:val="16"/>
          </w:rPr>
          <w:t>https://doi.org/https://doi.org/10.1016/j.enconman.2018.06.099</w:t>
        </w:r>
      </w:hyperlink>
    </w:p>
    <w:sectPr w:rsidR="003C7F3D" w:rsidRPr="00AC045F" w:rsidSect="00BA7B4C">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1138" w:footer="11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3526" w14:textId="77777777" w:rsidR="00FE29C6" w:rsidRDefault="00FE29C6" w:rsidP="00A82CA4">
      <w:r>
        <w:separator/>
      </w:r>
    </w:p>
    <w:p w14:paraId="6E84A53B" w14:textId="77777777" w:rsidR="00FE29C6" w:rsidRDefault="00FE29C6"/>
  </w:endnote>
  <w:endnote w:type="continuationSeparator" w:id="0">
    <w:p w14:paraId="7A9C78EF" w14:textId="77777777" w:rsidR="00FE29C6" w:rsidRDefault="00FE29C6" w:rsidP="00A82CA4">
      <w:r>
        <w:continuationSeparator/>
      </w:r>
    </w:p>
    <w:p w14:paraId="5FD8583E" w14:textId="77777777" w:rsidR="00FE29C6" w:rsidRDefault="00FE2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D1ED4" w14:textId="61D868E6" w:rsidR="00714AD6" w:rsidRPr="00935FE1" w:rsidRDefault="00FE29C6" w:rsidP="00714AD6">
    <w:pPr>
      <w:pStyle w:val="Footer"/>
      <w:ind w:right="27"/>
      <w:jc w:val="center"/>
      <w:rPr>
        <w:sz w:val="20"/>
      </w:rPr>
    </w:pPr>
    <w:r>
      <w:rPr>
        <w:noProof/>
        <w:sz w:val="20"/>
      </w:rPr>
      <w:pict w14:anchorId="7133B9CD">
        <v:rect id="_x0000_i1027" alt="" style="width:297.7pt;height:.05pt;mso-width-percent:0;mso-height-percent:0;mso-width-percent:0;mso-height-percent:0" o:hrpct="638" o:hralign="center" o:hrstd="t" o:hrnoshade="t" o:hr="t" fillcolor="#943634" stroked="f"/>
      </w:pict>
    </w:r>
    <w:r w:rsidR="00714AD6" w:rsidRPr="00935FE1">
      <w:rPr>
        <w:sz w:val="20"/>
      </w:rPr>
      <w:t xml:space="preserve">| </w:t>
    </w:r>
    <w:proofErr w:type="spellStart"/>
    <w:r w:rsidR="00714AD6" w:rsidRPr="00935FE1">
      <w:rPr>
        <w:sz w:val="20"/>
      </w:rPr>
      <w:t>IJMER</w:t>
    </w:r>
    <w:proofErr w:type="spellEnd"/>
    <w:r w:rsidR="00714AD6" w:rsidRPr="00935FE1">
      <w:rPr>
        <w:sz w:val="20"/>
      </w:rPr>
      <w:t xml:space="preserve"> | </w:t>
    </w:r>
    <w:proofErr w:type="spellStart"/>
    <w:r w:rsidR="00714AD6" w:rsidRPr="00935FE1">
      <w:rPr>
        <w:sz w:val="20"/>
      </w:rPr>
      <w:t>ISSN</w:t>
    </w:r>
    <w:proofErr w:type="spellEnd"/>
    <w:r w:rsidR="00714AD6" w:rsidRPr="00935FE1">
      <w:rPr>
        <w:sz w:val="20"/>
      </w:rPr>
      <w:t xml:space="preserve">: 2249–6645 |     </w:t>
    </w:r>
    <w:r w:rsidR="00714AD6">
      <w:rPr>
        <w:sz w:val="20"/>
      </w:rPr>
      <w:t xml:space="preserve">              </w:t>
    </w:r>
    <w:proofErr w:type="spellStart"/>
    <w:r w:rsidR="00714AD6" w:rsidRPr="00935FE1">
      <w:rPr>
        <w:color w:val="4F6228"/>
        <w:sz w:val="20"/>
      </w:rPr>
      <w:t>www.ijmer.com</w:t>
    </w:r>
    <w:proofErr w:type="spellEnd"/>
    <w:r w:rsidR="00714AD6">
      <w:rPr>
        <w:color w:val="4F6228"/>
        <w:sz w:val="20"/>
        <w:lang w:val="en-US"/>
      </w:rPr>
      <w:t xml:space="preserve">                    </w:t>
    </w:r>
    <w:r w:rsidR="00714AD6" w:rsidRPr="00935FE1">
      <w:rPr>
        <w:sz w:val="20"/>
      </w:rPr>
      <w:t xml:space="preserve">    </w:t>
    </w:r>
    <w:r w:rsidR="00714AD6">
      <w:rPr>
        <w:sz w:val="20"/>
      </w:rPr>
      <w:t xml:space="preserve">         | Vol. </w:t>
    </w:r>
    <w:r w:rsidR="00AC045F">
      <w:rPr>
        <w:sz w:val="20"/>
      </w:rPr>
      <w:t>14</w:t>
    </w:r>
    <w:r w:rsidR="00714AD6">
      <w:rPr>
        <w:sz w:val="20"/>
      </w:rPr>
      <w:t xml:space="preserve"> | Iss. </w:t>
    </w:r>
    <w:r w:rsidR="00AC045F">
      <w:rPr>
        <w:sz w:val="20"/>
        <w:lang w:val="vi-VN"/>
      </w:rPr>
      <w:t>6</w:t>
    </w:r>
    <w:r w:rsidR="00714AD6">
      <w:rPr>
        <w:sz w:val="20"/>
      </w:rPr>
      <w:t xml:space="preserve"> | </w:t>
    </w:r>
    <w:proofErr w:type="spellStart"/>
    <w:r w:rsidR="00AC045F">
      <w:rPr>
        <w:sz w:val="20"/>
      </w:rPr>
      <w:t>Dec</w:t>
    </w:r>
    <w:proofErr w:type="spellEnd"/>
    <w:r w:rsidR="00AC045F">
      <w:rPr>
        <w:sz w:val="20"/>
        <w:lang w:val="vi-VN"/>
      </w:rPr>
      <w:t>.2024</w:t>
    </w:r>
    <w:r w:rsidR="00714AD6" w:rsidRPr="00935FE1">
      <w:rPr>
        <w:sz w:val="20"/>
      </w:rPr>
      <w:t xml:space="preserve">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4DC8C" w14:textId="5C73A05B" w:rsidR="007B62F3" w:rsidRPr="00935FE1" w:rsidRDefault="00FE29C6" w:rsidP="000D7C31">
    <w:pPr>
      <w:pStyle w:val="Footer"/>
      <w:ind w:right="27"/>
      <w:jc w:val="center"/>
      <w:rPr>
        <w:sz w:val="20"/>
      </w:rPr>
    </w:pPr>
    <w:r>
      <w:rPr>
        <w:noProof/>
        <w:sz w:val="20"/>
      </w:rPr>
      <w:pict w14:anchorId="099C3EAE">
        <v:rect id="_x0000_i1026" alt="" style="width:297.7pt;height:.05pt;mso-width-percent:0;mso-height-percent:0;mso-width-percent:0;mso-height-percent:0" o:hrpct="638" o:hralign="center" o:hrstd="t" o:hrnoshade="t" o:hr="t" fillcolor="#943634" stroked="f"/>
      </w:pict>
    </w:r>
    <w:r w:rsidR="007B62F3" w:rsidRPr="00935FE1">
      <w:rPr>
        <w:sz w:val="20"/>
      </w:rPr>
      <w:t xml:space="preserve">| </w:t>
    </w:r>
    <w:proofErr w:type="spellStart"/>
    <w:r w:rsidR="007B62F3" w:rsidRPr="00935FE1">
      <w:rPr>
        <w:sz w:val="20"/>
      </w:rPr>
      <w:t>IJMER</w:t>
    </w:r>
    <w:proofErr w:type="spellEnd"/>
    <w:r w:rsidR="007B62F3" w:rsidRPr="00935FE1">
      <w:rPr>
        <w:sz w:val="20"/>
      </w:rPr>
      <w:t xml:space="preserve"> | </w:t>
    </w:r>
    <w:proofErr w:type="spellStart"/>
    <w:r w:rsidR="007B62F3" w:rsidRPr="00935FE1">
      <w:rPr>
        <w:sz w:val="20"/>
      </w:rPr>
      <w:t>ISSN</w:t>
    </w:r>
    <w:proofErr w:type="spellEnd"/>
    <w:r w:rsidR="007B62F3" w:rsidRPr="00935FE1">
      <w:rPr>
        <w:sz w:val="20"/>
      </w:rPr>
      <w:t xml:space="preserve">: 2249–6645 |     </w:t>
    </w:r>
    <w:r w:rsidR="007B62F3">
      <w:rPr>
        <w:sz w:val="20"/>
      </w:rPr>
      <w:t xml:space="preserve">              </w:t>
    </w:r>
    <w:proofErr w:type="spellStart"/>
    <w:r w:rsidR="007B62F3" w:rsidRPr="00935FE1">
      <w:rPr>
        <w:color w:val="4F6228"/>
        <w:sz w:val="20"/>
      </w:rPr>
      <w:t>www.ijmer.com</w:t>
    </w:r>
    <w:proofErr w:type="spellEnd"/>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w:t>
    </w:r>
    <w:r w:rsidR="00AC045F">
      <w:rPr>
        <w:sz w:val="20"/>
      </w:rPr>
      <w:t>14</w:t>
    </w:r>
    <w:r w:rsidR="007B62F3">
      <w:rPr>
        <w:sz w:val="20"/>
      </w:rPr>
      <w:t xml:space="preserve"> | Iss. </w:t>
    </w:r>
    <w:r w:rsidR="00AC045F">
      <w:rPr>
        <w:sz w:val="20"/>
        <w:lang w:val="vi-VN"/>
      </w:rPr>
      <w:t>6</w:t>
    </w:r>
    <w:r w:rsidR="007B62F3">
      <w:rPr>
        <w:sz w:val="20"/>
      </w:rPr>
      <w:t xml:space="preserve"> | </w:t>
    </w:r>
    <w:proofErr w:type="spellStart"/>
    <w:r w:rsidR="00AC045F">
      <w:rPr>
        <w:sz w:val="20"/>
      </w:rPr>
      <w:t>Dec</w:t>
    </w:r>
    <w:proofErr w:type="spellEnd"/>
    <w:r w:rsidR="00AC045F">
      <w:rPr>
        <w:sz w:val="20"/>
        <w:lang w:val="vi-VN"/>
      </w:rPr>
      <w:t>.2024</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F686" w14:textId="4010155B" w:rsidR="007B62F3" w:rsidRPr="00935FE1" w:rsidRDefault="00FE29C6" w:rsidP="000D7C31">
    <w:pPr>
      <w:pStyle w:val="Footer"/>
      <w:ind w:right="27"/>
      <w:jc w:val="center"/>
      <w:rPr>
        <w:sz w:val="20"/>
      </w:rPr>
    </w:pPr>
    <w:r>
      <w:rPr>
        <w:noProof/>
        <w:sz w:val="20"/>
      </w:rPr>
      <w:pict w14:anchorId="141412F3">
        <v:rect id="_x0000_i1025" alt="" style="width:288.3pt;height:.05pt;mso-width-percent:0;mso-height-percent:0;mso-width-percent:0;mso-height-percent:0" o:hrpct="616" o:hralign="center" o:hrstd="t" o:hrnoshade="t" o:hr="t" fillcolor="#943634" stroked="f"/>
      </w:pict>
    </w:r>
    <w:r w:rsidR="007B62F3" w:rsidRPr="00935FE1">
      <w:rPr>
        <w:sz w:val="20"/>
      </w:rPr>
      <w:t xml:space="preserve">| </w:t>
    </w:r>
    <w:proofErr w:type="spellStart"/>
    <w:r w:rsidR="007B62F3" w:rsidRPr="00935FE1">
      <w:rPr>
        <w:sz w:val="20"/>
      </w:rPr>
      <w:t>IJMER</w:t>
    </w:r>
    <w:proofErr w:type="spellEnd"/>
    <w:r w:rsidR="007B62F3" w:rsidRPr="00935FE1">
      <w:rPr>
        <w:sz w:val="20"/>
      </w:rPr>
      <w:t xml:space="preserve"> | </w:t>
    </w:r>
    <w:proofErr w:type="spellStart"/>
    <w:r w:rsidR="007B62F3" w:rsidRPr="00935FE1">
      <w:rPr>
        <w:sz w:val="20"/>
      </w:rPr>
      <w:t>ISSN</w:t>
    </w:r>
    <w:proofErr w:type="spellEnd"/>
    <w:r w:rsidR="007B62F3" w:rsidRPr="00935FE1">
      <w:rPr>
        <w:sz w:val="20"/>
      </w:rPr>
      <w:t xml:space="preserve">: 2249–6645 |     </w:t>
    </w:r>
    <w:r w:rsidR="007B62F3">
      <w:rPr>
        <w:sz w:val="20"/>
      </w:rPr>
      <w:t xml:space="preserve">              </w:t>
    </w:r>
    <w:proofErr w:type="spellStart"/>
    <w:r w:rsidR="007B62F3" w:rsidRPr="00935FE1">
      <w:rPr>
        <w:color w:val="4F6228"/>
        <w:sz w:val="20"/>
      </w:rPr>
      <w:t>www.ijmer.com</w:t>
    </w:r>
    <w:proofErr w:type="spellEnd"/>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w:t>
    </w:r>
    <w:r w:rsidR="00AC045F">
      <w:rPr>
        <w:sz w:val="20"/>
      </w:rPr>
      <w:t>14</w:t>
    </w:r>
    <w:r w:rsidR="007B62F3">
      <w:rPr>
        <w:sz w:val="20"/>
      </w:rPr>
      <w:t xml:space="preserve"> | Iss. </w:t>
    </w:r>
    <w:r w:rsidR="00AC045F">
      <w:rPr>
        <w:sz w:val="20"/>
        <w:lang w:val="vi-VN"/>
      </w:rPr>
      <w:t>6</w:t>
    </w:r>
    <w:r w:rsidR="007B62F3">
      <w:rPr>
        <w:sz w:val="20"/>
      </w:rPr>
      <w:t xml:space="preserve"> | </w:t>
    </w:r>
    <w:proofErr w:type="spellStart"/>
    <w:r w:rsidR="00872AED">
      <w:rPr>
        <w:sz w:val="20"/>
      </w:rPr>
      <w:t>Dec</w:t>
    </w:r>
    <w:proofErr w:type="spellEnd"/>
    <w:r w:rsidR="00872AED">
      <w:rPr>
        <w:sz w:val="20"/>
        <w:lang w:val="vi-VN"/>
      </w:rPr>
      <w:t>.</w:t>
    </w:r>
    <w:r w:rsidR="007B62F3" w:rsidRPr="00935FE1">
      <w:rPr>
        <w:sz w:val="20"/>
      </w:rPr>
      <w:t>20</w:t>
    </w:r>
    <w:r w:rsidR="00872AED">
      <w:rPr>
        <w:sz w:val="20"/>
      </w:rPr>
      <w:t>24</w:t>
    </w:r>
    <w:r w:rsidR="007B62F3" w:rsidRPr="00935FE1">
      <w:rPr>
        <w:sz w:val="20"/>
      </w:rPr>
      <w:t xml:space="preserve">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2CE25" w14:textId="77777777" w:rsidR="00FE29C6" w:rsidRDefault="00FE29C6" w:rsidP="00A82CA4">
      <w:r>
        <w:separator/>
      </w:r>
    </w:p>
    <w:p w14:paraId="3E4B40FA" w14:textId="77777777" w:rsidR="00FE29C6" w:rsidRDefault="00FE29C6"/>
  </w:footnote>
  <w:footnote w:type="continuationSeparator" w:id="0">
    <w:p w14:paraId="31D69A31" w14:textId="77777777" w:rsidR="00FE29C6" w:rsidRDefault="00FE29C6" w:rsidP="00A82CA4">
      <w:r>
        <w:continuationSeparator/>
      </w:r>
    </w:p>
    <w:p w14:paraId="10E60EBD" w14:textId="77777777" w:rsidR="00FE29C6" w:rsidRDefault="00FE2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F3B1" w14:textId="77777777" w:rsidR="001A5C06" w:rsidRPr="000D7C31" w:rsidRDefault="00566A9F" w:rsidP="001A5C06">
    <w:pPr>
      <w:pStyle w:val="AbstractLiteratur"/>
      <w:pBdr>
        <w:bottom w:val="single" w:sz="4" w:space="1" w:color="auto"/>
      </w:pBdr>
      <w:spacing w:before="0" w:after="200" w:line="240" w:lineRule="auto"/>
      <w:jc w:val="right"/>
      <w:rPr>
        <w:b w:val="0"/>
        <w:i/>
        <w:sz w:val="22"/>
        <w:szCs w:val="20"/>
        <w:lang w:val="en-US"/>
      </w:rPr>
    </w:pPr>
    <w:r w:rsidRPr="00566A9F">
      <w:rPr>
        <w:b w:val="0"/>
        <w:i/>
        <w:sz w:val="22"/>
        <w:szCs w:val="20"/>
        <w:lang w:val="en-US"/>
      </w:rPr>
      <w:t xml:space="preserve">Current situation, constraints and potential approaches in the </w:t>
    </w:r>
    <w:proofErr w:type="spellStart"/>
    <w:r w:rsidRPr="00566A9F">
      <w:rPr>
        <w:b w:val="0"/>
        <w:i/>
        <w:sz w:val="22"/>
        <w:szCs w:val="20"/>
        <w:lang w:val="en-US"/>
      </w:rPr>
      <w:t>utilisation</w:t>
    </w:r>
    <w:proofErr w:type="spellEnd"/>
    <w:r w:rsidRPr="00566A9F">
      <w:rPr>
        <w:b w:val="0"/>
        <w:i/>
        <w:sz w:val="22"/>
        <w:szCs w:val="20"/>
        <w:lang w:val="en-US"/>
      </w:rPr>
      <w:t xml:space="preserve"> and recycling of durian</w:t>
    </w:r>
    <w:r>
      <w:rPr>
        <w:b w:val="0"/>
        <w:i/>
        <w:sz w:val="22"/>
        <w:szCs w:val="20"/>
        <w:lang w:val="vi-VN"/>
      </w:rPr>
      <w:t xml:space="preserve"> ...</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8635D" w14:textId="77777777" w:rsidR="007B62F3" w:rsidRPr="000D7C31" w:rsidRDefault="00B106D4" w:rsidP="000D7C31">
    <w:pPr>
      <w:pStyle w:val="AbstractLiteratur"/>
      <w:pBdr>
        <w:bottom w:val="single" w:sz="4" w:space="1" w:color="auto"/>
      </w:pBdr>
      <w:spacing w:before="0" w:after="200" w:line="240" w:lineRule="auto"/>
      <w:jc w:val="right"/>
      <w:rPr>
        <w:b w:val="0"/>
        <w:i/>
        <w:sz w:val="22"/>
        <w:szCs w:val="20"/>
        <w:lang w:val="en-US"/>
      </w:rPr>
    </w:pPr>
    <w:r w:rsidRPr="00566A9F">
      <w:rPr>
        <w:b w:val="0"/>
        <w:i/>
        <w:sz w:val="22"/>
        <w:szCs w:val="20"/>
        <w:lang w:val="en-US"/>
      </w:rPr>
      <w:t xml:space="preserve">Current situation, constraints and potential approaches in the </w:t>
    </w:r>
    <w:proofErr w:type="spellStart"/>
    <w:r w:rsidRPr="00566A9F">
      <w:rPr>
        <w:b w:val="0"/>
        <w:i/>
        <w:sz w:val="22"/>
        <w:szCs w:val="20"/>
        <w:lang w:val="en-US"/>
      </w:rPr>
      <w:t>utilisation</w:t>
    </w:r>
    <w:proofErr w:type="spellEnd"/>
    <w:r w:rsidRPr="00566A9F">
      <w:rPr>
        <w:b w:val="0"/>
        <w:i/>
        <w:sz w:val="22"/>
        <w:szCs w:val="20"/>
        <w:lang w:val="en-US"/>
      </w:rPr>
      <w:t xml:space="preserve"> and recycling of durian</w:t>
    </w:r>
    <w:r>
      <w:rPr>
        <w:b w:val="0"/>
        <w:i/>
        <w:sz w:val="22"/>
        <w:szCs w:val="20"/>
        <w:lang w:val="vi-VN"/>
      </w:rPr>
      <w:t xml:space="preserve"> ...</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7FF32"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0F976ED9" wp14:editId="3F84374D">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4B15F4B5"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2459B1E7"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w:t>
    </w:r>
    <w:proofErr w:type="spellStart"/>
    <w:r w:rsidRPr="000D7C31">
      <w:rPr>
        <w:rFonts w:eastAsia="Times New Roman"/>
        <w:b/>
        <w:bCs/>
        <w:i/>
        <w:iCs/>
        <w:color w:val="943634"/>
        <w:lang w:val="en-US"/>
      </w:rPr>
      <w:t>IJMER</w:t>
    </w:r>
    <w:proofErr w:type="spellEnd"/>
    <w:r w:rsidRPr="000D7C31">
      <w:rPr>
        <w:rFonts w:eastAsia="Times New Roman"/>
        <w:b/>
        <w:bCs/>
        <w:i/>
        <w:iCs/>
        <w:color w:val="943634"/>
        <w:lang w:val="en-US"/>
      </w:rPr>
      <w:t>)</w:t>
    </w:r>
  </w:p>
  <w:p w14:paraId="200A9ED8" w14:textId="77777777" w:rsidR="007B62F3" w:rsidRPr="000D7C31" w:rsidRDefault="00FE29C6"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0022B846">
        <v:roundrect id="_x0000_s1025" alt="" style="position:absolute;margin-left:-.75pt;margin-top:1.15pt;width:450.15pt;height:7.95pt;z-index:251658240;mso-wrap-style:square;mso-wrap-edited:f;mso-width-percent:0;mso-height-percent:0;mso-width-percent:0;mso-height-percent:0;v-text-anchor:top" arcsize="10923f" fillcolor="#ddd8c2" strokecolor="#0d0d0d">
          <v:textbox style="mso-next-textbox:#_x0000_s1025">
            <w:txbxContent>
              <w:p w14:paraId="39C8FEFA"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5" type="#_x0000_t75" style="width:15pt;height:1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199207">
    <w:abstractNumId w:val="10"/>
  </w:num>
  <w:num w:numId="2" w16cid:durableId="604313922">
    <w:abstractNumId w:val="1"/>
  </w:num>
  <w:num w:numId="3" w16cid:durableId="793913887">
    <w:abstractNumId w:val="14"/>
  </w:num>
  <w:num w:numId="4" w16cid:durableId="274142955">
    <w:abstractNumId w:val="0"/>
  </w:num>
  <w:num w:numId="5" w16cid:durableId="1331759470">
    <w:abstractNumId w:val="6"/>
  </w:num>
  <w:num w:numId="6" w16cid:durableId="1016686409">
    <w:abstractNumId w:val="12"/>
  </w:num>
  <w:num w:numId="7" w16cid:durableId="221645911">
    <w:abstractNumId w:val="5"/>
  </w:num>
  <w:num w:numId="8" w16cid:durableId="1320111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9861594">
    <w:abstractNumId w:val="7"/>
  </w:num>
  <w:num w:numId="10" w16cid:durableId="2067027016">
    <w:abstractNumId w:val="15"/>
  </w:num>
  <w:num w:numId="11" w16cid:durableId="1144664716">
    <w:abstractNumId w:val="16"/>
  </w:num>
  <w:num w:numId="12" w16cid:durableId="974064954">
    <w:abstractNumId w:val="13"/>
  </w:num>
  <w:num w:numId="13" w16cid:durableId="1082415561">
    <w:abstractNumId w:val="8"/>
  </w:num>
  <w:num w:numId="14" w16cid:durableId="419764095">
    <w:abstractNumId w:val="4"/>
  </w:num>
  <w:num w:numId="15" w16cid:durableId="951084910">
    <w:abstractNumId w:val="11"/>
  </w:num>
  <w:num w:numId="16" w16cid:durableId="85157054">
    <w:abstractNumId w:val="3"/>
  </w:num>
  <w:num w:numId="17" w16cid:durableId="1994480830">
    <w:abstractNumId w:val="9"/>
  </w:num>
  <w:num w:numId="18" w16cid:durableId="136035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7"/>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E5A"/>
    <w:rsid w:val="00006010"/>
    <w:rsid w:val="000143E7"/>
    <w:rsid w:val="00015DC7"/>
    <w:rsid w:val="00023037"/>
    <w:rsid w:val="000260D7"/>
    <w:rsid w:val="0002771C"/>
    <w:rsid w:val="00030F71"/>
    <w:rsid w:val="000469A6"/>
    <w:rsid w:val="00050F38"/>
    <w:rsid w:val="0005142C"/>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1DA3"/>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4FD4"/>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013C"/>
    <w:rsid w:val="00252ACC"/>
    <w:rsid w:val="00255B51"/>
    <w:rsid w:val="002577B1"/>
    <w:rsid w:val="00257EA4"/>
    <w:rsid w:val="00260B3D"/>
    <w:rsid w:val="00262539"/>
    <w:rsid w:val="00262CC2"/>
    <w:rsid w:val="00263D46"/>
    <w:rsid w:val="0026433C"/>
    <w:rsid w:val="0026603F"/>
    <w:rsid w:val="00270EE4"/>
    <w:rsid w:val="00273AA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2849"/>
    <w:rsid w:val="002B6E4A"/>
    <w:rsid w:val="002C1670"/>
    <w:rsid w:val="002C44B9"/>
    <w:rsid w:val="002D0481"/>
    <w:rsid w:val="002D0484"/>
    <w:rsid w:val="002D2611"/>
    <w:rsid w:val="002D2910"/>
    <w:rsid w:val="002D2B4A"/>
    <w:rsid w:val="002D4610"/>
    <w:rsid w:val="002D78CD"/>
    <w:rsid w:val="002E2CE0"/>
    <w:rsid w:val="002E47F5"/>
    <w:rsid w:val="002E7838"/>
    <w:rsid w:val="002F0594"/>
    <w:rsid w:val="002F1ED5"/>
    <w:rsid w:val="002F384F"/>
    <w:rsid w:val="002F5F23"/>
    <w:rsid w:val="002F6C73"/>
    <w:rsid w:val="003045D6"/>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1FFB"/>
    <w:rsid w:val="0036339A"/>
    <w:rsid w:val="003657DD"/>
    <w:rsid w:val="003663CB"/>
    <w:rsid w:val="0036794C"/>
    <w:rsid w:val="003778E0"/>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5D76"/>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37317"/>
    <w:rsid w:val="004375B2"/>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4981"/>
    <w:rsid w:val="004A58D8"/>
    <w:rsid w:val="004B6EE7"/>
    <w:rsid w:val="004B7116"/>
    <w:rsid w:val="004B7CC5"/>
    <w:rsid w:val="004C43AB"/>
    <w:rsid w:val="004C719D"/>
    <w:rsid w:val="004D0CF4"/>
    <w:rsid w:val="004D33B9"/>
    <w:rsid w:val="004D400D"/>
    <w:rsid w:val="004D4922"/>
    <w:rsid w:val="004E04A9"/>
    <w:rsid w:val="004E1817"/>
    <w:rsid w:val="004E19A6"/>
    <w:rsid w:val="004E27CD"/>
    <w:rsid w:val="004E4995"/>
    <w:rsid w:val="004E5CF8"/>
    <w:rsid w:val="004E6821"/>
    <w:rsid w:val="00500334"/>
    <w:rsid w:val="00503124"/>
    <w:rsid w:val="0050714B"/>
    <w:rsid w:val="0051348F"/>
    <w:rsid w:val="00515531"/>
    <w:rsid w:val="005169D9"/>
    <w:rsid w:val="00527D27"/>
    <w:rsid w:val="00534165"/>
    <w:rsid w:val="0053661B"/>
    <w:rsid w:val="00547A0B"/>
    <w:rsid w:val="00550B2A"/>
    <w:rsid w:val="00554CE3"/>
    <w:rsid w:val="00560084"/>
    <w:rsid w:val="00560A39"/>
    <w:rsid w:val="00566A9F"/>
    <w:rsid w:val="00580C10"/>
    <w:rsid w:val="00583064"/>
    <w:rsid w:val="00583E1E"/>
    <w:rsid w:val="00583F85"/>
    <w:rsid w:val="0058588B"/>
    <w:rsid w:val="00586FA0"/>
    <w:rsid w:val="00591F59"/>
    <w:rsid w:val="00593BEE"/>
    <w:rsid w:val="00595A7B"/>
    <w:rsid w:val="005A117E"/>
    <w:rsid w:val="005A2C83"/>
    <w:rsid w:val="005A3AAF"/>
    <w:rsid w:val="005A3CCE"/>
    <w:rsid w:val="005A4D40"/>
    <w:rsid w:val="005A7C34"/>
    <w:rsid w:val="005B0441"/>
    <w:rsid w:val="005B163C"/>
    <w:rsid w:val="005B2014"/>
    <w:rsid w:val="005B2FA6"/>
    <w:rsid w:val="005B78B8"/>
    <w:rsid w:val="005C02A6"/>
    <w:rsid w:val="005C06D9"/>
    <w:rsid w:val="005C18C3"/>
    <w:rsid w:val="005C21E8"/>
    <w:rsid w:val="005C3132"/>
    <w:rsid w:val="005C6B90"/>
    <w:rsid w:val="005C71D1"/>
    <w:rsid w:val="005D059F"/>
    <w:rsid w:val="005D0B13"/>
    <w:rsid w:val="005D0FD0"/>
    <w:rsid w:val="005D4773"/>
    <w:rsid w:val="005E05E3"/>
    <w:rsid w:val="005E2EB3"/>
    <w:rsid w:val="005E34EB"/>
    <w:rsid w:val="005E7EC1"/>
    <w:rsid w:val="005F5091"/>
    <w:rsid w:val="006023C0"/>
    <w:rsid w:val="0060253F"/>
    <w:rsid w:val="0060418E"/>
    <w:rsid w:val="00606DEE"/>
    <w:rsid w:val="00606F47"/>
    <w:rsid w:val="00612919"/>
    <w:rsid w:val="006177E8"/>
    <w:rsid w:val="006233FC"/>
    <w:rsid w:val="0062423D"/>
    <w:rsid w:val="00631A66"/>
    <w:rsid w:val="006324EA"/>
    <w:rsid w:val="00635BA7"/>
    <w:rsid w:val="006375C9"/>
    <w:rsid w:val="00643BD6"/>
    <w:rsid w:val="00644073"/>
    <w:rsid w:val="00644C10"/>
    <w:rsid w:val="0064779D"/>
    <w:rsid w:val="00650372"/>
    <w:rsid w:val="0065568A"/>
    <w:rsid w:val="00656F5A"/>
    <w:rsid w:val="0066279E"/>
    <w:rsid w:val="00662880"/>
    <w:rsid w:val="006628CB"/>
    <w:rsid w:val="00663FD1"/>
    <w:rsid w:val="00667283"/>
    <w:rsid w:val="00667971"/>
    <w:rsid w:val="006736F5"/>
    <w:rsid w:val="006751EB"/>
    <w:rsid w:val="00680268"/>
    <w:rsid w:val="00680C71"/>
    <w:rsid w:val="0068281C"/>
    <w:rsid w:val="00685AD7"/>
    <w:rsid w:val="00687A2C"/>
    <w:rsid w:val="00691152"/>
    <w:rsid w:val="00696B57"/>
    <w:rsid w:val="006A28C3"/>
    <w:rsid w:val="006A4967"/>
    <w:rsid w:val="006A4B6A"/>
    <w:rsid w:val="006A6D6C"/>
    <w:rsid w:val="006A7AE1"/>
    <w:rsid w:val="006B19E7"/>
    <w:rsid w:val="006B3DB2"/>
    <w:rsid w:val="006B5876"/>
    <w:rsid w:val="006C01C7"/>
    <w:rsid w:val="006C1A5A"/>
    <w:rsid w:val="006C3A0A"/>
    <w:rsid w:val="006C3A72"/>
    <w:rsid w:val="006C3FD0"/>
    <w:rsid w:val="006C46B8"/>
    <w:rsid w:val="006D3588"/>
    <w:rsid w:val="006E162F"/>
    <w:rsid w:val="006E6662"/>
    <w:rsid w:val="006E7708"/>
    <w:rsid w:val="007033F3"/>
    <w:rsid w:val="007034EE"/>
    <w:rsid w:val="00703D23"/>
    <w:rsid w:val="0070529A"/>
    <w:rsid w:val="0070598B"/>
    <w:rsid w:val="00705AEB"/>
    <w:rsid w:val="007129A7"/>
    <w:rsid w:val="00713E33"/>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6B35"/>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451D"/>
    <w:rsid w:val="00806C1E"/>
    <w:rsid w:val="00811453"/>
    <w:rsid w:val="0081603A"/>
    <w:rsid w:val="00822A6A"/>
    <w:rsid w:val="008235A4"/>
    <w:rsid w:val="00823664"/>
    <w:rsid w:val="00825871"/>
    <w:rsid w:val="008265D5"/>
    <w:rsid w:val="00830923"/>
    <w:rsid w:val="00834F4B"/>
    <w:rsid w:val="00836F42"/>
    <w:rsid w:val="00845743"/>
    <w:rsid w:val="008462CE"/>
    <w:rsid w:val="008511FF"/>
    <w:rsid w:val="008572F9"/>
    <w:rsid w:val="00862776"/>
    <w:rsid w:val="00863443"/>
    <w:rsid w:val="00863DF4"/>
    <w:rsid w:val="008671C7"/>
    <w:rsid w:val="00867789"/>
    <w:rsid w:val="008677A9"/>
    <w:rsid w:val="0087280F"/>
    <w:rsid w:val="00872AED"/>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3C7A"/>
    <w:rsid w:val="008B48B4"/>
    <w:rsid w:val="008B64AE"/>
    <w:rsid w:val="008B6B38"/>
    <w:rsid w:val="008B6EF0"/>
    <w:rsid w:val="008B74EF"/>
    <w:rsid w:val="008B7D8D"/>
    <w:rsid w:val="008C0E8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52FF"/>
    <w:rsid w:val="00947695"/>
    <w:rsid w:val="009576BB"/>
    <w:rsid w:val="0096230A"/>
    <w:rsid w:val="00964AE1"/>
    <w:rsid w:val="009652C9"/>
    <w:rsid w:val="00975914"/>
    <w:rsid w:val="00977B26"/>
    <w:rsid w:val="00982F59"/>
    <w:rsid w:val="009832EA"/>
    <w:rsid w:val="00986A9B"/>
    <w:rsid w:val="00993886"/>
    <w:rsid w:val="00993A29"/>
    <w:rsid w:val="0099455A"/>
    <w:rsid w:val="009951CA"/>
    <w:rsid w:val="009A097C"/>
    <w:rsid w:val="009A0C18"/>
    <w:rsid w:val="009A5318"/>
    <w:rsid w:val="009A5532"/>
    <w:rsid w:val="009B01F9"/>
    <w:rsid w:val="009B0ADC"/>
    <w:rsid w:val="009B1FA1"/>
    <w:rsid w:val="009B2E6D"/>
    <w:rsid w:val="009B3193"/>
    <w:rsid w:val="009B3CF9"/>
    <w:rsid w:val="009B56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3860"/>
    <w:rsid w:val="00A3498C"/>
    <w:rsid w:val="00A37718"/>
    <w:rsid w:val="00A415BE"/>
    <w:rsid w:val="00A443D7"/>
    <w:rsid w:val="00A45388"/>
    <w:rsid w:val="00A45438"/>
    <w:rsid w:val="00A46FB2"/>
    <w:rsid w:val="00A53385"/>
    <w:rsid w:val="00A534E7"/>
    <w:rsid w:val="00A53673"/>
    <w:rsid w:val="00A53AF5"/>
    <w:rsid w:val="00A540EF"/>
    <w:rsid w:val="00A55049"/>
    <w:rsid w:val="00A56CD3"/>
    <w:rsid w:val="00A65AA3"/>
    <w:rsid w:val="00A66F98"/>
    <w:rsid w:val="00A7174E"/>
    <w:rsid w:val="00A730AA"/>
    <w:rsid w:val="00A806FC"/>
    <w:rsid w:val="00A81996"/>
    <w:rsid w:val="00A82CA4"/>
    <w:rsid w:val="00A83D72"/>
    <w:rsid w:val="00A8449D"/>
    <w:rsid w:val="00A86600"/>
    <w:rsid w:val="00A92E05"/>
    <w:rsid w:val="00A9638D"/>
    <w:rsid w:val="00AA2018"/>
    <w:rsid w:val="00AA28D0"/>
    <w:rsid w:val="00AA2EBA"/>
    <w:rsid w:val="00AB5589"/>
    <w:rsid w:val="00AB62FB"/>
    <w:rsid w:val="00AB7587"/>
    <w:rsid w:val="00AC045F"/>
    <w:rsid w:val="00AC277B"/>
    <w:rsid w:val="00AC3177"/>
    <w:rsid w:val="00AC58BD"/>
    <w:rsid w:val="00AD0C00"/>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06D4"/>
    <w:rsid w:val="00B11B37"/>
    <w:rsid w:val="00B16003"/>
    <w:rsid w:val="00B21C29"/>
    <w:rsid w:val="00B229C6"/>
    <w:rsid w:val="00B233D6"/>
    <w:rsid w:val="00B24253"/>
    <w:rsid w:val="00B26C1C"/>
    <w:rsid w:val="00B27C8D"/>
    <w:rsid w:val="00B328C5"/>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5A98"/>
    <w:rsid w:val="00B96EF3"/>
    <w:rsid w:val="00BA53A3"/>
    <w:rsid w:val="00BA5AC1"/>
    <w:rsid w:val="00BA6C60"/>
    <w:rsid w:val="00BA7B4C"/>
    <w:rsid w:val="00BB1368"/>
    <w:rsid w:val="00BB1D7B"/>
    <w:rsid w:val="00BB474B"/>
    <w:rsid w:val="00BB4AD5"/>
    <w:rsid w:val="00BB7FA8"/>
    <w:rsid w:val="00BC12DE"/>
    <w:rsid w:val="00BC4B70"/>
    <w:rsid w:val="00BC6CA1"/>
    <w:rsid w:val="00BD0335"/>
    <w:rsid w:val="00BD36E9"/>
    <w:rsid w:val="00BD3BB2"/>
    <w:rsid w:val="00BD3E56"/>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D7965"/>
    <w:rsid w:val="00CE0D3A"/>
    <w:rsid w:val="00CE4166"/>
    <w:rsid w:val="00CE7548"/>
    <w:rsid w:val="00CF0E33"/>
    <w:rsid w:val="00CF18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391"/>
    <w:rsid w:val="00D66F13"/>
    <w:rsid w:val="00D66F14"/>
    <w:rsid w:val="00D715A2"/>
    <w:rsid w:val="00D75B82"/>
    <w:rsid w:val="00D83DBC"/>
    <w:rsid w:val="00D84333"/>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4515"/>
    <w:rsid w:val="00E06E15"/>
    <w:rsid w:val="00E0784D"/>
    <w:rsid w:val="00E10915"/>
    <w:rsid w:val="00E13B7C"/>
    <w:rsid w:val="00E14321"/>
    <w:rsid w:val="00E2255D"/>
    <w:rsid w:val="00E22AEB"/>
    <w:rsid w:val="00E23C27"/>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2E41"/>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1FC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128"/>
    <w:rsid w:val="00F96520"/>
    <w:rsid w:val="00FA0026"/>
    <w:rsid w:val="00FA0E9E"/>
    <w:rsid w:val="00FA2E5E"/>
    <w:rsid w:val="00FA3E46"/>
    <w:rsid w:val="00FA78AD"/>
    <w:rsid w:val="00FB0324"/>
    <w:rsid w:val="00FB381A"/>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29C6"/>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A39252"/>
  <w15:docId w15:val="{649CE95B-F5FD-8F46-B736-255003B2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customStyle="1" w:styleId="EndNoteBibliography">
    <w:name w:val="EndNote Bibliography"/>
    <w:basedOn w:val="Normal"/>
    <w:link w:val="EndNoteBibliographyChar"/>
    <w:rsid w:val="003045D6"/>
    <w:pPr>
      <w:spacing w:after="0"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3045D6"/>
    <w:rPr>
      <w:rFonts w:cs="Calibri"/>
      <w:sz w:val="24"/>
      <w:szCs w:val="24"/>
    </w:rPr>
  </w:style>
  <w:style w:type="character" w:styleId="FollowedHyperlink">
    <w:name w:val="FollowedHyperlink"/>
    <w:basedOn w:val="DefaultParagraphFont"/>
    <w:uiPriority w:val="99"/>
    <w:semiHidden/>
    <w:unhideWhenUsed/>
    <w:rsid w:val="0030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age-vnportal.vnpt.vn/dkg-chinhquyen/4797/si/bctt-25.4.23.pdf" TargetMode="External"/><Relationship Id="rId18" Type="http://schemas.openxmlformats.org/officeDocument/2006/relationships/hyperlink" Target="https://lapphap.vn/Pages/tintuc/tinchitiet.aspx?tintucid=210445" TargetMode="External"/><Relationship Id="rId26" Type="http://schemas.openxmlformats.org/officeDocument/2006/relationships/hyperlink" Target="https://doi.org/10.4061/2011/805187" TargetMode="External"/><Relationship Id="rId39" Type="http://schemas.openxmlformats.org/officeDocument/2006/relationships/footer" Target="footer3.xml"/><Relationship Id="rId21" Type="http://schemas.openxmlformats.org/officeDocument/2006/relationships/hyperlink" Target="https://doi.org/https://doi.org/10.1016/j.rser.2022.112715"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upc.monre.gov.vn/Data/files/36-2015-tt-btnmt.PDF" TargetMode="External"/><Relationship Id="rId20" Type="http://schemas.openxmlformats.org/officeDocument/2006/relationships/hyperlink" Target="https://ph01.tci-thaijo.org/index.php/rmutijo/article/view/240196/165404" TargetMode="External"/><Relationship Id="rId29" Type="http://schemas.openxmlformats.org/officeDocument/2006/relationships/hyperlink" Target="https://doi.org/10.23955/rkl.v14i2.1427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https://doi.org/10.1016/j.nanoso.2024.101345" TargetMode="External"/><Relationship Id="rId24" Type="http://schemas.openxmlformats.org/officeDocument/2006/relationships/hyperlink" Target="https://doi.org/10.1002/jobm.201300821" TargetMode="External"/><Relationship Id="rId32" Type="http://schemas.openxmlformats.org/officeDocument/2006/relationships/hyperlink" Target="https://doi.org/10.1063/5.014395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201/9781003305033-3" TargetMode="External"/><Relationship Id="rId23" Type="http://schemas.openxmlformats.org/officeDocument/2006/relationships/hyperlink" Target="https://doi.org/https://doi.org/10.1016/j.stress.2024.100455" TargetMode="External"/><Relationship Id="rId28" Type="http://schemas.openxmlformats.org/officeDocument/2006/relationships/hyperlink" Target="https://doi.org/10.3390/horticulturae10040342" TargetMode="External"/><Relationship Id="rId36" Type="http://schemas.openxmlformats.org/officeDocument/2006/relationships/footer" Target="footer1.xml"/><Relationship Id="rId10" Type="http://schemas.openxmlformats.org/officeDocument/2006/relationships/hyperlink" Target="https://doi.org/10.1016/j.chmed.2021.10.001" TargetMode="External"/><Relationship Id="rId19" Type="http://schemas.openxmlformats.org/officeDocument/2006/relationships/hyperlink" Target="https://doi.org/10.1016/j.nexus.2023.100203" TargetMode="External"/><Relationship Id="rId31" Type="http://schemas.openxmlformats.org/officeDocument/2006/relationships/hyperlink" Target="https://doi.org/10.1016/j.sajce.2024.05.002" TargetMode="External"/><Relationship Id="rId4" Type="http://schemas.openxmlformats.org/officeDocument/2006/relationships/settings" Target="settings.xml"/><Relationship Id="rId9" Type="http://schemas.openxmlformats.org/officeDocument/2006/relationships/hyperlink" Target="https://doi.org/10.46826/huaf-jasat.v2n2y2018.165" TargetMode="External"/><Relationship Id="rId14" Type="http://schemas.openxmlformats.org/officeDocument/2006/relationships/hyperlink" Target="https://www.mard.gov.vn/" TargetMode="External"/><Relationship Id="rId22" Type="http://schemas.openxmlformats.org/officeDocument/2006/relationships/hyperlink" Target="https://doi.org/10.1595/205651318X696693" TargetMode="External"/><Relationship Id="rId27" Type="http://schemas.openxmlformats.org/officeDocument/2006/relationships/hyperlink" Target="https://www.mdpi.com/2311-5637/8/2/43" TargetMode="External"/><Relationship Id="rId30" Type="http://schemas.openxmlformats.org/officeDocument/2006/relationships/hyperlink" Target="https://doi.org/10.15294/jstrp.v3i1.75595" TargetMode="External"/><Relationship Id="rId35" Type="http://schemas.openxmlformats.org/officeDocument/2006/relationships/header" Target="header2.xml"/><Relationship Id="rId8" Type="http://schemas.openxmlformats.org/officeDocument/2006/relationships/hyperlink" Target="https://sti.vista.gov.vn/tw/Lists/TaiLieuKHCN/Attachments/320171/CVv146S102021145.pdf" TargetMode="External"/><Relationship Id="rId3" Type="http://schemas.openxmlformats.org/officeDocument/2006/relationships/styles" Target="styles.xml"/><Relationship Id="rId12" Type="http://schemas.openxmlformats.org/officeDocument/2006/relationships/hyperlink" Target="https://doi.org/10.1051/matecconf/201815202007" TargetMode="External"/><Relationship Id="rId17" Type="http://schemas.openxmlformats.org/officeDocument/2006/relationships/hyperlink" Target="https://datafiles.chinhphu.vn/cpp/files/vbpq/2018/05/491.signed.pdf" TargetMode="External"/><Relationship Id="rId25" Type="http://schemas.openxmlformats.org/officeDocument/2006/relationships/hyperlink" Target="https://doi.org/https://doi.org/10.1016/B978-0-12-820524-2.00013-4" TargetMode="External"/><Relationship Id="rId33" Type="http://schemas.openxmlformats.org/officeDocument/2006/relationships/hyperlink" Target="https://doi.org/https://doi.org/10.1016/j.enconman.2018.06.099"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G:\Festplatte\Literature\Vorlage_Abschlussarbeiten_v6.dotx</Template>
  <TotalTime>520</TotalTime>
  <Pages>9</Pages>
  <Words>6906</Words>
  <Characters>39369</Characters>
  <Application>Microsoft Office Word</Application>
  <DocSecurity>0</DocSecurity>
  <Lines>328</Lines>
  <Paragraphs>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46183</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Phuc Le</cp:lastModifiedBy>
  <cp:revision>110</cp:revision>
  <dcterms:created xsi:type="dcterms:W3CDTF">2018-07-29T15:01:00Z</dcterms:created>
  <dcterms:modified xsi:type="dcterms:W3CDTF">2024-12-10T12:15:00Z</dcterms:modified>
</cp:coreProperties>
</file>