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CAC4" w14:textId="68460DD5" w:rsidR="004E5CF8" w:rsidRPr="000D7C31" w:rsidRDefault="00F47F12" w:rsidP="000D7C31">
      <w:pPr>
        <w:pStyle w:val="AbstractLiteratur"/>
        <w:spacing w:before="0" w:after="0" w:line="240" w:lineRule="auto"/>
        <w:rPr>
          <w:sz w:val="32"/>
          <w:szCs w:val="20"/>
          <w:lang w:val="en-US"/>
        </w:rPr>
      </w:pPr>
      <w:bookmarkStart w:id="0" w:name="_Hlk196121309"/>
      <w:r w:rsidRPr="00F47F12">
        <w:rPr>
          <w:sz w:val="32"/>
          <w:szCs w:val="20"/>
        </w:rPr>
        <w:t>Reflections on Teaching Reform in Bioengineering Talent Cultivation Based on Outcome-Based Education</w:t>
      </w:r>
      <w:bookmarkEnd w:id="0"/>
    </w:p>
    <w:p w14:paraId="3E7C8C5B" w14:textId="77777777" w:rsidR="000D7C31" w:rsidRDefault="000D7C31" w:rsidP="00A730AA">
      <w:pPr>
        <w:pStyle w:val="Default"/>
        <w:jc w:val="both"/>
        <w:rPr>
          <w:b/>
          <w:bCs/>
          <w:sz w:val="20"/>
          <w:szCs w:val="20"/>
        </w:rPr>
      </w:pPr>
    </w:p>
    <w:p w14:paraId="4B216004" w14:textId="6CC78636" w:rsidR="004E5CF8" w:rsidRPr="000D7C31" w:rsidRDefault="00F47F12" w:rsidP="000D7C31">
      <w:pPr>
        <w:pStyle w:val="Default"/>
        <w:jc w:val="center"/>
        <w:rPr>
          <w:bCs/>
          <w:sz w:val="28"/>
          <w:szCs w:val="20"/>
        </w:rPr>
      </w:pPr>
      <w:r w:rsidRPr="00F47F12">
        <w:rPr>
          <w:rFonts w:hint="eastAsia"/>
          <w:bCs/>
          <w:sz w:val="28"/>
          <w:szCs w:val="20"/>
        </w:rPr>
        <w:t>TANG Q</w:t>
      </w:r>
      <w:r w:rsidRPr="00F47F12">
        <w:rPr>
          <w:rFonts w:hint="eastAsia"/>
          <w:bCs/>
          <w:sz w:val="28"/>
          <w:szCs w:val="20"/>
          <w:vertAlign w:val="superscript"/>
        </w:rPr>
        <w:t>1</w:t>
      </w:r>
      <w:r w:rsidRPr="00F47F12">
        <w:rPr>
          <w:rFonts w:hint="eastAsia"/>
          <w:bCs/>
          <w:sz w:val="28"/>
          <w:szCs w:val="20"/>
        </w:rPr>
        <w:t>，</w:t>
      </w:r>
      <w:r w:rsidRPr="00F47F12">
        <w:rPr>
          <w:rFonts w:hint="eastAsia"/>
          <w:bCs/>
          <w:sz w:val="28"/>
          <w:szCs w:val="20"/>
        </w:rPr>
        <w:t>CAO HY</w:t>
      </w:r>
      <w:r w:rsidRPr="00F47F12">
        <w:rPr>
          <w:rFonts w:hint="eastAsia"/>
          <w:bCs/>
          <w:sz w:val="28"/>
          <w:szCs w:val="20"/>
          <w:vertAlign w:val="superscript"/>
        </w:rPr>
        <w:t>2</w:t>
      </w:r>
      <w:r w:rsidRPr="00F47F12">
        <w:rPr>
          <w:rFonts w:hint="eastAsia"/>
          <w:bCs/>
          <w:sz w:val="28"/>
          <w:szCs w:val="20"/>
        </w:rPr>
        <w:t>，</w:t>
      </w:r>
      <w:r w:rsidRPr="00F47F12">
        <w:rPr>
          <w:rFonts w:hint="eastAsia"/>
          <w:bCs/>
          <w:sz w:val="28"/>
          <w:szCs w:val="20"/>
        </w:rPr>
        <w:t>YANG YJ</w:t>
      </w:r>
      <w:r w:rsidRPr="00F47F12">
        <w:rPr>
          <w:rFonts w:hint="eastAsia"/>
          <w:bCs/>
          <w:sz w:val="28"/>
          <w:szCs w:val="20"/>
          <w:vertAlign w:val="superscript"/>
        </w:rPr>
        <w:t>3</w:t>
      </w:r>
      <w:r w:rsidRPr="00F47F12">
        <w:rPr>
          <w:rFonts w:hint="eastAsia"/>
          <w:bCs/>
          <w:sz w:val="28"/>
          <w:szCs w:val="20"/>
        </w:rPr>
        <w:t>，</w:t>
      </w:r>
      <w:r w:rsidRPr="00F47F12">
        <w:rPr>
          <w:rFonts w:hint="eastAsia"/>
          <w:bCs/>
          <w:sz w:val="28"/>
          <w:szCs w:val="20"/>
        </w:rPr>
        <w:t>LI ZB</w:t>
      </w:r>
      <w:r w:rsidRPr="00F47F12">
        <w:rPr>
          <w:rFonts w:hint="eastAsia"/>
          <w:bCs/>
          <w:sz w:val="28"/>
          <w:szCs w:val="20"/>
          <w:vertAlign w:val="superscript"/>
        </w:rPr>
        <w:t>4</w:t>
      </w:r>
      <w:r w:rsidRPr="00F47F12">
        <w:rPr>
          <w:rFonts w:hint="eastAsia"/>
          <w:bCs/>
          <w:sz w:val="28"/>
          <w:szCs w:val="20"/>
        </w:rPr>
        <w:t>，</w:t>
      </w:r>
      <w:r w:rsidRPr="00F47F12">
        <w:rPr>
          <w:rFonts w:hint="eastAsia"/>
          <w:bCs/>
          <w:sz w:val="28"/>
          <w:szCs w:val="20"/>
        </w:rPr>
        <w:t>WU FJ</w:t>
      </w:r>
      <w:r w:rsidRPr="00F47F12">
        <w:rPr>
          <w:rFonts w:hint="eastAsia"/>
          <w:bCs/>
          <w:sz w:val="28"/>
          <w:szCs w:val="20"/>
          <w:vertAlign w:val="superscript"/>
        </w:rPr>
        <w:t>5</w:t>
      </w:r>
    </w:p>
    <w:p w14:paraId="5A6D54F0" w14:textId="59FB98D7" w:rsidR="00C846E2" w:rsidRPr="000D7C31" w:rsidRDefault="005E34EB" w:rsidP="000D7C31">
      <w:pPr>
        <w:spacing w:after="0" w:line="240" w:lineRule="auto"/>
        <w:jc w:val="center"/>
        <w:rPr>
          <w:rFonts w:eastAsia="Times New Roman"/>
          <w:i/>
          <w:sz w:val="20"/>
          <w:szCs w:val="20"/>
          <w:lang w:val="en-US"/>
        </w:rPr>
      </w:pPr>
      <w:r w:rsidRPr="000D7C31">
        <w:rPr>
          <w:i/>
          <w:sz w:val="20"/>
          <w:szCs w:val="20"/>
          <w:vertAlign w:val="superscript"/>
        </w:rPr>
        <w:t>1</w:t>
      </w:r>
      <w:r w:rsidR="00F47F12" w:rsidRPr="00F47F12">
        <w:rPr>
          <w:rFonts w:hint="eastAsia"/>
        </w:rPr>
        <w:t xml:space="preserve"> </w:t>
      </w:r>
      <w:r w:rsidR="00F47F12" w:rsidRPr="00F47F12">
        <w:rPr>
          <w:rFonts w:hint="eastAsia"/>
          <w:i/>
          <w:sz w:val="20"/>
          <w:szCs w:val="20"/>
        </w:rPr>
        <w:t>Prof. College of Life and Health</w:t>
      </w:r>
      <w:r w:rsidR="00F47F12" w:rsidRPr="00F47F12">
        <w:rPr>
          <w:rFonts w:hint="eastAsia"/>
          <w:i/>
          <w:sz w:val="20"/>
          <w:szCs w:val="20"/>
        </w:rPr>
        <w:t>，</w:t>
      </w:r>
      <w:r w:rsidR="00F47F12" w:rsidRPr="00F47F12">
        <w:rPr>
          <w:rFonts w:hint="eastAsia"/>
          <w:i/>
          <w:sz w:val="20"/>
          <w:szCs w:val="20"/>
        </w:rPr>
        <w:t>Dalian University</w:t>
      </w:r>
      <w:r w:rsidR="00F47F12" w:rsidRPr="00F47F12">
        <w:rPr>
          <w:rFonts w:hint="eastAsia"/>
          <w:i/>
          <w:sz w:val="20"/>
          <w:szCs w:val="20"/>
        </w:rPr>
        <w:t>，</w:t>
      </w:r>
      <w:r w:rsidR="00F47F12" w:rsidRPr="00F47F12">
        <w:rPr>
          <w:rFonts w:hint="eastAsia"/>
          <w:i/>
          <w:sz w:val="20"/>
          <w:szCs w:val="20"/>
        </w:rPr>
        <w:t>China</w:t>
      </w:r>
      <w:r w:rsidR="00C846E2" w:rsidRPr="000D7C31">
        <w:rPr>
          <w:i/>
          <w:sz w:val="20"/>
          <w:szCs w:val="20"/>
        </w:rPr>
        <w:t>.</w:t>
      </w:r>
    </w:p>
    <w:p w14:paraId="2F607313" w14:textId="274FDCAF" w:rsidR="005E34EB" w:rsidRPr="000D7C31" w:rsidRDefault="00C846E2" w:rsidP="000D7C31">
      <w:pPr>
        <w:pStyle w:val="Default"/>
        <w:jc w:val="center"/>
        <w:rPr>
          <w:b/>
          <w:bCs/>
          <w:i/>
          <w:sz w:val="20"/>
          <w:szCs w:val="20"/>
        </w:rPr>
      </w:pPr>
      <w:r w:rsidRPr="000D7C31">
        <w:rPr>
          <w:i/>
          <w:sz w:val="20"/>
          <w:szCs w:val="20"/>
          <w:vertAlign w:val="superscript"/>
        </w:rPr>
        <w:t>2</w:t>
      </w:r>
      <w:r w:rsidR="00F47F12" w:rsidRPr="00F47F12">
        <w:rPr>
          <w:rFonts w:hint="eastAsia"/>
        </w:rPr>
        <w:t xml:space="preserve"> </w:t>
      </w:r>
      <w:r w:rsidR="00F47F12" w:rsidRPr="00F47F12">
        <w:rPr>
          <w:rFonts w:hint="eastAsia"/>
          <w:i/>
          <w:sz w:val="20"/>
          <w:szCs w:val="20"/>
        </w:rPr>
        <w:t xml:space="preserve">Prof. College of Life and </w:t>
      </w:r>
      <w:proofErr w:type="spellStart"/>
      <w:r w:rsidR="00F47F12" w:rsidRPr="00F47F12">
        <w:rPr>
          <w:rFonts w:hint="eastAsia"/>
          <w:i/>
          <w:sz w:val="20"/>
          <w:szCs w:val="20"/>
        </w:rPr>
        <w:t>Health</w:t>
      </w:r>
      <w:r w:rsidR="00F47F12" w:rsidRPr="00F47F12">
        <w:rPr>
          <w:rFonts w:hint="eastAsia"/>
          <w:i/>
          <w:sz w:val="20"/>
          <w:szCs w:val="20"/>
        </w:rPr>
        <w:t>，</w:t>
      </w:r>
      <w:r w:rsidR="00F47F12" w:rsidRPr="00F47F12">
        <w:rPr>
          <w:rFonts w:hint="eastAsia"/>
          <w:i/>
          <w:sz w:val="20"/>
          <w:szCs w:val="20"/>
        </w:rPr>
        <w:t>Dalian</w:t>
      </w:r>
      <w:proofErr w:type="spellEnd"/>
      <w:r w:rsidR="00F47F12" w:rsidRPr="00F47F12">
        <w:rPr>
          <w:rFonts w:hint="eastAsia"/>
          <w:i/>
          <w:sz w:val="20"/>
          <w:szCs w:val="20"/>
        </w:rPr>
        <w:t xml:space="preserve"> </w:t>
      </w:r>
      <w:proofErr w:type="spellStart"/>
      <w:r w:rsidR="00F47F12" w:rsidRPr="00F47F12">
        <w:rPr>
          <w:rFonts w:hint="eastAsia"/>
          <w:i/>
          <w:sz w:val="20"/>
          <w:szCs w:val="20"/>
        </w:rPr>
        <w:t>University</w:t>
      </w:r>
      <w:r w:rsidR="00F47F12" w:rsidRPr="00F47F12">
        <w:rPr>
          <w:rFonts w:hint="eastAsia"/>
          <w:i/>
          <w:sz w:val="20"/>
          <w:szCs w:val="20"/>
        </w:rPr>
        <w:t>，</w:t>
      </w:r>
      <w:r w:rsidR="00F47F12" w:rsidRPr="00F47F12">
        <w:rPr>
          <w:rFonts w:hint="eastAsia"/>
          <w:i/>
          <w:sz w:val="20"/>
          <w:szCs w:val="20"/>
        </w:rPr>
        <w:t>China</w:t>
      </w:r>
      <w:proofErr w:type="spellEnd"/>
      <w:r w:rsidR="005E34EB" w:rsidRPr="000D7C31">
        <w:rPr>
          <w:i/>
          <w:sz w:val="20"/>
          <w:szCs w:val="20"/>
        </w:rPr>
        <w:t>.</w:t>
      </w:r>
    </w:p>
    <w:p w14:paraId="222B6B5B" w14:textId="285EF9F2" w:rsidR="00B27C8D" w:rsidRDefault="00C846E2" w:rsidP="000D7C31">
      <w:pPr>
        <w:pStyle w:val="Default"/>
        <w:jc w:val="center"/>
        <w:rPr>
          <w:i/>
          <w:sz w:val="20"/>
          <w:szCs w:val="20"/>
        </w:rPr>
      </w:pPr>
      <w:r w:rsidRPr="000D7C31">
        <w:rPr>
          <w:i/>
          <w:sz w:val="20"/>
          <w:szCs w:val="20"/>
          <w:vertAlign w:val="superscript"/>
        </w:rPr>
        <w:t>3</w:t>
      </w:r>
      <w:r w:rsidR="00F47F12" w:rsidRPr="00F47F12">
        <w:rPr>
          <w:rFonts w:hint="eastAsia"/>
        </w:rPr>
        <w:t xml:space="preserve"> </w:t>
      </w:r>
      <w:r w:rsidR="00F47F12" w:rsidRPr="00F47F12">
        <w:rPr>
          <w:rFonts w:hint="eastAsia"/>
          <w:i/>
          <w:sz w:val="20"/>
          <w:szCs w:val="20"/>
        </w:rPr>
        <w:t xml:space="preserve">PhD, College of Life and </w:t>
      </w:r>
      <w:proofErr w:type="spellStart"/>
      <w:r w:rsidR="00F47F12" w:rsidRPr="00F47F12">
        <w:rPr>
          <w:rFonts w:hint="eastAsia"/>
          <w:i/>
          <w:sz w:val="20"/>
          <w:szCs w:val="20"/>
        </w:rPr>
        <w:t>Health</w:t>
      </w:r>
      <w:r w:rsidR="00F47F12" w:rsidRPr="00F47F12">
        <w:rPr>
          <w:rFonts w:hint="eastAsia"/>
          <w:i/>
          <w:sz w:val="20"/>
          <w:szCs w:val="20"/>
        </w:rPr>
        <w:t>，</w:t>
      </w:r>
      <w:r w:rsidR="00F47F12" w:rsidRPr="00F47F12">
        <w:rPr>
          <w:rFonts w:hint="eastAsia"/>
          <w:i/>
          <w:sz w:val="20"/>
          <w:szCs w:val="20"/>
        </w:rPr>
        <w:t>Dalian</w:t>
      </w:r>
      <w:proofErr w:type="spellEnd"/>
      <w:r w:rsidR="00F47F12" w:rsidRPr="00F47F12">
        <w:rPr>
          <w:rFonts w:hint="eastAsia"/>
          <w:i/>
          <w:sz w:val="20"/>
          <w:szCs w:val="20"/>
        </w:rPr>
        <w:t xml:space="preserve"> </w:t>
      </w:r>
      <w:proofErr w:type="spellStart"/>
      <w:r w:rsidR="00F47F12" w:rsidRPr="00F47F12">
        <w:rPr>
          <w:rFonts w:hint="eastAsia"/>
          <w:i/>
          <w:sz w:val="20"/>
          <w:szCs w:val="20"/>
        </w:rPr>
        <w:t>University</w:t>
      </w:r>
      <w:r w:rsidR="00F47F12" w:rsidRPr="00F47F12">
        <w:rPr>
          <w:rFonts w:hint="eastAsia"/>
          <w:i/>
          <w:sz w:val="20"/>
          <w:szCs w:val="20"/>
        </w:rPr>
        <w:t>，</w:t>
      </w:r>
      <w:r w:rsidR="00F47F12" w:rsidRPr="00F47F12">
        <w:rPr>
          <w:rFonts w:hint="eastAsia"/>
          <w:i/>
          <w:sz w:val="20"/>
          <w:szCs w:val="20"/>
        </w:rPr>
        <w:t>China</w:t>
      </w:r>
      <w:proofErr w:type="spellEnd"/>
      <w:r w:rsidR="009D2913" w:rsidRPr="000D7C31">
        <w:rPr>
          <w:i/>
          <w:sz w:val="20"/>
          <w:szCs w:val="20"/>
        </w:rPr>
        <w:t>.</w:t>
      </w:r>
    </w:p>
    <w:p w14:paraId="19EC718E" w14:textId="27B16226" w:rsidR="00F47F12" w:rsidRDefault="00F47F12" w:rsidP="000D7C31">
      <w:pPr>
        <w:pStyle w:val="Default"/>
        <w:jc w:val="center"/>
        <w:rPr>
          <w:i/>
          <w:sz w:val="20"/>
          <w:szCs w:val="20"/>
        </w:rPr>
      </w:pPr>
      <w:r w:rsidRPr="00F47F12">
        <w:rPr>
          <w:rFonts w:hint="eastAsia"/>
          <w:i/>
          <w:sz w:val="20"/>
          <w:szCs w:val="20"/>
          <w:vertAlign w:val="superscript"/>
          <w:lang w:eastAsia="zh-CN"/>
        </w:rPr>
        <w:t>4</w:t>
      </w:r>
      <w:r w:rsidRPr="00F47F12">
        <w:rPr>
          <w:rFonts w:hint="eastAsia"/>
          <w:i/>
          <w:sz w:val="20"/>
          <w:szCs w:val="20"/>
        </w:rPr>
        <w:t xml:space="preserve">PhD, College of Life and </w:t>
      </w:r>
      <w:proofErr w:type="spellStart"/>
      <w:r w:rsidRPr="00F47F12">
        <w:rPr>
          <w:rFonts w:hint="eastAsia"/>
          <w:i/>
          <w:sz w:val="20"/>
          <w:szCs w:val="20"/>
        </w:rPr>
        <w:t>Health</w:t>
      </w:r>
      <w:r w:rsidRPr="00F47F12">
        <w:rPr>
          <w:rFonts w:hint="eastAsia"/>
          <w:i/>
          <w:sz w:val="20"/>
          <w:szCs w:val="20"/>
        </w:rPr>
        <w:t>，</w:t>
      </w:r>
      <w:r w:rsidRPr="00F47F12">
        <w:rPr>
          <w:rFonts w:hint="eastAsia"/>
          <w:i/>
          <w:sz w:val="20"/>
          <w:szCs w:val="20"/>
        </w:rPr>
        <w:t>Dalian</w:t>
      </w:r>
      <w:proofErr w:type="spellEnd"/>
      <w:r w:rsidRPr="00F47F12">
        <w:rPr>
          <w:rFonts w:hint="eastAsia"/>
          <w:i/>
          <w:sz w:val="20"/>
          <w:szCs w:val="20"/>
        </w:rPr>
        <w:t xml:space="preserve"> </w:t>
      </w:r>
      <w:proofErr w:type="spellStart"/>
      <w:r w:rsidRPr="00F47F12">
        <w:rPr>
          <w:rFonts w:hint="eastAsia"/>
          <w:i/>
          <w:sz w:val="20"/>
          <w:szCs w:val="20"/>
        </w:rPr>
        <w:t>University</w:t>
      </w:r>
      <w:r w:rsidRPr="00F47F12">
        <w:rPr>
          <w:rFonts w:hint="eastAsia"/>
          <w:i/>
          <w:sz w:val="20"/>
          <w:szCs w:val="20"/>
        </w:rPr>
        <w:t>，</w:t>
      </w:r>
      <w:r w:rsidRPr="00F47F12">
        <w:rPr>
          <w:rFonts w:hint="eastAsia"/>
          <w:i/>
          <w:sz w:val="20"/>
          <w:szCs w:val="20"/>
        </w:rPr>
        <w:t>China</w:t>
      </w:r>
      <w:proofErr w:type="spellEnd"/>
    </w:p>
    <w:p w14:paraId="18E79E56" w14:textId="72DFE20C" w:rsidR="00F47F12" w:rsidRPr="000D7C31" w:rsidRDefault="00F47F12" w:rsidP="000D7C31">
      <w:pPr>
        <w:pStyle w:val="Default"/>
        <w:jc w:val="center"/>
        <w:rPr>
          <w:i/>
          <w:sz w:val="20"/>
          <w:szCs w:val="20"/>
        </w:rPr>
      </w:pPr>
      <w:r w:rsidRPr="00F47F12">
        <w:rPr>
          <w:rFonts w:hint="eastAsia"/>
          <w:i/>
          <w:sz w:val="20"/>
          <w:szCs w:val="20"/>
          <w:vertAlign w:val="superscript"/>
          <w:lang w:eastAsia="zh-CN"/>
        </w:rPr>
        <w:t>5</w:t>
      </w:r>
      <w:r w:rsidRPr="00F47F12">
        <w:rPr>
          <w:rFonts w:hint="eastAsia"/>
          <w:i/>
          <w:sz w:val="20"/>
          <w:szCs w:val="20"/>
        </w:rPr>
        <w:t xml:space="preserve">Graduate student, College of Life and </w:t>
      </w:r>
      <w:proofErr w:type="spellStart"/>
      <w:r w:rsidRPr="00F47F12">
        <w:rPr>
          <w:rFonts w:hint="eastAsia"/>
          <w:i/>
          <w:sz w:val="20"/>
          <w:szCs w:val="20"/>
        </w:rPr>
        <w:t>Health</w:t>
      </w:r>
      <w:r w:rsidRPr="00F47F12">
        <w:rPr>
          <w:rFonts w:hint="eastAsia"/>
          <w:i/>
          <w:sz w:val="20"/>
          <w:szCs w:val="20"/>
        </w:rPr>
        <w:t>，</w:t>
      </w:r>
      <w:r w:rsidRPr="00F47F12">
        <w:rPr>
          <w:rFonts w:hint="eastAsia"/>
          <w:i/>
          <w:sz w:val="20"/>
          <w:szCs w:val="20"/>
        </w:rPr>
        <w:t>Dalian</w:t>
      </w:r>
      <w:proofErr w:type="spellEnd"/>
      <w:r w:rsidRPr="00F47F12">
        <w:rPr>
          <w:rFonts w:hint="eastAsia"/>
          <w:i/>
          <w:sz w:val="20"/>
          <w:szCs w:val="20"/>
        </w:rPr>
        <w:t xml:space="preserve"> </w:t>
      </w:r>
      <w:proofErr w:type="spellStart"/>
      <w:r w:rsidRPr="00F47F12">
        <w:rPr>
          <w:rFonts w:hint="eastAsia"/>
          <w:i/>
          <w:sz w:val="20"/>
          <w:szCs w:val="20"/>
        </w:rPr>
        <w:t>University</w:t>
      </w:r>
      <w:r w:rsidRPr="00F47F12">
        <w:rPr>
          <w:rFonts w:hint="eastAsia"/>
          <w:i/>
          <w:sz w:val="20"/>
          <w:szCs w:val="20"/>
        </w:rPr>
        <w:t>，</w:t>
      </w:r>
      <w:r w:rsidRPr="00F47F12">
        <w:rPr>
          <w:rFonts w:hint="eastAsia"/>
          <w:i/>
          <w:sz w:val="20"/>
          <w:szCs w:val="20"/>
        </w:rPr>
        <w:t>China</w:t>
      </w:r>
      <w:proofErr w:type="spellEnd"/>
    </w:p>
    <w:p w14:paraId="76C25886" w14:textId="1579C35D"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F47F12" w:rsidRPr="00F47F12">
        <w:rPr>
          <w:rFonts w:eastAsia="Times New Roman"/>
          <w:b w:val="0"/>
          <w:i/>
          <w:color w:val="000000"/>
          <w:sz w:val="20"/>
          <w:szCs w:val="20"/>
        </w:rPr>
        <w:t>Tang Q, Email:tangqian@dlu.edu.cn</w:t>
      </w:r>
    </w:p>
    <w:p w14:paraId="18CAFE0D" w14:textId="036095C3" w:rsidR="00FD4499" w:rsidRPr="00FD4499" w:rsidRDefault="00000000" w:rsidP="00FD4499">
      <w:pPr>
        <w:spacing w:after="0" w:line="240" w:lineRule="auto"/>
        <w:rPr>
          <w:sz w:val="20"/>
        </w:rPr>
      </w:pPr>
      <w:r>
        <w:rPr>
          <w:i/>
          <w:iCs/>
          <w:noProof/>
          <w:sz w:val="20"/>
          <w:szCs w:val="20"/>
          <w:lang w:val="en-US"/>
        </w:rPr>
        <w:pict w14:anchorId="04B3C7CE">
          <v:roundrect id="_x0000_s2063" style="position:absolute;left:0;text-align:left;margin-left:-.9pt;margin-top:11.55pt;width:447.15pt;height:164.25pt;z-index:251658240" arcsize="4245f" strokecolor="#d99594" strokeweight="1pt">
            <v:fill color2="#e5b8b7" focusposition="1" focussize="" focus="100%" type="gradient"/>
            <v:shadow on="t" type="perspective" color="#622423" opacity=".5" offset="1pt" offset2="-3pt"/>
            <v:textbox style="mso-next-textbox:#_x0000_s2063">
              <w:txbxContent>
                <w:p w14:paraId="57B18E70" w14:textId="7062B332" w:rsidR="007B62F3" w:rsidRPr="00FD4499" w:rsidRDefault="007B62F3" w:rsidP="00FD4499">
                  <w:pPr>
                    <w:pStyle w:val="AbstractLiteratur"/>
                    <w:spacing w:before="0" w:after="0" w:line="240" w:lineRule="auto"/>
                    <w:jc w:val="both"/>
                    <w:rPr>
                      <w:b w:val="0"/>
                      <w:i/>
                      <w:iCs/>
                      <w:sz w:val="20"/>
                      <w:szCs w:val="20"/>
                      <w:lang w:val="en-US" w:eastAsia="zh-CN"/>
                    </w:rPr>
                  </w:pPr>
                  <w:r w:rsidRPr="00B26C1C">
                    <w:rPr>
                      <w:i/>
                      <w:iCs/>
                      <w:sz w:val="20"/>
                      <w:szCs w:val="20"/>
                      <w:lang w:val="en-US"/>
                    </w:rPr>
                    <w:t>ABSTRACT</w:t>
                  </w:r>
                  <w:r>
                    <w:rPr>
                      <w:i/>
                      <w:iCs/>
                      <w:sz w:val="20"/>
                      <w:szCs w:val="20"/>
                      <w:lang w:val="en-US"/>
                    </w:rPr>
                    <w:t>:</w:t>
                  </w:r>
                  <w:r w:rsidR="00F47F12" w:rsidRPr="00F47F12">
                    <w:t xml:space="preserve"> </w:t>
                  </w:r>
                  <w:r w:rsidR="00F47F12" w:rsidRPr="00F47F12">
                    <w:rPr>
                      <w:b w:val="0"/>
                      <w:bCs/>
                      <w:i/>
                      <w:color w:val="000000" w:themeColor="text1"/>
                      <w:sz w:val="20"/>
                      <w:szCs w:val="20"/>
                    </w:rPr>
                    <w:t>With the advancement of technology and the rapid development of the era, contemporary college students are exposed to an overwhelming amount of knowledge and information. The exponential growth of internet technology has revolutionized various industries, including education. Given these changes, can university teachers still rely on teaching methods from a decade or even decades ago to meet the learning demands of today's students? Educational reform is imperative, and outcome-based teaching models have emerged as a response. Drawing from over a decade of teaching experience and insights gained from multiple curriculum reform training programs, this paper summarizes and reflects on key pedagogical considerations. The aim is to provide valuable insights for enhancing teaching practices in teaching of bioengineering</w:t>
                  </w:r>
                  <w:r w:rsidR="00F47F12">
                    <w:rPr>
                      <w:rFonts w:hint="eastAsia"/>
                      <w:b w:val="0"/>
                      <w:bCs/>
                      <w:i/>
                      <w:color w:val="000000" w:themeColor="text1"/>
                      <w:sz w:val="20"/>
                      <w:szCs w:val="20"/>
                      <w:lang w:eastAsia="zh-CN"/>
                    </w:rPr>
                    <w:t>.</w:t>
                  </w:r>
                </w:p>
                <w:p w14:paraId="51B23454" w14:textId="55B72C57" w:rsidR="007B62F3" w:rsidRPr="00FD4499" w:rsidRDefault="007B62F3" w:rsidP="00FD4499">
                  <w:r w:rsidRPr="00B26C1C">
                    <w:rPr>
                      <w:b/>
                      <w:bCs/>
                      <w:i/>
                      <w:iCs/>
                      <w:sz w:val="20"/>
                      <w:szCs w:val="20"/>
                      <w:lang w:val="en-US"/>
                    </w:rPr>
                    <w:t>KEY WARDS:</w:t>
                  </w:r>
                  <w:r w:rsidR="00FC605A" w:rsidRPr="00FC605A">
                    <w:rPr>
                      <w:b/>
                      <w:i/>
                      <w:color w:val="FF0000"/>
                      <w:sz w:val="20"/>
                      <w:szCs w:val="20"/>
                    </w:rPr>
                    <w:t xml:space="preserve"> </w:t>
                  </w:r>
                  <w:r w:rsidR="00F47F12" w:rsidRPr="00F47F12">
                    <w:rPr>
                      <w:i/>
                      <w:iCs/>
                      <w:sz w:val="20"/>
                      <w:szCs w:val="20"/>
                      <w:lang w:val="en-US"/>
                    </w:rPr>
                    <w:t>OBE (Outcome-Based Education)</w:t>
                  </w:r>
                  <w:r w:rsidR="00F47F12">
                    <w:rPr>
                      <w:rFonts w:hint="eastAsia"/>
                      <w:i/>
                      <w:iCs/>
                      <w:sz w:val="20"/>
                      <w:szCs w:val="20"/>
                      <w:lang w:val="en-US" w:eastAsia="zh-CN"/>
                    </w:rPr>
                    <w:t>,</w:t>
                  </w:r>
                  <w:r w:rsidR="00F47F12" w:rsidRPr="00F47F12">
                    <w:rPr>
                      <w:i/>
                      <w:iCs/>
                      <w:sz w:val="20"/>
                      <w:szCs w:val="20"/>
                      <w:lang w:val="en-US"/>
                    </w:rPr>
                    <w:t xml:space="preserve"> Bioengineering</w:t>
                  </w:r>
                  <w:r w:rsidR="00F47F12">
                    <w:rPr>
                      <w:rFonts w:hint="eastAsia"/>
                      <w:i/>
                      <w:iCs/>
                      <w:sz w:val="20"/>
                      <w:szCs w:val="20"/>
                      <w:lang w:val="en-US" w:eastAsia="zh-CN"/>
                    </w:rPr>
                    <w:t>,</w:t>
                  </w:r>
                  <w:r w:rsidR="00F47F12" w:rsidRPr="00F47F12">
                    <w:rPr>
                      <w:i/>
                      <w:iCs/>
                      <w:sz w:val="20"/>
                      <w:szCs w:val="20"/>
                      <w:lang w:val="en-US"/>
                    </w:rPr>
                    <w:t xml:space="preserve"> Talent Cultivation</w:t>
                  </w:r>
                  <w:r w:rsidR="00F47F12">
                    <w:rPr>
                      <w:rFonts w:hint="eastAsia"/>
                      <w:i/>
                      <w:iCs/>
                      <w:sz w:val="20"/>
                      <w:szCs w:val="20"/>
                      <w:lang w:val="en-US" w:eastAsia="zh-CN"/>
                    </w:rPr>
                    <w:t>,</w:t>
                  </w:r>
                  <w:r w:rsidR="00F47F12" w:rsidRPr="00F47F12">
                    <w:rPr>
                      <w:i/>
                      <w:iCs/>
                      <w:sz w:val="20"/>
                      <w:szCs w:val="20"/>
                      <w:lang w:val="en-US"/>
                    </w:rPr>
                    <w:t xml:space="preserve"> Teaching Reform</w:t>
                  </w:r>
                  <w:r w:rsidR="00F47F12">
                    <w:rPr>
                      <w:rFonts w:hint="eastAsia"/>
                      <w:i/>
                      <w:iCs/>
                      <w:sz w:val="20"/>
                      <w:szCs w:val="20"/>
                      <w:lang w:val="en-US" w:eastAsia="zh-CN"/>
                    </w:rPr>
                    <w:t>,</w:t>
                  </w:r>
                  <w:r w:rsidR="00F47F12" w:rsidRPr="00F47F12">
                    <w:rPr>
                      <w:i/>
                      <w:iCs/>
                      <w:sz w:val="20"/>
                      <w:szCs w:val="20"/>
                      <w:lang w:val="en-US"/>
                    </w:rPr>
                    <w:t xml:space="preserve"> Reflections</w:t>
                  </w:r>
                </w:p>
              </w:txbxContent>
            </v:textbox>
          </v:roundrect>
        </w:pict>
      </w:r>
    </w:p>
    <w:p w14:paraId="3E80E575" w14:textId="23515CC4" w:rsidR="000D7C31" w:rsidRDefault="000D7C31" w:rsidP="00A730AA">
      <w:pPr>
        <w:pStyle w:val="AbstractLiteratur"/>
        <w:spacing w:before="0" w:after="0" w:line="240" w:lineRule="auto"/>
        <w:jc w:val="both"/>
        <w:rPr>
          <w:i/>
          <w:iCs/>
          <w:sz w:val="20"/>
          <w:szCs w:val="20"/>
          <w:lang w:val="en-US"/>
        </w:rPr>
      </w:pPr>
    </w:p>
    <w:p w14:paraId="71EF7DD6" w14:textId="77777777" w:rsidR="000D7C31" w:rsidRDefault="000D7C31" w:rsidP="00A730AA">
      <w:pPr>
        <w:pStyle w:val="AbstractLiteratur"/>
        <w:spacing w:before="0" w:after="0" w:line="240" w:lineRule="auto"/>
        <w:jc w:val="both"/>
        <w:rPr>
          <w:i/>
          <w:iCs/>
          <w:sz w:val="20"/>
          <w:szCs w:val="20"/>
          <w:lang w:val="en-US"/>
        </w:rPr>
      </w:pPr>
    </w:p>
    <w:p w14:paraId="0BBB6DC3" w14:textId="77777777" w:rsidR="000D7C31" w:rsidRDefault="000D7C31" w:rsidP="00A730AA">
      <w:pPr>
        <w:pStyle w:val="AbstractLiteratur"/>
        <w:spacing w:before="0" w:after="0" w:line="240" w:lineRule="auto"/>
        <w:jc w:val="both"/>
        <w:rPr>
          <w:i/>
          <w:iCs/>
          <w:sz w:val="20"/>
          <w:szCs w:val="20"/>
          <w:lang w:val="en-US"/>
        </w:rPr>
      </w:pPr>
    </w:p>
    <w:p w14:paraId="306E7E6C" w14:textId="77777777" w:rsidR="000D7C31" w:rsidRDefault="000D7C31" w:rsidP="00A730AA">
      <w:pPr>
        <w:pStyle w:val="AbstractLiteratur"/>
        <w:spacing w:before="0" w:after="0" w:line="240" w:lineRule="auto"/>
        <w:jc w:val="both"/>
        <w:rPr>
          <w:i/>
          <w:iCs/>
          <w:sz w:val="20"/>
          <w:szCs w:val="20"/>
          <w:lang w:val="en-US"/>
        </w:rPr>
      </w:pPr>
    </w:p>
    <w:p w14:paraId="19F4D200" w14:textId="77777777" w:rsidR="000D7C31" w:rsidRDefault="000D7C31" w:rsidP="00A730AA">
      <w:pPr>
        <w:pStyle w:val="AbstractLiteratur"/>
        <w:spacing w:before="0" w:after="0" w:line="240" w:lineRule="auto"/>
        <w:jc w:val="both"/>
        <w:rPr>
          <w:i/>
          <w:iCs/>
          <w:sz w:val="20"/>
          <w:szCs w:val="20"/>
          <w:lang w:val="en-US"/>
        </w:rPr>
      </w:pPr>
    </w:p>
    <w:p w14:paraId="6028F887" w14:textId="77777777" w:rsidR="000D7C31" w:rsidRDefault="000D7C31" w:rsidP="00A730AA">
      <w:pPr>
        <w:pStyle w:val="AbstractLiteratur"/>
        <w:spacing w:before="0" w:after="0" w:line="240" w:lineRule="auto"/>
        <w:jc w:val="both"/>
        <w:rPr>
          <w:i/>
          <w:iCs/>
          <w:sz w:val="20"/>
          <w:szCs w:val="20"/>
          <w:lang w:val="en-US"/>
        </w:rPr>
      </w:pPr>
    </w:p>
    <w:p w14:paraId="1ED34B88" w14:textId="77777777" w:rsidR="000D7C31" w:rsidRDefault="000D7C31" w:rsidP="00A730AA">
      <w:pPr>
        <w:pStyle w:val="AbstractLiteratur"/>
        <w:spacing w:before="0" w:after="0" w:line="240" w:lineRule="auto"/>
        <w:jc w:val="both"/>
        <w:rPr>
          <w:i/>
          <w:iCs/>
          <w:sz w:val="20"/>
          <w:szCs w:val="20"/>
          <w:lang w:val="en-US"/>
        </w:rPr>
      </w:pPr>
    </w:p>
    <w:p w14:paraId="2B0556E1" w14:textId="77777777" w:rsidR="000D7C31" w:rsidRDefault="000D7C31" w:rsidP="00A730AA">
      <w:pPr>
        <w:pStyle w:val="AbstractLiteratur"/>
        <w:spacing w:before="0" w:after="0" w:line="240" w:lineRule="auto"/>
        <w:jc w:val="both"/>
        <w:rPr>
          <w:i/>
          <w:iCs/>
          <w:sz w:val="20"/>
          <w:szCs w:val="20"/>
          <w:lang w:val="en-US"/>
        </w:rPr>
      </w:pPr>
    </w:p>
    <w:p w14:paraId="06E2D19B" w14:textId="77777777" w:rsidR="000D7C31" w:rsidRDefault="000D7C31" w:rsidP="00A730AA">
      <w:pPr>
        <w:pStyle w:val="AbstractLiteratur"/>
        <w:spacing w:before="0" w:after="0" w:line="240" w:lineRule="auto"/>
        <w:jc w:val="both"/>
        <w:rPr>
          <w:i/>
          <w:iCs/>
          <w:sz w:val="20"/>
          <w:szCs w:val="20"/>
          <w:lang w:val="en-US"/>
        </w:rPr>
      </w:pPr>
    </w:p>
    <w:p w14:paraId="468FCEF2" w14:textId="77777777" w:rsidR="000D7C31" w:rsidRDefault="000D7C31" w:rsidP="00A730AA">
      <w:pPr>
        <w:pStyle w:val="AbstractLiteratur"/>
        <w:spacing w:before="0" w:after="0" w:line="240" w:lineRule="auto"/>
        <w:jc w:val="both"/>
        <w:rPr>
          <w:i/>
          <w:iCs/>
          <w:sz w:val="20"/>
          <w:szCs w:val="20"/>
          <w:lang w:val="en-US"/>
        </w:rPr>
      </w:pPr>
    </w:p>
    <w:p w14:paraId="1602F721" w14:textId="77777777" w:rsidR="000D7C31" w:rsidRDefault="000D7C31" w:rsidP="00A730AA">
      <w:pPr>
        <w:pStyle w:val="AbstractLiteratur"/>
        <w:spacing w:before="0" w:after="0" w:line="240" w:lineRule="auto"/>
        <w:jc w:val="both"/>
        <w:rPr>
          <w:i/>
          <w:iCs/>
          <w:sz w:val="20"/>
          <w:szCs w:val="20"/>
          <w:lang w:val="en-US"/>
        </w:rPr>
      </w:pPr>
    </w:p>
    <w:p w14:paraId="0ACF5EF8" w14:textId="77777777" w:rsidR="000D7C31" w:rsidRDefault="000D7C31" w:rsidP="00A730AA">
      <w:pPr>
        <w:pStyle w:val="AbstractLiteratur"/>
        <w:spacing w:before="0" w:after="0" w:line="240" w:lineRule="auto"/>
        <w:jc w:val="both"/>
        <w:rPr>
          <w:i/>
          <w:iCs/>
          <w:sz w:val="20"/>
          <w:szCs w:val="20"/>
          <w:lang w:val="en-US"/>
        </w:rPr>
      </w:pPr>
    </w:p>
    <w:p w14:paraId="507B097D" w14:textId="77777777" w:rsidR="000D7C31" w:rsidRDefault="000D7C31" w:rsidP="00A730AA">
      <w:pPr>
        <w:pStyle w:val="AbstractLiteratur"/>
        <w:spacing w:before="0" w:after="0" w:line="240" w:lineRule="auto"/>
        <w:jc w:val="both"/>
        <w:rPr>
          <w:i/>
          <w:iCs/>
          <w:sz w:val="20"/>
          <w:szCs w:val="20"/>
          <w:lang w:val="en-US"/>
        </w:rPr>
      </w:pPr>
    </w:p>
    <w:p w14:paraId="1B27DF7F" w14:textId="77777777" w:rsidR="000D7C31" w:rsidRDefault="000D7C31" w:rsidP="00A730AA">
      <w:pPr>
        <w:pStyle w:val="AbstractLiteratur"/>
        <w:spacing w:before="0" w:after="0" w:line="240" w:lineRule="auto"/>
        <w:jc w:val="both"/>
        <w:rPr>
          <w:i/>
          <w:iCs/>
          <w:sz w:val="20"/>
          <w:szCs w:val="20"/>
          <w:lang w:val="en-US"/>
        </w:rPr>
      </w:pPr>
    </w:p>
    <w:p w14:paraId="63B5D1DE" w14:textId="77777777" w:rsidR="000D7C31" w:rsidRDefault="000D7C31" w:rsidP="00A730AA">
      <w:pPr>
        <w:pStyle w:val="AbstractLiteratur"/>
        <w:spacing w:before="0" w:after="0" w:line="240" w:lineRule="auto"/>
        <w:jc w:val="both"/>
        <w:rPr>
          <w:i/>
          <w:iCs/>
          <w:sz w:val="20"/>
          <w:szCs w:val="20"/>
          <w:lang w:val="en-US"/>
        </w:rPr>
      </w:pPr>
    </w:p>
    <w:p w14:paraId="51411D78" w14:textId="77777777" w:rsidR="000D7C31" w:rsidRDefault="000D7C31" w:rsidP="00A730AA">
      <w:pPr>
        <w:pStyle w:val="AbstractLiteratur"/>
        <w:spacing w:before="0" w:after="0" w:line="240" w:lineRule="auto"/>
        <w:jc w:val="both"/>
        <w:rPr>
          <w:i/>
          <w:iCs/>
          <w:sz w:val="20"/>
          <w:szCs w:val="20"/>
          <w:lang w:val="en-US"/>
        </w:rPr>
      </w:pPr>
    </w:p>
    <w:p w14:paraId="4A146D0B" w14:textId="77777777" w:rsidR="000D7C31" w:rsidRDefault="000D7C31" w:rsidP="00A730AA">
      <w:pPr>
        <w:pStyle w:val="AbstractLiteratur"/>
        <w:spacing w:before="0" w:after="0" w:line="240" w:lineRule="auto"/>
        <w:jc w:val="both"/>
        <w:rPr>
          <w:i/>
          <w:iCs/>
          <w:sz w:val="20"/>
          <w:szCs w:val="20"/>
          <w:lang w:val="en-US"/>
        </w:rPr>
      </w:pPr>
    </w:p>
    <w:p w14:paraId="0CA820C8" w14:textId="77777777" w:rsidR="000D7C31" w:rsidRDefault="000D7C31" w:rsidP="00A730AA">
      <w:pPr>
        <w:pStyle w:val="AbstractLiteratur"/>
        <w:spacing w:before="0" w:after="0" w:line="240" w:lineRule="auto"/>
        <w:jc w:val="both"/>
        <w:rPr>
          <w:i/>
          <w:iCs/>
          <w:sz w:val="20"/>
          <w:szCs w:val="20"/>
          <w:lang w:val="en-US"/>
        </w:rPr>
      </w:pPr>
    </w:p>
    <w:p w14:paraId="28FE4DB5" w14:textId="77777777" w:rsidR="000D7C31" w:rsidRDefault="000D7C31" w:rsidP="00A730AA">
      <w:pPr>
        <w:pStyle w:val="AbstractLiteratur"/>
        <w:spacing w:before="0" w:after="0" w:line="240" w:lineRule="auto"/>
        <w:jc w:val="both"/>
        <w:rPr>
          <w:i/>
          <w:iCs/>
          <w:sz w:val="20"/>
          <w:szCs w:val="20"/>
          <w:lang w:val="en-US"/>
        </w:rPr>
      </w:pPr>
    </w:p>
    <w:p w14:paraId="3EF7E34F"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46D81D46"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6BE7DC85"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3903CF35" w14:textId="77777777" w:rsidR="000D7C31" w:rsidRDefault="000D7C31" w:rsidP="00A730AA">
      <w:pPr>
        <w:pStyle w:val="AbstractLiteratur"/>
        <w:spacing w:before="0" w:after="0" w:line="240" w:lineRule="auto"/>
        <w:jc w:val="both"/>
        <w:rPr>
          <w:i/>
          <w:iCs/>
          <w:sz w:val="20"/>
          <w:szCs w:val="20"/>
          <w:lang w:val="en-US"/>
        </w:rPr>
      </w:pPr>
    </w:p>
    <w:p w14:paraId="6230E584" w14:textId="4037B72C" w:rsidR="00B078B1" w:rsidRPr="00B26C1C" w:rsidRDefault="009D035E" w:rsidP="006C3A0A">
      <w:pPr>
        <w:pStyle w:val="1"/>
      </w:pPr>
      <w:r w:rsidRPr="00B26C1C">
        <w:t>INTRODUCTION</w:t>
      </w:r>
    </w:p>
    <w:p w14:paraId="090855FA" w14:textId="77777777" w:rsidR="00F47F12" w:rsidRPr="00F47F12" w:rsidRDefault="00F47F12" w:rsidP="00F47F12">
      <w:pPr>
        <w:spacing w:after="0" w:line="240" w:lineRule="auto"/>
        <w:ind w:firstLine="720"/>
        <w:rPr>
          <w:sz w:val="20"/>
          <w:szCs w:val="20"/>
          <w:lang w:val="en-US"/>
        </w:rPr>
      </w:pPr>
      <w:r w:rsidRPr="00F47F12">
        <w:rPr>
          <w:sz w:val="20"/>
          <w:szCs w:val="20"/>
          <w:lang w:val="en-US"/>
        </w:rPr>
        <w:t>The rapid advancements in bioengineering have intensified the industry's demand for high-caliber, innovative professionals. Traditional teaching models, however, tend to overemphasize theoretical knowledge transmission while under developing students' practical competencies, innovative thinking, and ability to translate learning into tangible outcomes—resulting in a persistent misalignment between academia and industry needs. Outcome-Based Education (OBE), with its backward-design approach centered on predefined learning outcomes, presents a transformative framework for cultivating bioengineering talents that meet contemporary challenges.</w:t>
      </w:r>
    </w:p>
    <w:p w14:paraId="08E1DAD0" w14:textId="68768462" w:rsidR="005B2FA6" w:rsidRPr="00B26C1C" w:rsidRDefault="00F47F12" w:rsidP="00F47F12">
      <w:pPr>
        <w:spacing w:after="0" w:line="240" w:lineRule="auto"/>
        <w:ind w:firstLine="720"/>
        <w:rPr>
          <w:sz w:val="20"/>
          <w:szCs w:val="20"/>
          <w:lang w:val="en-US" w:eastAsia="zh-CN"/>
        </w:rPr>
      </w:pPr>
      <w:r w:rsidRPr="00F47F12">
        <w:rPr>
          <w:sz w:val="20"/>
          <w:szCs w:val="20"/>
          <w:lang w:val="en-US"/>
        </w:rPr>
        <w:t>Reforming teaching practices is central to implementing Outcome-Based Education (OBE). By optimizing curriculum structures, strengthening hands-on training, promoting industry-academia-research collaboration, and adopting diversified assessment mechanisms, we can effectively enhance students' engineering competencies, scientific innovation capabilities, and ability to solve complex problems.</w:t>
      </w:r>
      <w:r w:rsidR="003E59B0">
        <w:rPr>
          <w:rFonts w:hint="eastAsia"/>
          <w:sz w:val="20"/>
          <w:szCs w:val="20"/>
          <w:lang w:val="en-US" w:eastAsia="zh-CN"/>
        </w:rPr>
        <w:t xml:space="preserve"> </w:t>
      </w:r>
      <w:r w:rsidRPr="00F47F12">
        <w:rPr>
          <w:sz w:val="20"/>
          <w:szCs w:val="20"/>
          <w:lang w:val="en-US"/>
        </w:rPr>
        <w:t>This study explores pathways and strategies for teaching reform in bioengineering education, aligned with OBE principl</w:t>
      </w:r>
      <w:r w:rsidRPr="00F47F12">
        <w:rPr>
          <w:rFonts w:hint="eastAsia"/>
          <w:sz w:val="20"/>
          <w:szCs w:val="20"/>
          <w:lang w:val="en-US"/>
        </w:rPr>
        <w:t>es, aiming to cultivate application-oriented and interdisciplinary professionals. The proposed framework seeks to support high-quality talent development in the bioengineering field. [1-2]</w:t>
      </w:r>
      <w:r w:rsidR="003E59B0">
        <w:rPr>
          <w:rFonts w:hint="eastAsia"/>
          <w:sz w:val="20"/>
          <w:szCs w:val="20"/>
          <w:lang w:val="en-US" w:eastAsia="zh-CN"/>
        </w:rPr>
        <w:t>.</w:t>
      </w:r>
    </w:p>
    <w:p w14:paraId="5B941994" w14:textId="77777777" w:rsidR="00293E19" w:rsidRDefault="00293E19" w:rsidP="00A730AA">
      <w:pPr>
        <w:pStyle w:val="Default"/>
        <w:jc w:val="both"/>
        <w:rPr>
          <w:b/>
          <w:bCs/>
          <w:i/>
          <w:iCs/>
          <w:sz w:val="20"/>
          <w:szCs w:val="20"/>
        </w:rPr>
      </w:pPr>
    </w:p>
    <w:p w14:paraId="5BA62F8F" w14:textId="77777777" w:rsidR="00293E19" w:rsidRDefault="00293E19" w:rsidP="00A730AA">
      <w:pPr>
        <w:pStyle w:val="Default"/>
        <w:jc w:val="both"/>
        <w:rPr>
          <w:b/>
          <w:bCs/>
          <w:i/>
          <w:iCs/>
          <w:sz w:val="20"/>
          <w:szCs w:val="20"/>
        </w:rPr>
      </w:pPr>
    </w:p>
    <w:p w14:paraId="117B7744" w14:textId="77777777" w:rsidR="00293E19" w:rsidRDefault="00293E19" w:rsidP="00A730AA">
      <w:pPr>
        <w:pStyle w:val="Default"/>
        <w:jc w:val="both"/>
        <w:rPr>
          <w:b/>
          <w:bCs/>
          <w:i/>
          <w:iCs/>
          <w:sz w:val="20"/>
          <w:szCs w:val="20"/>
        </w:rPr>
      </w:pPr>
    </w:p>
    <w:p w14:paraId="6C587129" w14:textId="77777777" w:rsidR="00F16C5D" w:rsidRPr="00B26C1C" w:rsidRDefault="00F16C5D" w:rsidP="00A730AA">
      <w:pPr>
        <w:pStyle w:val="Default"/>
        <w:jc w:val="both"/>
        <w:rPr>
          <w:b/>
          <w:bCs/>
          <w:sz w:val="20"/>
          <w:szCs w:val="20"/>
        </w:rPr>
      </w:pPr>
      <w:bookmarkStart w:id="1" w:name="_Toc362244865"/>
      <w:bookmarkStart w:id="2" w:name="_Toc362245029"/>
      <w:bookmarkStart w:id="3" w:name="_Toc362245040"/>
    </w:p>
    <w:p w14:paraId="17FA315A" w14:textId="723F6C88" w:rsidR="00BB4AD5" w:rsidRPr="00B26C1C" w:rsidRDefault="00F47F12" w:rsidP="006C3A0A">
      <w:pPr>
        <w:pStyle w:val="1"/>
      </w:pPr>
      <w:r w:rsidRPr="00F47F12">
        <w:t>Talent Cultivation Objective Setting</w:t>
      </w:r>
    </w:p>
    <w:p w14:paraId="49F3E6C4" w14:textId="77777777" w:rsidR="00F47F12" w:rsidRPr="00F47F12" w:rsidRDefault="00F47F12" w:rsidP="00F47F12">
      <w:pPr>
        <w:autoSpaceDE w:val="0"/>
        <w:autoSpaceDN w:val="0"/>
        <w:adjustRightInd w:val="0"/>
        <w:spacing w:after="0" w:line="240" w:lineRule="auto"/>
        <w:ind w:firstLineChars="300" w:firstLine="600"/>
        <w:rPr>
          <w:color w:val="000000"/>
          <w:sz w:val="20"/>
          <w:szCs w:val="20"/>
          <w:lang w:val="en-US"/>
        </w:rPr>
      </w:pPr>
      <w:r w:rsidRPr="00F47F12">
        <w:rPr>
          <w:color w:val="000000"/>
          <w:sz w:val="20"/>
          <w:szCs w:val="20"/>
          <w:lang w:val="en-US"/>
        </w:rPr>
        <w:t>Outcome-Based Education (OBE) can be translated as "Competency-Oriented Education", "Goal-Oriented Education", or "Needs-Driven Education". It follows a backward design approach centered on predefined outcomes. The first critical question is: What kind of talents do we aim to cultivate? The answer lies in the outcomes (expected achievements).</w:t>
      </w:r>
    </w:p>
    <w:p w14:paraId="2CE8DA9A" w14:textId="77777777" w:rsidR="00F47F12" w:rsidRPr="00F47F12" w:rsidRDefault="00F47F12" w:rsidP="001A71F0">
      <w:pPr>
        <w:autoSpaceDE w:val="0"/>
        <w:autoSpaceDN w:val="0"/>
        <w:adjustRightInd w:val="0"/>
        <w:spacing w:after="0" w:line="240" w:lineRule="auto"/>
        <w:ind w:firstLineChars="50" w:firstLine="100"/>
        <w:jc w:val="center"/>
        <w:rPr>
          <w:color w:val="000000"/>
          <w:sz w:val="20"/>
          <w:szCs w:val="20"/>
          <w:lang w:val="en-US" w:eastAsia="zh-CN"/>
        </w:rPr>
      </w:pPr>
      <w:r w:rsidRPr="00F47F12">
        <w:rPr>
          <w:rFonts w:hint="eastAsia"/>
          <w:color w:val="000000"/>
          <w:sz w:val="20"/>
          <w:szCs w:val="20"/>
          <w:lang w:val="en-US"/>
        </w:rPr>
        <w:t>“</w:t>
      </w:r>
      <w:r w:rsidRPr="00200550">
        <w:rPr>
          <w:i/>
          <w:iCs/>
          <w:color w:val="000000"/>
          <w:sz w:val="20"/>
          <w:szCs w:val="20"/>
          <w:lang w:val="en-US"/>
        </w:rPr>
        <w:t>The purpose of education lies in preparing for the future, not merely complying with international benchmarks</w:t>
      </w:r>
      <w:r w:rsidRPr="00F47F12">
        <w:rPr>
          <w:color w:val="000000"/>
          <w:sz w:val="20"/>
          <w:szCs w:val="20"/>
          <w:lang w:val="en-US"/>
        </w:rPr>
        <w:t>”</w:t>
      </w:r>
    </w:p>
    <w:p w14:paraId="7EDC1850" w14:textId="77777777" w:rsidR="00200550" w:rsidRDefault="00F47F12" w:rsidP="001A71F0">
      <w:pPr>
        <w:autoSpaceDE w:val="0"/>
        <w:autoSpaceDN w:val="0"/>
        <w:adjustRightInd w:val="0"/>
        <w:spacing w:after="0" w:line="240" w:lineRule="auto"/>
        <w:jc w:val="center"/>
        <w:rPr>
          <w:color w:val="000000"/>
          <w:sz w:val="20"/>
          <w:szCs w:val="20"/>
          <w:lang w:val="en-US"/>
        </w:rPr>
      </w:pPr>
      <w:r w:rsidRPr="00F47F12">
        <w:rPr>
          <w:rFonts w:hint="eastAsia"/>
          <w:color w:val="000000"/>
          <w:sz w:val="20"/>
          <w:szCs w:val="20"/>
          <w:lang w:val="en-US"/>
        </w:rPr>
        <w:t>“</w:t>
      </w:r>
      <w:r w:rsidRPr="00200550">
        <w:rPr>
          <w:i/>
          <w:iCs/>
          <w:color w:val="000000"/>
          <w:sz w:val="20"/>
          <w:szCs w:val="20"/>
          <w:lang w:val="en-US"/>
        </w:rPr>
        <w:t xml:space="preserve">Future-Connected Education: The Essence of Authentic Pedagogy </w:t>
      </w:r>
      <w:r w:rsidRPr="00F47F12">
        <w:rPr>
          <w:color w:val="000000"/>
          <w:sz w:val="20"/>
          <w:szCs w:val="20"/>
          <w:lang w:val="en-US"/>
        </w:rPr>
        <w:t>“</w:t>
      </w:r>
    </w:p>
    <w:p w14:paraId="7C1700E9" w14:textId="7C1C99FE" w:rsidR="00F47F12" w:rsidRPr="00F47F12" w:rsidRDefault="00200550" w:rsidP="001A71F0">
      <w:pPr>
        <w:autoSpaceDE w:val="0"/>
        <w:autoSpaceDN w:val="0"/>
        <w:adjustRightInd w:val="0"/>
        <w:spacing w:after="0" w:line="240" w:lineRule="auto"/>
        <w:jc w:val="center"/>
        <w:rPr>
          <w:color w:val="000000"/>
          <w:sz w:val="20"/>
          <w:szCs w:val="20"/>
          <w:lang w:val="en-US"/>
        </w:rPr>
      </w:pPr>
      <w:r>
        <w:rPr>
          <w:rFonts w:hint="eastAsia"/>
          <w:color w:val="000000"/>
          <w:sz w:val="20"/>
          <w:szCs w:val="20"/>
          <w:lang w:val="en-US" w:eastAsia="zh-CN"/>
        </w:rPr>
        <w:t xml:space="preserve">                                                                                                </w:t>
      </w:r>
      <w:r w:rsidR="00F47F12" w:rsidRPr="00F47F12">
        <w:rPr>
          <w:color w:val="000000"/>
          <w:sz w:val="20"/>
          <w:szCs w:val="20"/>
          <w:lang w:val="en-US"/>
        </w:rPr>
        <w:t>­­­Eric Mazur, Harvard University</w:t>
      </w:r>
      <w:r w:rsidR="00892905">
        <w:rPr>
          <w:rFonts w:hint="eastAsia"/>
          <w:color w:val="000000"/>
          <w:sz w:val="20"/>
          <w:szCs w:val="20"/>
          <w:lang w:val="en-US" w:eastAsia="zh-CN"/>
        </w:rPr>
        <w:t xml:space="preserve"> </w:t>
      </w:r>
      <w:r w:rsidR="00F47F12" w:rsidRPr="00F47F12">
        <w:rPr>
          <w:color w:val="000000"/>
          <w:sz w:val="20"/>
          <w:szCs w:val="20"/>
          <w:lang w:val="en-US"/>
        </w:rPr>
        <w:t>[3-4]</w:t>
      </w:r>
    </w:p>
    <w:p w14:paraId="198AE8FA" w14:textId="2D9FB4FE" w:rsidR="00F47F12" w:rsidRPr="00F47F12" w:rsidRDefault="00F47F12" w:rsidP="0076714D">
      <w:pPr>
        <w:autoSpaceDE w:val="0"/>
        <w:autoSpaceDN w:val="0"/>
        <w:adjustRightInd w:val="0"/>
        <w:spacing w:after="0" w:line="240" w:lineRule="auto"/>
        <w:ind w:firstLineChars="300" w:firstLine="600"/>
        <w:rPr>
          <w:color w:val="000000"/>
          <w:sz w:val="20"/>
          <w:szCs w:val="20"/>
          <w:lang w:val="en-US"/>
        </w:rPr>
      </w:pPr>
      <w:r w:rsidRPr="00F47F12">
        <w:rPr>
          <w:rFonts w:hint="eastAsia"/>
          <w:color w:val="000000"/>
          <w:sz w:val="20"/>
          <w:szCs w:val="20"/>
          <w:lang w:val="en-US"/>
        </w:rPr>
        <w:t>Bioengineering is a highly interdisciplinary and application-intensive discipline</w:t>
      </w:r>
      <w:r w:rsidR="00892905">
        <w:rPr>
          <w:rFonts w:hint="eastAsia"/>
          <w:color w:val="000000"/>
          <w:sz w:val="20"/>
          <w:szCs w:val="20"/>
          <w:lang w:val="en-US" w:eastAsia="zh-CN"/>
        </w:rPr>
        <w:t xml:space="preserve">. </w:t>
      </w:r>
      <w:r w:rsidRPr="00F47F12">
        <w:rPr>
          <w:rFonts w:hint="eastAsia"/>
          <w:color w:val="000000"/>
          <w:sz w:val="20"/>
          <w:szCs w:val="20"/>
          <w:lang w:val="en-US"/>
        </w:rPr>
        <w:t>As the educationist Eric Mazur said, talent development should not merely meet current international standards but must focus on the demands of future-oriented frontier field</w:t>
      </w:r>
      <w:r w:rsidRPr="00F47F12">
        <w:rPr>
          <w:color w:val="000000"/>
          <w:sz w:val="20"/>
          <w:szCs w:val="20"/>
          <w:lang w:val="en-US"/>
        </w:rPr>
        <w:t>s such as the bioeconomy, precision medicine, and sustainable development.</w:t>
      </w:r>
    </w:p>
    <w:p w14:paraId="01187BE4" w14:textId="25C18E74" w:rsidR="00F47F12" w:rsidRPr="00F47F12" w:rsidRDefault="00F47F12" w:rsidP="0076714D">
      <w:pPr>
        <w:autoSpaceDE w:val="0"/>
        <w:autoSpaceDN w:val="0"/>
        <w:adjustRightInd w:val="0"/>
        <w:spacing w:after="0" w:line="240" w:lineRule="auto"/>
        <w:ind w:firstLineChars="300" w:firstLine="600"/>
        <w:rPr>
          <w:color w:val="000000"/>
          <w:sz w:val="20"/>
          <w:szCs w:val="20"/>
          <w:lang w:val="en-US"/>
        </w:rPr>
      </w:pPr>
      <w:r w:rsidRPr="00F47F12">
        <w:rPr>
          <w:color w:val="000000"/>
          <w:sz w:val="20"/>
          <w:szCs w:val="20"/>
          <w:lang w:val="en-US"/>
        </w:rPr>
        <w:t>Outcome-Based Education (OBE) emphasizes a final learning outcomes-oriented approach, and "future-facing" bioengineering education aims to cultivate students' core competencies to meet the challenges of the upcoming biotechnology revolution. These include:</w:t>
      </w:r>
      <w:r w:rsidRPr="00F47F12">
        <w:rPr>
          <w:rFonts w:hint="eastAsia"/>
          <w:color w:val="000000"/>
          <w:sz w:val="20"/>
          <w:szCs w:val="20"/>
          <w:lang w:val="en-US"/>
        </w:rPr>
        <w:t xml:space="preserve"> </w:t>
      </w:r>
      <w:r w:rsidR="0076714D">
        <w:rPr>
          <w:rFonts w:hint="eastAsia"/>
          <w:color w:val="000000"/>
          <w:sz w:val="20"/>
          <w:szCs w:val="20"/>
          <w:lang w:val="en-US" w:eastAsia="zh-CN"/>
        </w:rPr>
        <w:t>(</w:t>
      </w:r>
      <w:r w:rsidRPr="00F47F12">
        <w:rPr>
          <w:rFonts w:hint="eastAsia"/>
          <w:color w:val="000000"/>
          <w:sz w:val="20"/>
          <w:szCs w:val="20"/>
          <w:lang w:val="en-US"/>
        </w:rPr>
        <w:t>1</w:t>
      </w:r>
      <w:r w:rsidR="0076714D">
        <w:rPr>
          <w:rFonts w:hint="eastAsia"/>
          <w:color w:val="000000"/>
          <w:sz w:val="20"/>
          <w:szCs w:val="20"/>
          <w:lang w:val="en-US" w:eastAsia="zh-CN"/>
        </w:rPr>
        <w:t xml:space="preserve">) </w:t>
      </w:r>
      <w:r w:rsidRPr="00F47F12">
        <w:rPr>
          <w:rFonts w:hint="eastAsia"/>
          <w:color w:val="000000"/>
          <w:sz w:val="20"/>
          <w:szCs w:val="20"/>
          <w:lang w:val="en-US"/>
        </w:rPr>
        <w:t>Innovation capability that transcends traditional disciplinary boundaries (e.g., the integration of synthetic biology and AI),</w:t>
      </w:r>
      <w:r w:rsidR="0076714D">
        <w:rPr>
          <w:rFonts w:hint="eastAsia"/>
          <w:color w:val="000000"/>
          <w:sz w:val="20"/>
          <w:szCs w:val="20"/>
          <w:lang w:val="en-US" w:eastAsia="zh-CN"/>
        </w:rPr>
        <w:t xml:space="preserve"> (</w:t>
      </w:r>
      <w:r w:rsidR="0076714D" w:rsidRPr="00F47F12">
        <w:rPr>
          <w:rFonts w:hint="eastAsia"/>
          <w:color w:val="000000"/>
          <w:sz w:val="20"/>
          <w:szCs w:val="20"/>
          <w:lang w:val="en-US"/>
        </w:rPr>
        <w:t>2</w:t>
      </w:r>
      <w:r w:rsidR="0076714D">
        <w:rPr>
          <w:rFonts w:hint="eastAsia"/>
          <w:color w:val="000000"/>
          <w:sz w:val="20"/>
          <w:szCs w:val="20"/>
          <w:lang w:val="en-US" w:eastAsia="zh-CN"/>
        </w:rPr>
        <w:t xml:space="preserve">) </w:t>
      </w:r>
      <w:r w:rsidRPr="00F47F12">
        <w:rPr>
          <w:rFonts w:hint="eastAsia"/>
          <w:color w:val="000000"/>
          <w:sz w:val="20"/>
          <w:szCs w:val="20"/>
          <w:lang w:val="en-US"/>
        </w:rPr>
        <w:t>Practical problem-solving skills for complex engineering challenges (e.g., optimization of biopharmaceutical processes), and</w:t>
      </w:r>
      <w:r w:rsidR="0076714D">
        <w:rPr>
          <w:rFonts w:hint="eastAsia"/>
          <w:color w:val="000000"/>
          <w:sz w:val="20"/>
          <w:szCs w:val="20"/>
          <w:lang w:val="en-US" w:eastAsia="zh-CN"/>
        </w:rPr>
        <w:t xml:space="preserve"> (</w:t>
      </w:r>
      <w:r w:rsidR="0076714D" w:rsidRPr="00F47F12">
        <w:rPr>
          <w:rFonts w:hint="eastAsia"/>
          <w:color w:val="000000"/>
          <w:sz w:val="20"/>
          <w:szCs w:val="20"/>
          <w:lang w:val="en-US"/>
        </w:rPr>
        <w:t>3</w:t>
      </w:r>
      <w:r w:rsidR="0076714D">
        <w:rPr>
          <w:rFonts w:hint="eastAsia"/>
          <w:color w:val="000000"/>
          <w:sz w:val="20"/>
          <w:szCs w:val="20"/>
          <w:lang w:val="en-US" w:eastAsia="zh-CN"/>
        </w:rPr>
        <w:t>)</w:t>
      </w:r>
      <w:r w:rsidR="003E59B0">
        <w:rPr>
          <w:rFonts w:hint="eastAsia"/>
          <w:color w:val="000000"/>
          <w:sz w:val="20"/>
          <w:szCs w:val="20"/>
          <w:lang w:val="en-US" w:eastAsia="zh-CN"/>
        </w:rPr>
        <w:t xml:space="preserve"> </w:t>
      </w:r>
      <w:r w:rsidRPr="00F47F12">
        <w:rPr>
          <w:rFonts w:hint="eastAsia"/>
          <w:color w:val="000000"/>
          <w:sz w:val="20"/>
          <w:szCs w:val="20"/>
          <w:lang w:val="en-US"/>
        </w:rPr>
        <w:t>Lifelong learning ability to adapt to rapid technological advancements. For instance, in curriculum design, we should not only teach existing gene-editing technologies but also equip students with an understanding of the underlying principles, enabling</w:t>
      </w:r>
      <w:r w:rsidRPr="00F47F12">
        <w:rPr>
          <w:color w:val="000000"/>
          <w:sz w:val="20"/>
          <w:szCs w:val="20"/>
          <w:lang w:val="en-US"/>
        </w:rPr>
        <w:t xml:space="preserve"> them to quickly master emerging tools that may arise in the future.</w:t>
      </w:r>
    </w:p>
    <w:p w14:paraId="606624AC" w14:textId="22836A87" w:rsidR="00DC5CF8" w:rsidRPr="00B26C1C" w:rsidRDefault="00F47F12" w:rsidP="0076714D">
      <w:pPr>
        <w:autoSpaceDE w:val="0"/>
        <w:autoSpaceDN w:val="0"/>
        <w:adjustRightInd w:val="0"/>
        <w:spacing w:after="0" w:line="240" w:lineRule="auto"/>
        <w:ind w:firstLineChars="300" w:firstLine="600"/>
        <w:rPr>
          <w:color w:val="000000"/>
          <w:sz w:val="20"/>
          <w:szCs w:val="20"/>
          <w:lang w:val="en-US"/>
        </w:rPr>
      </w:pPr>
      <w:r w:rsidRPr="00F47F12">
        <w:rPr>
          <w:rFonts w:hint="eastAsia"/>
          <w:color w:val="000000"/>
          <w:sz w:val="20"/>
          <w:szCs w:val="20"/>
          <w:lang w:val="en-US"/>
        </w:rPr>
        <w:t>"Aligning with the Future" Demands a Dynamic Adjustment Mechanism. For bioengineering programs, this entails</w:t>
      </w:r>
      <w:r w:rsidR="0076714D">
        <w:rPr>
          <w:rFonts w:ascii="Segoe UI Emoji" w:hAnsi="Segoe UI Emoji" w:cs="Segoe UI Emoji" w:hint="eastAsia"/>
          <w:color w:val="000000"/>
          <w:sz w:val="20"/>
          <w:szCs w:val="20"/>
          <w:lang w:val="en-US" w:eastAsia="zh-CN"/>
        </w:rPr>
        <w:t>:(</w:t>
      </w:r>
      <w:r w:rsidRPr="00F47F12">
        <w:rPr>
          <w:rFonts w:hint="eastAsia"/>
          <w:color w:val="000000"/>
          <w:sz w:val="20"/>
          <w:szCs w:val="20"/>
          <w:lang w:val="en-US"/>
        </w:rPr>
        <w:t>1</w:t>
      </w:r>
      <w:r w:rsidR="0076714D">
        <w:rPr>
          <w:rFonts w:hint="eastAsia"/>
          <w:color w:val="000000"/>
          <w:sz w:val="20"/>
          <w:szCs w:val="20"/>
          <w:lang w:val="en-US" w:eastAsia="zh-CN"/>
        </w:rPr>
        <w:t xml:space="preserve">) </w:t>
      </w:r>
      <w:r w:rsidRPr="00F47F12">
        <w:rPr>
          <w:rFonts w:hint="eastAsia"/>
          <w:color w:val="000000"/>
          <w:sz w:val="20"/>
          <w:szCs w:val="20"/>
          <w:lang w:val="en-US"/>
        </w:rPr>
        <w:t xml:space="preserve">Establishing an industry demand early-warning system to promptly update educational objectives; </w:t>
      </w:r>
      <w:r w:rsidR="0076714D">
        <w:rPr>
          <w:rFonts w:hint="eastAsia"/>
          <w:color w:val="000000"/>
          <w:sz w:val="20"/>
          <w:szCs w:val="20"/>
          <w:lang w:val="en-US" w:eastAsia="zh-CN"/>
        </w:rPr>
        <w:t>(</w:t>
      </w:r>
      <w:r w:rsidRPr="00F47F12">
        <w:rPr>
          <w:rFonts w:hint="eastAsia"/>
          <w:color w:val="000000"/>
          <w:sz w:val="20"/>
          <w:szCs w:val="20"/>
          <w:lang w:val="en-US"/>
        </w:rPr>
        <w:t>2</w:t>
      </w:r>
      <w:r w:rsidR="0076714D">
        <w:rPr>
          <w:rFonts w:hint="eastAsia"/>
          <w:color w:val="000000"/>
          <w:sz w:val="20"/>
          <w:szCs w:val="20"/>
          <w:lang w:val="en-US" w:eastAsia="zh-CN"/>
        </w:rPr>
        <w:t xml:space="preserve">) </w:t>
      </w:r>
      <w:r w:rsidRPr="00F47F12">
        <w:rPr>
          <w:rFonts w:hint="eastAsia"/>
          <w:color w:val="000000"/>
          <w:sz w:val="20"/>
          <w:szCs w:val="20"/>
          <w:lang w:val="en-US"/>
        </w:rPr>
        <w:t xml:space="preserve">Integrating project-based learning to simulate future workplace scenarios; </w:t>
      </w:r>
      <w:r w:rsidR="0076714D">
        <w:rPr>
          <w:rFonts w:hint="eastAsia"/>
          <w:color w:val="000000"/>
          <w:sz w:val="20"/>
          <w:szCs w:val="20"/>
          <w:lang w:val="en-US" w:eastAsia="zh-CN"/>
        </w:rPr>
        <w:t>(</w:t>
      </w:r>
      <w:r w:rsidRPr="00F47F12">
        <w:rPr>
          <w:rFonts w:hint="eastAsia"/>
          <w:color w:val="000000"/>
          <w:sz w:val="20"/>
          <w:szCs w:val="20"/>
          <w:lang w:val="en-US"/>
        </w:rPr>
        <w:t>3</w:t>
      </w:r>
      <w:r w:rsidR="0076714D">
        <w:rPr>
          <w:rFonts w:hint="eastAsia"/>
          <w:color w:val="000000"/>
          <w:sz w:val="20"/>
          <w:szCs w:val="20"/>
          <w:lang w:val="en-US" w:eastAsia="zh-CN"/>
        </w:rPr>
        <w:t xml:space="preserve">) </w:t>
      </w:r>
      <w:r w:rsidRPr="00F47F12">
        <w:rPr>
          <w:rFonts w:hint="eastAsia"/>
          <w:color w:val="000000"/>
          <w:sz w:val="20"/>
          <w:szCs w:val="20"/>
          <w:lang w:val="en-US"/>
        </w:rPr>
        <w:t>Strengthening ethics education to equip students for emerging bioethical challenges. Only such a future-ready OBE model can cultivate the pivotal talent capable of driving biotechnology advancements.</w:t>
      </w:r>
    </w:p>
    <w:p w14:paraId="4999D00C" w14:textId="77777777" w:rsidR="00CE7548" w:rsidRPr="00B26C1C" w:rsidRDefault="00CE7548" w:rsidP="00A730AA">
      <w:pPr>
        <w:pStyle w:val="Default"/>
        <w:jc w:val="both"/>
        <w:rPr>
          <w:sz w:val="20"/>
          <w:szCs w:val="20"/>
        </w:rPr>
      </w:pPr>
    </w:p>
    <w:p w14:paraId="2CCF35FA" w14:textId="06339A3E" w:rsidR="009E2E50" w:rsidRPr="00B26C1C" w:rsidRDefault="0076714D" w:rsidP="006C3A0A">
      <w:pPr>
        <w:pStyle w:val="1"/>
      </w:pPr>
      <w:r w:rsidRPr="0076714D">
        <w:t>Reflections on Curriculum Development</w:t>
      </w:r>
    </w:p>
    <w:p w14:paraId="24567497" w14:textId="691B5CC6" w:rsidR="0076714D" w:rsidRPr="00C02E48" w:rsidRDefault="0076714D" w:rsidP="0076714D">
      <w:pPr>
        <w:autoSpaceDE w:val="0"/>
        <w:autoSpaceDN w:val="0"/>
        <w:adjustRightInd w:val="0"/>
        <w:spacing w:after="0" w:line="240" w:lineRule="auto"/>
        <w:ind w:firstLine="720"/>
        <w:rPr>
          <w:b/>
          <w:sz w:val="20"/>
          <w:szCs w:val="20"/>
        </w:rPr>
      </w:pPr>
      <w:r w:rsidRPr="0076714D">
        <w:rPr>
          <w:sz w:val="20"/>
          <w:szCs w:val="20"/>
          <w:lang w:val="en-US"/>
        </w:rPr>
        <w:t xml:space="preserve">Benchmarking Excellence: Building "Double First-Class" Universities. To establish world-class universities, we must first develop first-class courses, first-class programs, and first-class disciplines—these are the fundamental pillars supporting our "Double First-Class" initiative. Ultimately, success hinges on high-quality curriculum design and delivery, ensuring students truly acquire knowledge and develop into the talent needed for the future, aligning with desired outcomes. Many faculty members believe that "teaching well" is sufficient for curriculum development. But this raises a critical question: What does "teaching well" actually mean? As educators, we all strive to: Prepare lessons diligently, </w:t>
      </w:r>
      <w:r w:rsidR="003E59B0">
        <w:rPr>
          <w:rFonts w:hint="eastAsia"/>
          <w:sz w:val="20"/>
          <w:szCs w:val="20"/>
          <w:lang w:val="en-US" w:eastAsia="zh-CN"/>
        </w:rPr>
        <w:t>d</w:t>
      </w:r>
      <w:r w:rsidRPr="0076714D">
        <w:rPr>
          <w:sz w:val="20"/>
          <w:szCs w:val="20"/>
          <w:lang w:val="en-US"/>
        </w:rPr>
        <w:t>eliver lectures conscientiously, Grade assignments meticulously, and Encourage student engagement. But how effective is this traditional teaching approach? Consider the following two examples</w:t>
      </w:r>
      <w:r w:rsidR="003E59B0">
        <w:rPr>
          <w:rFonts w:hint="eastAsia"/>
          <w:sz w:val="20"/>
          <w:szCs w:val="20"/>
          <w:lang w:val="en-US" w:eastAsia="zh-CN"/>
        </w:rPr>
        <w:t xml:space="preserve"> </w:t>
      </w:r>
      <w:r w:rsidRPr="0076714D">
        <w:rPr>
          <w:sz w:val="20"/>
          <w:szCs w:val="20"/>
          <w:lang w:val="en-US"/>
        </w:rPr>
        <w:t>(Table1 and Table2):</w:t>
      </w:r>
      <w:r w:rsidRPr="00C02E48">
        <w:rPr>
          <w:b/>
          <w:sz w:val="20"/>
          <w:szCs w:val="20"/>
        </w:rPr>
        <w:t xml:space="preserve"> </w:t>
      </w:r>
    </w:p>
    <w:p w14:paraId="43A59B5F" w14:textId="77777777" w:rsidR="0076714D" w:rsidRDefault="0076714D" w:rsidP="00663152">
      <w:pPr>
        <w:spacing w:line="400" w:lineRule="exact"/>
        <w:jc w:val="left"/>
        <w:rPr>
          <w:sz w:val="18"/>
          <w:szCs w:val="18"/>
          <w:lang w:eastAsia="zh-CN"/>
        </w:rPr>
      </w:pPr>
    </w:p>
    <w:p w14:paraId="434657B7" w14:textId="77777777" w:rsidR="0076714D" w:rsidRPr="00F8557B" w:rsidRDefault="0076714D" w:rsidP="0076714D">
      <w:pPr>
        <w:spacing w:line="400" w:lineRule="exact"/>
        <w:jc w:val="center"/>
        <w:rPr>
          <w:sz w:val="18"/>
          <w:szCs w:val="18"/>
        </w:rPr>
      </w:pPr>
      <w:r>
        <w:rPr>
          <w:rFonts w:hint="eastAsia"/>
          <w:sz w:val="18"/>
          <w:szCs w:val="18"/>
        </w:rPr>
        <w:t>Table</w:t>
      </w:r>
      <w:r w:rsidRPr="00F8557B">
        <w:rPr>
          <w:sz w:val="18"/>
          <w:szCs w:val="18"/>
        </w:rPr>
        <w:t>1</w:t>
      </w:r>
      <w:r w:rsidRPr="00F8557B">
        <w:rPr>
          <w:sz w:val="18"/>
          <w:szCs w:val="18"/>
        </w:rPr>
        <w:t>：</w:t>
      </w:r>
      <w:r w:rsidRPr="00F31625">
        <w:rPr>
          <w:sz w:val="18"/>
          <w:szCs w:val="18"/>
        </w:rPr>
        <w:t xml:space="preserve">Survey of </w:t>
      </w:r>
      <w:r>
        <w:rPr>
          <w:rFonts w:hint="eastAsia"/>
          <w:sz w:val="18"/>
          <w:szCs w:val="18"/>
        </w:rPr>
        <w:t>w</w:t>
      </w:r>
      <w:r w:rsidRPr="00F31625">
        <w:rPr>
          <w:sz w:val="18"/>
          <w:szCs w:val="18"/>
        </w:rPr>
        <w:t xml:space="preserve">orking </w:t>
      </w:r>
      <w:r>
        <w:rPr>
          <w:rFonts w:hint="eastAsia"/>
          <w:sz w:val="18"/>
          <w:szCs w:val="18"/>
        </w:rPr>
        <w:t>p</w:t>
      </w:r>
      <w:r w:rsidRPr="00F31625">
        <w:rPr>
          <w:sz w:val="18"/>
          <w:szCs w:val="18"/>
        </w:rPr>
        <w:t xml:space="preserve">rofessionals: </w:t>
      </w:r>
      <w:bookmarkStart w:id="4" w:name="_Hlk194582042"/>
      <w:r>
        <w:rPr>
          <w:rFonts w:hint="eastAsia"/>
          <w:sz w:val="18"/>
          <w:szCs w:val="18"/>
        </w:rPr>
        <w:t>m</w:t>
      </w:r>
      <w:r w:rsidRPr="00F31625">
        <w:rPr>
          <w:sz w:val="18"/>
          <w:szCs w:val="18"/>
        </w:rPr>
        <w:t xml:space="preserve">ost </w:t>
      </w:r>
      <w:r>
        <w:rPr>
          <w:rFonts w:hint="eastAsia"/>
          <w:sz w:val="18"/>
          <w:szCs w:val="18"/>
        </w:rPr>
        <w:t>b</w:t>
      </w:r>
      <w:r w:rsidRPr="00F31625">
        <w:rPr>
          <w:sz w:val="18"/>
          <w:szCs w:val="18"/>
        </w:rPr>
        <w:t xml:space="preserve">eneficial </w:t>
      </w:r>
      <w:r>
        <w:rPr>
          <w:rFonts w:hint="eastAsia"/>
          <w:sz w:val="18"/>
          <w:szCs w:val="18"/>
        </w:rPr>
        <w:t>a</w:t>
      </w:r>
      <w:r w:rsidRPr="00F31625">
        <w:rPr>
          <w:sz w:val="18"/>
          <w:szCs w:val="18"/>
        </w:rPr>
        <w:t xml:space="preserve">spects </w:t>
      </w:r>
      <w:bookmarkEnd w:id="4"/>
      <w:r w:rsidRPr="00F31625">
        <w:rPr>
          <w:sz w:val="18"/>
          <w:szCs w:val="18"/>
        </w:rPr>
        <w:t xml:space="preserve">of </w:t>
      </w:r>
      <w:r>
        <w:rPr>
          <w:rFonts w:hint="eastAsia"/>
          <w:sz w:val="18"/>
          <w:szCs w:val="18"/>
        </w:rPr>
        <w:t>u</w:t>
      </w:r>
      <w:r w:rsidRPr="00F31625">
        <w:rPr>
          <w:sz w:val="18"/>
          <w:szCs w:val="18"/>
        </w:rPr>
        <w:t xml:space="preserve">niversity </w:t>
      </w:r>
      <w:r>
        <w:rPr>
          <w:rFonts w:hint="eastAsia"/>
          <w:sz w:val="18"/>
          <w:szCs w:val="18"/>
        </w:rPr>
        <w:t>e</w:t>
      </w:r>
      <w:r w:rsidRPr="00F31625">
        <w:rPr>
          <w:sz w:val="18"/>
          <w:szCs w:val="18"/>
        </w:rPr>
        <w:t>ducation</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1799"/>
      </w:tblGrid>
      <w:tr w:rsidR="0076714D" w:rsidRPr="00F8557B" w14:paraId="0EA88188" w14:textId="77777777" w:rsidTr="003E59B0">
        <w:trPr>
          <w:trHeight w:val="113"/>
          <w:jc w:val="center"/>
        </w:trPr>
        <w:tc>
          <w:tcPr>
            <w:tcW w:w="4258" w:type="dxa"/>
            <w:tcBorders>
              <w:top w:val="single" w:sz="12" w:space="0" w:color="auto"/>
              <w:bottom w:val="single" w:sz="12" w:space="0" w:color="auto"/>
            </w:tcBorders>
          </w:tcPr>
          <w:p w14:paraId="7C9FD6E7" w14:textId="77777777" w:rsidR="0076714D" w:rsidRPr="00F8557B" w:rsidRDefault="0076714D" w:rsidP="0076714D">
            <w:pPr>
              <w:spacing w:line="240" w:lineRule="auto"/>
              <w:rPr>
                <w:sz w:val="18"/>
                <w:szCs w:val="18"/>
              </w:rPr>
            </w:pPr>
            <w:r w:rsidRPr="00F31625">
              <w:rPr>
                <w:sz w:val="18"/>
                <w:szCs w:val="18"/>
              </w:rPr>
              <w:t>type</w:t>
            </w:r>
          </w:p>
        </w:tc>
        <w:tc>
          <w:tcPr>
            <w:tcW w:w="1799" w:type="dxa"/>
            <w:tcBorders>
              <w:top w:val="single" w:sz="12" w:space="0" w:color="auto"/>
              <w:bottom w:val="single" w:sz="12" w:space="0" w:color="auto"/>
            </w:tcBorders>
          </w:tcPr>
          <w:p w14:paraId="1B044A71" w14:textId="77777777" w:rsidR="0076714D" w:rsidRPr="00F8557B" w:rsidRDefault="0076714D" w:rsidP="0076714D">
            <w:pPr>
              <w:spacing w:line="240" w:lineRule="auto"/>
              <w:rPr>
                <w:sz w:val="18"/>
                <w:szCs w:val="18"/>
              </w:rPr>
            </w:pPr>
            <w:r w:rsidRPr="00F31625">
              <w:rPr>
                <w:sz w:val="18"/>
                <w:szCs w:val="18"/>
              </w:rPr>
              <w:t>Percentage</w:t>
            </w:r>
          </w:p>
        </w:tc>
      </w:tr>
      <w:tr w:rsidR="0076714D" w:rsidRPr="00F8557B" w14:paraId="5259C233" w14:textId="77777777" w:rsidTr="003E59B0">
        <w:trPr>
          <w:trHeight w:val="113"/>
          <w:jc w:val="center"/>
        </w:trPr>
        <w:tc>
          <w:tcPr>
            <w:tcW w:w="4258" w:type="dxa"/>
            <w:tcBorders>
              <w:top w:val="single" w:sz="12" w:space="0" w:color="auto"/>
            </w:tcBorders>
          </w:tcPr>
          <w:p w14:paraId="717E05E3" w14:textId="77777777" w:rsidR="0076714D" w:rsidRPr="00F8557B" w:rsidRDefault="0076714D" w:rsidP="0076714D">
            <w:pPr>
              <w:spacing w:line="240" w:lineRule="auto"/>
              <w:rPr>
                <w:sz w:val="18"/>
                <w:szCs w:val="18"/>
              </w:rPr>
            </w:pPr>
            <w:r w:rsidRPr="00F31625">
              <w:rPr>
                <w:sz w:val="18"/>
                <w:szCs w:val="18"/>
              </w:rPr>
              <w:t>Off-campus Internships and Social Activities</w:t>
            </w:r>
          </w:p>
        </w:tc>
        <w:tc>
          <w:tcPr>
            <w:tcW w:w="1799" w:type="dxa"/>
            <w:tcBorders>
              <w:top w:val="single" w:sz="12" w:space="0" w:color="auto"/>
            </w:tcBorders>
          </w:tcPr>
          <w:p w14:paraId="0AB4BA3F" w14:textId="77777777" w:rsidR="0076714D" w:rsidRPr="00F8557B" w:rsidRDefault="0076714D" w:rsidP="0076714D">
            <w:pPr>
              <w:spacing w:line="240" w:lineRule="auto"/>
              <w:rPr>
                <w:sz w:val="18"/>
                <w:szCs w:val="18"/>
              </w:rPr>
            </w:pPr>
            <w:r w:rsidRPr="00F8557B">
              <w:rPr>
                <w:sz w:val="18"/>
                <w:szCs w:val="18"/>
              </w:rPr>
              <w:t>37%</w:t>
            </w:r>
          </w:p>
        </w:tc>
      </w:tr>
      <w:tr w:rsidR="0076714D" w:rsidRPr="00F8557B" w14:paraId="3C26F374" w14:textId="77777777" w:rsidTr="003E59B0">
        <w:trPr>
          <w:trHeight w:val="113"/>
          <w:jc w:val="center"/>
        </w:trPr>
        <w:tc>
          <w:tcPr>
            <w:tcW w:w="4258" w:type="dxa"/>
          </w:tcPr>
          <w:p w14:paraId="587C0B06" w14:textId="77777777" w:rsidR="0076714D" w:rsidRPr="00F8557B" w:rsidRDefault="0076714D" w:rsidP="0076714D">
            <w:pPr>
              <w:spacing w:line="240" w:lineRule="auto"/>
              <w:rPr>
                <w:sz w:val="18"/>
                <w:szCs w:val="18"/>
              </w:rPr>
            </w:pPr>
            <w:r w:rsidRPr="00297D5A">
              <w:rPr>
                <w:sz w:val="18"/>
                <w:szCs w:val="18"/>
              </w:rPr>
              <w:t>Peer Interaction and Communication</w:t>
            </w:r>
          </w:p>
        </w:tc>
        <w:tc>
          <w:tcPr>
            <w:tcW w:w="1799" w:type="dxa"/>
          </w:tcPr>
          <w:p w14:paraId="29BFBF9F" w14:textId="77777777" w:rsidR="0076714D" w:rsidRPr="00F8557B" w:rsidRDefault="0076714D" w:rsidP="0076714D">
            <w:pPr>
              <w:spacing w:line="240" w:lineRule="auto"/>
              <w:rPr>
                <w:sz w:val="18"/>
                <w:szCs w:val="18"/>
              </w:rPr>
            </w:pPr>
            <w:r w:rsidRPr="00F8557B">
              <w:rPr>
                <w:sz w:val="18"/>
                <w:szCs w:val="18"/>
              </w:rPr>
              <w:t>22%</w:t>
            </w:r>
          </w:p>
        </w:tc>
      </w:tr>
      <w:tr w:rsidR="0076714D" w:rsidRPr="00F8557B" w14:paraId="6BE0FFBB" w14:textId="77777777" w:rsidTr="003E59B0">
        <w:trPr>
          <w:trHeight w:val="113"/>
          <w:jc w:val="center"/>
        </w:trPr>
        <w:tc>
          <w:tcPr>
            <w:tcW w:w="4258" w:type="dxa"/>
          </w:tcPr>
          <w:p w14:paraId="3D5687ED" w14:textId="77777777" w:rsidR="0076714D" w:rsidRPr="00F8557B" w:rsidRDefault="0076714D" w:rsidP="0076714D">
            <w:pPr>
              <w:spacing w:line="240" w:lineRule="auto"/>
              <w:rPr>
                <w:sz w:val="18"/>
                <w:szCs w:val="18"/>
              </w:rPr>
            </w:pPr>
            <w:r w:rsidRPr="003759D7">
              <w:rPr>
                <w:sz w:val="18"/>
                <w:szCs w:val="18"/>
              </w:rPr>
              <w:t>Independent Study</w:t>
            </w:r>
          </w:p>
        </w:tc>
        <w:tc>
          <w:tcPr>
            <w:tcW w:w="1799" w:type="dxa"/>
          </w:tcPr>
          <w:p w14:paraId="3BA96052" w14:textId="77777777" w:rsidR="0076714D" w:rsidRPr="00F8557B" w:rsidRDefault="0076714D" w:rsidP="0076714D">
            <w:pPr>
              <w:spacing w:line="240" w:lineRule="auto"/>
              <w:rPr>
                <w:sz w:val="18"/>
                <w:szCs w:val="18"/>
              </w:rPr>
            </w:pPr>
            <w:r w:rsidRPr="00F8557B">
              <w:rPr>
                <w:sz w:val="18"/>
                <w:szCs w:val="18"/>
              </w:rPr>
              <w:t>15.3%</w:t>
            </w:r>
          </w:p>
        </w:tc>
      </w:tr>
      <w:tr w:rsidR="0076714D" w:rsidRPr="00F8557B" w14:paraId="1AA08AF2" w14:textId="77777777" w:rsidTr="003E59B0">
        <w:trPr>
          <w:trHeight w:val="113"/>
          <w:jc w:val="center"/>
        </w:trPr>
        <w:tc>
          <w:tcPr>
            <w:tcW w:w="4258" w:type="dxa"/>
          </w:tcPr>
          <w:p w14:paraId="31BF8FE3" w14:textId="77777777" w:rsidR="0076714D" w:rsidRPr="00F8557B" w:rsidRDefault="0076714D" w:rsidP="0076714D">
            <w:pPr>
              <w:spacing w:line="240" w:lineRule="auto"/>
              <w:rPr>
                <w:sz w:val="18"/>
                <w:szCs w:val="18"/>
              </w:rPr>
            </w:pPr>
            <w:r w:rsidRPr="003759D7">
              <w:rPr>
                <w:sz w:val="18"/>
                <w:szCs w:val="18"/>
              </w:rPr>
              <w:t>Faculty Mentorship</w:t>
            </w:r>
          </w:p>
        </w:tc>
        <w:tc>
          <w:tcPr>
            <w:tcW w:w="1799" w:type="dxa"/>
          </w:tcPr>
          <w:p w14:paraId="1CFFC11F" w14:textId="77777777" w:rsidR="0076714D" w:rsidRPr="00F8557B" w:rsidRDefault="0076714D" w:rsidP="0076714D">
            <w:pPr>
              <w:spacing w:line="240" w:lineRule="auto"/>
              <w:rPr>
                <w:sz w:val="18"/>
                <w:szCs w:val="18"/>
              </w:rPr>
            </w:pPr>
            <w:r w:rsidRPr="00F8557B">
              <w:rPr>
                <w:sz w:val="18"/>
                <w:szCs w:val="18"/>
              </w:rPr>
              <w:t>11.7%</w:t>
            </w:r>
          </w:p>
        </w:tc>
      </w:tr>
      <w:tr w:rsidR="0076714D" w:rsidRPr="00F8557B" w14:paraId="436ED9AD" w14:textId="77777777" w:rsidTr="003E59B0">
        <w:trPr>
          <w:trHeight w:val="113"/>
          <w:jc w:val="center"/>
        </w:trPr>
        <w:tc>
          <w:tcPr>
            <w:tcW w:w="4258" w:type="dxa"/>
            <w:tcBorders>
              <w:bottom w:val="single" w:sz="12" w:space="0" w:color="auto"/>
            </w:tcBorders>
          </w:tcPr>
          <w:p w14:paraId="1BFF20BC" w14:textId="77777777" w:rsidR="0076714D" w:rsidRPr="00F8557B" w:rsidRDefault="0076714D" w:rsidP="0076714D">
            <w:pPr>
              <w:spacing w:line="240" w:lineRule="auto"/>
              <w:rPr>
                <w:sz w:val="18"/>
                <w:szCs w:val="18"/>
              </w:rPr>
            </w:pPr>
            <w:r w:rsidRPr="003759D7">
              <w:rPr>
                <w:sz w:val="18"/>
                <w:szCs w:val="18"/>
              </w:rPr>
              <w:t>Classroom Instruction</w:t>
            </w:r>
          </w:p>
        </w:tc>
        <w:tc>
          <w:tcPr>
            <w:tcW w:w="1799" w:type="dxa"/>
            <w:tcBorders>
              <w:bottom w:val="single" w:sz="12" w:space="0" w:color="auto"/>
            </w:tcBorders>
          </w:tcPr>
          <w:p w14:paraId="25979654" w14:textId="77777777" w:rsidR="0076714D" w:rsidRPr="00F8557B" w:rsidRDefault="0076714D" w:rsidP="0076714D">
            <w:pPr>
              <w:spacing w:line="240" w:lineRule="auto"/>
              <w:rPr>
                <w:sz w:val="18"/>
                <w:szCs w:val="18"/>
              </w:rPr>
            </w:pPr>
            <w:r w:rsidRPr="00F8557B">
              <w:rPr>
                <w:sz w:val="18"/>
                <w:szCs w:val="18"/>
              </w:rPr>
              <w:t>13.6%</w:t>
            </w:r>
          </w:p>
        </w:tc>
      </w:tr>
    </w:tbl>
    <w:p w14:paraId="0EA18E6D" w14:textId="77777777" w:rsidR="0076714D" w:rsidRPr="003E59B0" w:rsidRDefault="0076714D" w:rsidP="0076714D">
      <w:pPr>
        <w:jc w:val="right"/>
        <w:rPr>
          <w:i/>
          <w:iCs/>
          <w:sz w:val="18"/>
          <w:szCs w:val="18"/>
        </w:rPr>
      </w:pPr>
      <w:r w:rsidRPr="003E59B0">
        <w:rPr>
          <w:i/>
          <w:iCs/>
          <w:sz w:val="18"/>
          <w:szCs w:val="18"/>
        </w:rPr>
        <w:t>Prof. Yan Guangcai</w:t>
      </w:r>
      <w:r w:rsidRPr="003E59B0">
        <w:rPr>
          <w:rFonts w:hint="eastAsia"/>
          <w:i/>
          <w:iCs/>
          <w:sz w:val="18"/>
          <w:szCs w:val="18"/>
        </w:rPr>
        <w:t xml:space="preserve"> </w:t>
      </w:r>
      <w:r w:rsidRPr="003E59B0">
        <w:rPr>
          <w:i/>
          <w:iCs/>
          <w:sz w:val="18"/>
          <w:szCs w:val="18"/>
        </w:rPr>
        <w:t>East China Normal University</w:t>
      </w:r>
      <w:r w:rsidRPr="003E59B0">
        <w:rPr>
          <w:i/>
          <w:iCs/>
          <w:sz w:val="18"/>
          <w:szCs w:val="18"/>
        </w:rPr>
        <w:t>，</w:t>
      </w:r>
      <w:r w:rsidRPr="003E59B0">
        <w:rPr>
          <w:i/>
          <w:iCs/>
          <w:sz w:val="18"/>
          <w:szCs w:val="18"/>
        </w:rPr>
        <w:t>2016.1[5]</w:t>
      </w:r>
    </w:p>
    <w:p w14:paraId="5F77CAFC" w14:textId="77777777" w:rsidR="0076714D" w:rsidRDefault="0076714D" w:rsidP="0076714D">
      <w:pPr>
        <w:rPr>
          <w:sz w:val="18"/>
          <w:szCs w:val="18"/>
          <w:lang w:eastAsia="zh-CN"/>
        </w:rPr>
      </w:pPr>
    </w:p>
    <w:p w14:paraId="11B303A9" w14:textId="77777777" w:rsidR="0076714D" w:rsidRPr="00F8557B" w:rsidRDefault="0076714D" w:rsidP="0076714D">
      <w:pPr>
        <w:ind w:firstLineChars="50" w:firstLine="90"/>
        <w:jc w:val="center"/>
        <w:rPr>
          <w:sz w:val="18"/>
          <w:szCs w:val="18"/>
        </w:rPr>
      </w:pPr>
      <w:r>
        <w:rPr>
          <w:rFonts w:hint="eastAsia"/>
          <w:sz w:val="18"/>
          <w:szCs w:val="18"/>
        </w:rPr>
        <w:lastRenderedPageBreak/>
        <w:t>Table</w:t>
      </w:r>
      <w:r w:rsidRPr="00F8557B">
        <w:rPr>
          <w:sz w:val="18"/>
          <w:szCs w:val="18"/>
        </w:rPr>
        <w:t>2</w:t>
      </w:r>
      <w:r w:rsidRPr="00F8557B">
        <w:rPr>
          <w:sz w:val="18"/>
          <w:szCs w:val="18"/>
        </w:rPr>
        <w:t>：</w:t>
      </w:r>
      <w:r w:rsidRPr="003759D7">
        <w:rPr>
          <w:sz w:val="18"/>
          <w:szCs w:val="18"/>
        </w:rPr>
        <w:t>Ranking table of academic achievements of different types of outstanding talents</w:t>
      </w:r>
      <w:r w:rsidRPr="00F8557B">
        <w:rPr>
          <w:sz w:val="18"/>
          <w:szCs w:val="18"/>
        </w:rPr>
        <w:t>（</w:t>
      </w:r>
      <w:r w:rsidRPr="00F8557B">
        <w:rPr>
          <w:sz w:val="18"/>
          <w:szCs w:val="18"/>
        </w:rPr>
        <w:t>%</w:t>
      </w:r>
      <w:r w:rsidRPr="00F8557B">
        <w:rPr>
          <w:sz w:val="18"/>
          <w:szCs w:val="18"/>
        </w:rPr>
        <w:t>）</w:t>
      </w:r>
    </w:p>
    <w:tbl>
      <w:tblPr>
        <w:tblStyle w:val="a5"/>
        <w:tblW w:w="0" w:type="auto"/>
        <w:jc w:val="center"/>
        <w:tblLook w:val="04A0" w:firstRow="1" w:lastRow="0" w:firstColumn="1" w:lastColumn="0" w:noHBand="0" w:noVBand="1"/>
      </w:tblPr>
      <w:tblGrid>
        <w:gridCol w:w="2584"/>
        <w:gridCol w:w="1810"/>
        <w:gridCol w:w="1843"/>
        <w:gridCol w:w="2062"/>
      </w:tblGrid>
      <w:tr w:rsidR="0076714D" w:rsidRPr="00F8557B" w14:paraId="0AADFD54" w14:textId="77777777" w:rsidTr="003E59B0">
        <w:trPr>
          <w:jc w:val="center"/>
        </w:trPr>
        <w:tc>
          <w:tcPr>
            <w:tcW w:w="2584" w:type="dxa"/>
            <w:tcBorders>
              <w:top w:val="single" w:sz="12" w:space="0" w:color="auto"/>
              <w:left w:val="nil"/>
              <w:bottom w:val="single" w:sz="12" w:space="0" w:color="auto"/>
              <w:right w:val="nil"/>
            </w:tcBorders>
          </w:tcPr>
          <w:p w14:paraId="1BA02345" w14:textId="77777777" w:rsidR="0076714D" w:rsidRPr="00F8557B" w:rsidRDefault="0076714D" w:rsidP="0076714D">
            <w:pPr>
              <w:jc w:val="left"/>
              <w:rPr>
                <w:sz w:val="18"/>
                <w:szCs w:val="18"/>
              </w:rPr>
            </w:pPr>
            <w:r w:rsidRPr="003759D7">
              <w:rPr>
                <w:sz w:val="18"/>
                <w:szCs w:val="18"/>
              </w:rPr>
              <w:t>Class academic performance ranking</w:t>
            </w:r>
          </w:p>
        </w:tc>
        <w:tc>
          <w:tcPr>
            <w:tcW w:w="1810" w:type="dxa"/>
            <w:tcBorders>
              <w:top w:val="single" w:sz="12" w:space="0" w:color="auto"/>
              <w:left w:val="nil"/>
              <w:bottom w:val="single" w:sz="12" w:space="0" w:color="auto"/>
              <w:right w:val="nil"/>
            </w:tcBorders>
          </w:tcPr>
          <w:p w14:paraId="6975BC5F" w14:textId="77777777" w:rsidR="0076714D" w:rsidRPr="00F8557B" w:rsidRDefault="0076714D" w:rsidP="0076714D">
            <w:pPr>
              <w:jc w:val="left"/>
              <w:rPr>
                <w:sz w:val="18"/>
                <w:szCs w:val="18"/>
              </w:rPr>
            </w:pPr>
            <w:r w:rsidRPr="00FD202A">
              <w:rPr>
                <w:sz w:val="18"/>
                <w:szCs w:val="18"/>
              </w:rPr>
              <w:t>Director-General Level and Above</w:t>
            </w:r>
          </w:p>
        </w:tc>
        <w:tc>
          <w:tcPr>
            <w:tcW w:w="1843" w:type="dxa"/>
            <w:tcBorders>
              <w:top w:val="single" w:sz="12" w:space="0" w:color="auto"/>
              <w:left w:val="nil"/>
              <w:bottom w:val="single" w:sz="12" w:space="0" w:color="auto"/>
              <w:right w:val="nil"/>
            </w:tcBorders>
          </w:tcPr>
          <w:p w14:paraId="64C86C17" w14:textId="77777777" w:rsidR="0076714D" w:rsidRPr="00F8557B" w:rsidRDefault="0076714D" w:rsidP="0076714D">
            <w:pPr>
              <w:jc w:val="left"/>
              <w:rPr>
                <w:sz w:val="18"/>
                <w:szCs w:val="18"/>
              </w:rPr>
            </w:pPr>
            <w:r w:rsidRPr="00FD202A">
              <w:rPr>
                <w:sz w:val="18"/>
                <w:szCs w:val="18"/>
              </w:rPr>
              <w:t>Senior Professional Title and Above</w:t>
            </w:r>
          </w:p>
        </w:tc>
        <w:tc>
          <w:tcPr>
            <w:tcW w:w="2062" w:type="dxa"/>
            <w:tcBorders>
              <w:top w:val="single" w:sz="12" w:space="0" w:color="auto"/>
              <w:left w:val="nil"/>
              <w:bottom w:val="single" w:sz="12" w:space="0" w:color="auto"/>
              <w:right w:val="nil"/>
            </w:tcBorders>
          </w:tcPr>
          <w:p w14:paraId="77E7978D" w14:textId="77777777" w:rsidR="0076714D" w:rsidRPr="00F8557B" w:rsidRDefault="0076714D" w:rsidP="0076714D">
            <w:pPr>
              <w:jc w:val="left"/>
              <w:rPr>
                <w:sz w:val="18"/>
                <w:szCs w:val="18"/>
              </w:rPr>
            </w:pPr>
            <w:r w:rsidRPr="00FD202A">
              <w:rPr>
                <w:sz w:val="18"/>
                <w:szCs w:val="18"/>
              </w:rPr>
              <w:t>Senior Corporate Management</w:t>
            </w:r>
          </w:p>
        </w:tc>
      </w:tr>
      <w:tr w:rsidR="0076714D" w:rsidRPr="00F8557B" w14:paraId="3050AC2A" w14:textId="77777777" w:rsidTr="003E59B0">
        <w:trPr>
          <w:jc w:val="center"/>
        </w:trPr>
        <w:tc>
          <w:tcPr>
            <w:tcW w:w="2584" w:type="dxa"/>
            <w:tcBorders>
              <w:top w:val="single" w:sz="12" w:space="0" w:color="auto"/>
              <w:left w:val="nil"/>
              <w:bottom w:val="nil"/>
              <w:right w:val="nil"/>
            </w:tcBorders>
          </w:tcPr>
          <w:p w14:paraId="4FDC31CB" w14:textId="77777777" w:rsidR="0076714D" w:rsidRPr="00F8557B" w:rsidRDefault="0076714D" w:rsidP="0076714D">
            <w:pPr>
              <w:jc w:val="left"/>
              <w:rPr>
                <w:sz w:val="18"/>
                <w:szCs w:val="18"/>
              </w:rPr>
            </w:pPr>
            <w:r w:rsidRPr="003759D7">
              <w:rPr>
                <w:sz w:val="18"/>
                <w:szCs w:val="18"/>
              </w:rPr>
              <w:t>Top three</w:t>
            </w:r>
          </w:p>
        </w:tc>
        <w:tc>
          <w:tcPr>
            <w:tcW w:w="1810" w:type="dxa"/>
            <w:tcBorders>
              <w:top w:val="single" w:sz="12" w:space="0" w:color="auto"/>
              <w:left w:val="nil"/>
              <w:bottom w:val="nil"/>
              <w:right w:val="nil"/>
            </w:tcBorders>
          </w:tcPr>
          <w:p w14:paraId="4D6F0E04" w14:textId="77777777" w:rsidR="0076714D" w:rsidRPr="00F8557B" w:rsidRDefault="0076714D" w:rsidP="0076714D">
            <w:pPr>
              <w:jc w:val="left"/>
              <w:rPr>
                <w:sz w:val="18"/>
                <w:szCs w:val="18"/>
              </w:rPr>
            </w:pPr>
            <w:r w:rsidRPr="00F8557B">
              <w:rPr>
                <w:sz w:val="18"/>
                <w:szCs w:val="18"/>
              </w:rPr>
              <w:t>10.6</w:t>
            </w:r>
          </w:p>
        </w:tc>
        <w:tc>
          <w:tcPr>
            <w:tcW w:w="1843" w:type="dxa"/>
            <w:tcBorders>
              <w:top w:val="single" w:sz="12" w:space="0" w:color="auto"/>
              <w:left w:val="nil"/>
              <w:bottom w:val="nil"/>
              <w:right w:val="nil"/>
            </w:tcBorders>
          </w:tcPr>
          <w:p w14:paraId="38797E0E" w14:textId="77777777" w:rsidR="0076714D" w:rsidRPr="00F8557B" w:rsidRDefault="0076714D" w:rsidP="0076714D">
            <w:pPr>
              <w:jc w:val="left"/>
              <w:rPr>
                <w:sz w:val="18"/>
                <w:szCs w:val="18"/>
              </w:rPr>
            </w:pPr>
            <w:r w:rsidRPr="00F8557B">
              <w:rPr>
                <w:sz w:val="18"/>
                <w:szCs w:val="18"/>
              </w:rPr>
              <w:t>19.6</w:t>
            </w:r>
          </w:p>
        </w:tc>
        <w:tc>
          <w:tcPr>
            <w:tcW w:w="2062" w:type="dxa"/>
            <w:tcBorders>
              <w:top w:val="single" w:sz="12" w:space="0" w:color="auto"/>
              <w:left w:val="nil"/>
              <w:bottom w:val="nil"/>
              <w:right w:val="nil"/>
            </w:tcBorders>
          </w:tcPr>
          <w:p w14:paraId="27E5A752" w14:textId="77777777" w:rsidR="0076714D" w:rsidRPr="00F8557B" w:rsidRDefault="0076714D" w:rsidP="0076714D">
            <w:pPr>
              <w:jc w:val="left"/>
              <w:rPr>
                <w:sz w:val="18"/>
                <w:szCs w:val="18"/>
              </w:rPr>
            </w:pPr>
            <w:r w:rsidRPr="00F8557B">
              <w:rPr>
                <w:sz w:val="18"/>
                <w:szCs w:val="18"/>
              </w:rPr>
              <w:t>9.7</w:t>
            </w:r>
          </w:p>
        </w:tc>
      </w:tr>
      <w:tr w:rsidR="0076714D" w:rsidRPr="00F8557B" w14:paraId="2A974318" w14:textId="77777777" w:rsidTr="003E59B0">
        <w:trPr>
          <w:jc w:val="center"/>
        </w:trPr>
        <w:tc>
          <w:tcPr>
            <w:tcW w:w="2584" w:type="dxa"/>
            <w:tcBorders>
              <w:top w:val="nil"/>
              <w:left w:val="nil"/>
              <w:bottom w:val="nil"/>
              <w:right w:val="nil"/>
            </w:tcBorders>
          </w:tcPr>
          <w:p w14:paraId="21E983A7" w14:textId="77777777" w:rsidR="0076714D" w:rsidRPr="00F8557B" w:rsidRDefault="0076714D" w:rsidP="0076714D">
            <w:pPr>
              <w:jc w:val="left"/>
              <w:rPr>
                <w:sz w:val="18"/>
                <w:szCs w:val="18"/>
              </w:rPr>
            </w:pPr>
            <w:r w:rsidRPr="003759D7">
              <w:rPr>
                <w:sz w:val="18"/>
                <w:szCs w:val="18"/>
              </w:rPr>
              <w:t>Six or so</w:t>
            </w:r>
          </w:p>
        </w:tc>
        <w:tc>
          <w:tcPr>
            <w:tcW w:w="1810" w:type="dxa"/>
            <w:tcBorders>
              <w:top w:val="nil"/>
              <w:left w:val="nil"/>
              <w:bottom w:val="nil"/>
              <w:right w:val="nil"/>
            </w:tcBorders>
          </w:tcPr>
          <w:p w14:paraId="166C6095" w14:textId="77777777" w:rsidR="0076714D" w:rsidRPr="00F8557B" w:rsidRDefault="0076714D" w:rsidP="0076714D">
            <w:pPr>
              <w:jc w:val="left"/>
              <w:rPr>
                <w:sz w:val="18"/>
                <w:szCs w:val="18"/>
              </w:rPr>
            </w:pPr>
            <w:r w:rsidRPr="00F8557B">
              <w:rPr>
                <w:sz w:val="18"/>
                <w:szCs w:val="18"/>
              </w:rPr>
              <w:t>23.7</w:t>
            </w:r>
          </w:p>
        </w:tc>
        <w:tc>
          <w:tcPr>
            <w:tcW w:w="1843" w:type="dxa"/>
            <w:tcBorders>
              <w:top w:val="nil"/>
              <w:left w:val="nil"/>
              <w:bottom w:val="nil"/>
              <w:right w:val="nil"/>
            </w:tcBorders>
          </w:tcPr>
          <w:p w14:paraId="56C1EF79" w14:textId="77777777" w:rsidR="0076714D" w:rsidRPr="00F8557B" w:rsidRDefault="0076714D" w:rsidP="0076714D">
            <w:pPr>
              <w:jc w:val="left"/>
              <w:rPr>
                <w:sz w:val="18"/>
                <w:szCs w:val="18"/>
              </w:rPr>
            </w:pPr>
            <w:r w:rsidRPr="00F8557B">
              <w:rPr>
                <w:sz w:val="18"/>
                <w:szCs w:val="18"/>
              </w:rPr>
              <w:t>19</w:t>
            </w:r>
          </w:p>
        </w:tc>
        <w:tc>
          <w:tcPr>
            <w:tcW w:w="2062" w:type="dxa"/>
            <w:tcBorders>
              <w:top w:val="nil"/>
              <w:left w:val="nil"/>
              <w:bottom w:val="nil"/>
              <w:right w:val="nil"/>
            </w:tcBorders>
          </w:tcPr>
          <w:p w14:paraId="690CC966" w14:textId="77777777" w:rsidR="0076714D" w:rsidRPr="00F8557B" w:rsidRDefault="0076714D" w:rsidP="0076714D">
            <w:pPr>
              <w:jc w:val="left"/>
              <w:rPr>
                <w:sz w:val="18"/>
                <w:szCs w:val="18"/>
              </w:rPr>
            </w:pPr>
            <w:r w:rsidRPr="00F8557B">
              <w:rPr>
                <w:sz w:val="18"/>
                <w:szCs w:val="18"/>
              </w:rPr>
              <w:t>17.6</w:t>
            </w:r>
          </w:p>
        </w:tc>
      </w:tr>
      <w:tr w:rsidR="0076714D" w:rsidRPr="00F8557B" w14:paraId="3841CEEB" w14:textId="77777777" w:rsidTr="003E59B0">
        <w:trPr>
          <w:jc w:val="center"/>
        </w:trPr>
        <w:tc>
          <w:tcPr>
            <w:tcW w:w="2584" w:type="dxa"/>
            <w:tcBorders>
              <w:top w:val="nil"/>
              <w:left w:val="nil"/>
              <w:bottom w:val="nil"/>
              <w:right w:val="nil"/>
            </w:tcBorders>
          </w:tcPr>
          <w:p w14:paraId="07F5BEEC" w14:textId="77777777" w:rsidR="0076714D" w:rsidRPr="00F8557B" w:rsidRDefault="0076714D" w:rsidP="0076714D">
            <w:pPr>
              <w:jc w:val="left"/>
              <w:rPr>
                <w:sz w:val="18"/>
                <w:szCs w:val="18"/>
              </w:rPr>
            </w:pPr>
            <w:r w:rsidRPr="003759D7">
              <w:rPr>
                <w:sz w:val="18"/>
                <w:szCs w:val="18"/>
              </w:rPr>
              <w:t>Ten or so</w:t>
            </w:r>
          </w:p>
        </w:tc>
        <w:tc>
          <w:tcPr>
            <w:tcW w:w="1810" w:type="dxa"/>
            <w:tcBorders>
              <w:top w:val="nil"/>
              <w:left w:val="nil"/>
              <w:bottom w:val="nil"/>
              <w:right w:val="nil"/>
            </w:tcBorders>
          </w:tcPr>
          <w:p w14:paraId="79AA16FB" w14:textId="77777777" w:rsidR="0076714D" w:rsidRPr="00F8557B" w:rsidRDefault="0076714D" w:rsidP="0076714D">
            <w:pPr>
              <w:jc w:val="left"/>
              <w:rPr>
                <w:sz w:val="18"/>
                <w:szCs w:val="18"/>
              </w:rPr>
            </w:pPr>
            <w:r w:rsidRPr="00F8557B">
              <w:rPr>
                <w:sz w:val="18"/>
                <w:szCs w:val="18"/>
              </w:rPr>
              <w:t>28.9</w:t>
            </w:r>
          </w:p>
        </w:tc>
        <w:tc>
          <w:tcPr>
            <w:tcW w:w="1843" w:type="dxa"/>
            <w:tcBorders>
              <w:top w:val="nil"/>
              <w:left w:val="nil"/>
              <w:bottom w:val="nil"/>
              <w:right w:val="nil"/>
            </w:tcBorders>
          </w:tcPr>
          <w:p w14:paraId="0D40A4AE" w14:textId="77777777" w:rsidR="0076714D" w:rsidRPr="00F8557B" w:rsidRDefault="0076714D" w:rsidP="0076714D">
            <w:pPr>
              <w:jc w:val="left"/>
              <w:rPr>
                <w:sz w:val="18"/>
                <w:szCs w:val="18"/>
              </w:rPr>
            </w:pPr>
            <w:r w:rsidRPr="00F8557B">
              <w:rPr>
                <w:sz w:val="18"/>
                <w:szCs w:val="18"/>
              </w:rPr>
              <w:t>35.2</w:t>
            </w:r>
          </w:p>
        </w:tc>
        <w:tc>
          <w:tcPr>
            <w:tcW w:w="2062" w:type="dxa"/>
            <w:tcBorders>
              <w:top w:val="nil"/>
              <w:left w:val="nil"/>
              <w:bottom w:val="nil"/>
              <w:right w:val="nil"/>
            </w:tcBorders>
          </w:tcPr>
          <w:p w14:paraId="03FA66AE" w14:textId="77777777" w:rsidR="0076714D" w:rsidRPr="00F8557B" w:rsidRDefault="0076714D" w:rsidP="0076714D">
            <w:pPr>
              <w:jc w:val="left"/>
              <w:rPr>
                <w:sz w:val="18"/>
                <w:szCs w:val="18"/>
              </w:rPr>
            </w:pPr>
            <w:r w:rsidRPr="00F8557B">
              <w:rPr>
                <w:sz w:val="18"/>
                <w:szCs w:val="18"/>
              </w:rPr>
              <w:t>37.4</w:t>
            </w:r>
          </w:p>
        </w:tc>
      </w:tr>
      <w:tr w:rsidR="0076714D" w:rsidRPr="00F8557B" w14:paraId="435CFC4C" w14:textId="77777777" w:rsidTr="003E59B0">
        <w:trPr>
          <w:trHeight w:val="493"/>
          <w:jc w:val="center"/>
        </w:trPr>
        <w:tc>
          <w:tcPr>
            <w:tcW w:w="2584" w:type="dxa"/>
            <w:tcBorders>
              <w:top w:val="nil"/>
              <w:left w:val="nil"/>
              <w:bottom w:val="nil"/>
              <w:right w:val="nil"/>
            </w:tcBorders>
          </w:tcPr>
          <w:p w14:paraId="4FABDF91" w14:textId="77777777" w:rsidR="0076714D" w:rsidRPr="00F8557B" w:rsidRDefault="0076714D" w:rsidP="0076714D">
            <w:pPr>
              <w:jc w:val="left"/>
              <w:rPr>
                <w:sz w:val="18"/>
                <w:szCs w:val="18"/>
              </w:rPr>
            </w:pPr>
            <w:r w:rsidRPr="00FD202A">
              <w:rPr>
                <w:sz w:val="18"/>
                <w:szCs w:val="18"/>
              </w:rPr>
              <w:t>Fifteen or so</w:t>
            </w:r>
          </w:p>
        </w:tc>
        <w:tc>
          <w:tcPr>
            <w:tcW w:w="1810" w:type="dxa"/>
            <w:tcBorders>
              <w:top w:val="nil"/>
              <w:left w:val="nil"/>
              <w:bottom w:val="nil"/>
              <w:right w:val="nil"/>
            </w:tcBorders>
          </w:tcPr>
          <w:p w14:paraId="0FACA17C" w14:textId="77777777" w:rsidR="0076714D" w:rsidRPr="00F8557B" w:rsidRDefault="0076714D" w:rsidP="0076714D">
            <w:pPr>
              <w:jc w:val="left"/>
              <w:rPr>
                <w:sz w:val="18"/>
                <w:szCs w:val="18"/>
              </w:rPr>
            </w:pPr>
            <w:r w:rsidRPr="00F8557B">
              <w:rPr>
                <w:sz w:val="18"/>
                <w:szCs w:val="18"/>
              </w:rPr>
              <w:t>18.4</w:t>
            </w:r>
          </w:p>
        </w:tc>
        <w:tc>
          <w:tcPr>
            <w:tcW w:w="1843" w:type="dxa"/>
            <w:tcBorders>
              <w:top w:val="nil"/>
              <w:left w:val="nil"/>
              <w:bottom w:val="nil"/>
              <w:right w:val="nil"/>
            </w:tcBorders>
          </w:tcPr>
          <w:p w14:paraId="6CBBC36C" w14:textId="77777777" w:rsidR="0076714D" w:rsidRPr="00F8557B" w:rsidRDefault="0076714D" w:rsidP="0076714D">
            <w:pPr>
              <w:jc w:val="left"/>
              <w:rPr>
                <w:sz w:val="18"/>
                <w:szCs w:val="18"/>
              </w:rPr>
            </w:pPr>
            <w:r w:rsidRPr="00F8557B">
              <w:rPr>
                <w:sz w:val="18"/>
                <w:szCs w:val="18"/>
              </w:rPr>
              <w:t>17.3</w:t>
            </w:r>
          </w:p>
        </w:tc>
        <w:tc>
          <w:tcPr>
            <w:tcW w:w="2062" w:type="dxa"/>
            <w:tcBorders>
              <w:top w:val="nil"/>
              <w:left w:val="nil"/>
              <w:bottom w:val="nil"/>
              <w:right w:val="nil"/>
            </w:tcBorders>
          </w:tcPr>
          <w:p w14:paraId="7A44FAF8" w14:textId="77777777" w:rsidR="0076714D" w:rsidRPr="00F8557B" w:rsidRDefault="0076714D" w:rsidP="0076714D">
            <w:pPr>
              <w:jc w:val="left"/>
              <w:rPr>
                <w:sz w:val="18"/>
                <w:szCs w:val="18"/>
              </w:rPr>
            </w:pPr>
            <w:r w:rsidRPr="00F8557B">
              <w:rPr>
                <w:sz w:val="18"/>
                <w:szCs w:val="18"/>
              </w:rPr>
              <w:t>24.8</w:t>
            </w:r>
          </w:p>
        </w:tc>
      </w:tr>
      <w:tr w:rsidR="0076714D" w:rsidRPr="00F8557B" w14:paraId="52022EBB" w14:textId="77777777" w:rsidTr="003E59B0">
        <w:trPr>
          <w:jc w:val="center"/>
        </w:trPr>
        <w:tc>
          <w:tcPr>
            <w:tcW w:w="2584" w:type="dxa"/>
            <w:tcBorders>
              <w:top w:val="nil"/>
              <w:left w:val="nil"/>
              <w:bottom w:val="single" w:sz="12" w:space="0" w:color="auto"/>
              <w:right w:val="nil"/>
            </w:tcBorders>
          </w:tcPr>
          <w:p w14:paraId="6147C15B" w14:textId="77777777" w:rsidR="0076714D" w:rsidRPr="00F8557B" w:rsidRDefault="0076714D" w:rsidP="0076714D">
            <w:pPr>
              <w:jc w:val="left"/>
              <w:rPr>
                <w:sz w:val="18"/>
                <w:szCs w:val="18"/>
              </w:rPr>
            </w:pPr>
            <w:r w:rsidRPr="00FD202A">
              <w:rPr>
                <w:sz w:val="18"/>
                <w:szCs w:val="18"/>
              </w:rPr>
              <w:t>After twenty</w:t>
            </w:r>
          </w:p>
        </w:tc>
        <w:tc>
          <w:tcPr>
            <w:tcW w:w="1810" w:type="dxa"/>
            <w:tcBorders>
              <w:top w:val="nil"/>
              <w:left w:val="nil"/>
              <w:bottom w:val="single" w:sz="12" w:space="0" w:color="auto"/>
              <w:right w:val="nil"/>
            </w:tcBorders>
          </w:tcPr>
          <w:p w14:paraId="18D1A06B" w14:textId="77777777" w:rsidR="0076714D" w:rsidRPr="00F8557B" w:rsidRDefault="0076714D" w:rsidP="0076714D">
            <w:pPr>
              <w:jc w:val="left"/>
              <w:rPr>
                <w:sz w:val="18"/>
                <w:szCs w:val="18"/>
              </w:rPr>
            </w:pPr>
            <w:r w:rsidRPr="00F8557B">
              <w:rPr>
                <w:sz w:val="18"/>
                <w:szCs w:val="18"/>
              </w:rPr>
              <w:t>18.4</w:t>
            </w:r>
          </w:p>
        </w:tc>
        <w:tc>
          <w:tcPr>
            <w:tcW w:w="1843" w:type="dxa"/>
            <w:tcBorders>
              <w:top w:val="nil"/>
              <w:left w:val="nil"/>
              <w:bottom w:val="single" w:sz="12" w:space="0" w:color="auto"/>
              <w:right w:val="nil"/>
            </w:tcBorders>
          </w:tcPr>
          <w:p w14:paraId="3D03F2FA" w14:textId="77777777" w:rsidR="0076714D" w:rsidRPr="00F8557B" w:rsidRDefault="0076714D" w:rsidP="0076714D">
            <w:pPr>
              <w:jc w:val="left"/>
              <w:rPr>
                <w:sz w:val="18"/>
                <w:szCs w:val="18"/>
              </w:rPr>
            </w:pPr>
            <w:r w:rsidRPr="00F8557B">
              <w:rPr>
                <w:sz w:val="18"/>
                <w:szCs w:val="18"/>
              </w:rPr>
              <w:t>8.8</w:t>
            </w:r>
          </w:p>
        </w:tc>
        <w:tc>
          <w:tcPr>
            <w:tcW w:w="2062" w:type="dxa"/>
            <w:tcBorders>
              <w:top w:val="nil"/>
              <w:left w:val="nil"/>
              <w:bottom w:val="single" w:sz="12" w:space="0" w:color="auto"/>
              <w:right w:val="nil"/>
            </w:tcBorders>
          </w:tcPr>
          <w:p w14:paraId="5B8D2CF2" w14:textId="77777777" w:rsidR="0076714D" w:rsidRPr="00F8557B" w:rsidRDefault="0076714D" w:rsidP="0076714D">
            <w:pPr>
              <w:jc w:val="left"/>
              <w:rPr>
                <w:sz w:val="18"/>
                <w:szCs w:val="18"/>
              </w:rPr>
            </w:pPr>
            <w:r w:rsidRPr="00F8557B">
              <w:rPr>
                <w:sz w:val="18"/>
                <w:szCs w:val="18"/>
              </w:rPr>
              <w:t>10.5</w:t>
            </w:r>
          </w:p>
        </w:tc>
      </w:tr>
    </w:tbl>
    <w:p w14:paraId="38C7AE93" w14:textId="77777777" w:rsidR="0076714D" w:rsidRPr="003E59B0" w:rsidRDefault="0076714D" w:rsidP="0076714D">
      <w:pPr>
        <w:jc w:val="right"/>
        <w:rPr>
          <w:i/>
          <w:iCs/>
          <w:sz w:val="18"/>
          <w:szCs w:val="18"/>
        </w:rPr>
      </w:pPr>
      <w:r w:rsidRPr="003E59B0">
        <w:rPr>
          <w:i/>
          <w:iCs/>
          <w:sz w:val="18"/>
          <w:szCs w:val="18"/>
        </w:rPr>
        <w:t>Fifty-Year Analysis of 985 University Student Performance: Correlating Academic Excellence with Leadership in Government, Enterprise, and Academia - A Tsinghua Big Data Study"</w:t>
      </w:r>
      <w:r w:rsidRPr="003E59B0">
        <w:rPr>
          <w:i/>
          <w:iCs/>
          <w:sz w:val="18"/>
          <w:szCs w:val="18"/>
        </w:rPr>
        <w:t>，</w:t>
      </w:r>
      <w:r w:rsidRPr="003E59B0">
        <w:rPr>
          <w:i/>
          <w:iCs/>
          <w:sz w:val="18"/>
          <w:szCs w:val="18"/>
        </w:rPr>
        <w:t>2016</w:t>
      </w:r>
      <w:r w:rsidRPr="003E59B0">
        <w:rPr>
          <w:rFonts w:hint="eastAsia"/>
          <w:i/>
          <w:iCs/>
          <w:sz w:val="18"/>
          <w:szCs w:val="18"/>
        </w:rPr>
        <w:t xml:space="preserve"> [6]</w:t>
      </w:r>
    </w:p>
    <w:p w14:paraId="3C5EB652" w14:textId="337F1663" w:rsidR="0076714D" w:rsidRPr="0076714D" w:rsidRDefault="0076714D" w:rsidP="0076714D">
      <w:pPr>
        <w:pStyle w:val="Default"/>
        <w:ind w:firstLineChars="300" w:firstLine="600"/>
        <w:jc w:val="both"/>
        <w:rPr>
          <w:sz w:val="20"/>
          <w:szCs w:val="20"/>
        </w:rPr>
      </w:pPr>
      <w:r w:rsidRPr="0076714D">
        <w:rPr>
          <w:sz w:val="20"/>
          <w:szCs w:val="20"/>
        </w:rPr>
        <w:t>From Tables 1-2, it can be observed that the talent cultivated through traditional classroom teaching and evaluation systems does not fully align with outcome-oriented demands or future workforce needs. This underscores the critical importance of curriculum development. I believe the OBE (Outcome-Based Education) teaching philosophy was proposed precisely to address this issue. So, how should classroom teaching methods be reformed?</w:t>
      </w:r>
    </w:p>
    <w:p w14:paraId="49F19DA5" w14:textId="433919FC" w:rsidR="0076714D" w:rsidRPr="00C02E48" w:rsidRDefault="0076714D" w:rsidP="00C02E48">
      <w:pPr>
        <w:pStyle w:val="Default"/>
        <w:jc w:val="center"/>
        <w:rPr>
          <w:b/>
          <w:sz w:val="20"/>
          <w:szCs w:val="20"/>
          <w:lang w:eastAsia="zh-CN"/>
        </w:rPr>
      </w:pPr>
      <w:r>
        <w:rPr>
          <w:b/>
          <w:noProof/>
          <w:sz w:val="20"/>
          <w:szCs w:val="20"/>
          <w:lang w:eastAsia="zh-CN"/>
        </w:rPr>
        <w:drawing>
          <wp:inline distT="0" distB="0" distL="0" distR="0" wp14:anchorId="2394F5AA" wp14:editId="18AD1631">
            <wp:extent cx="4090670" cy="2310765"/>
            <wp:effectExtent l="0" t="0" r="0" b="0"/>
            <wp:docPr id="20713151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0670" cy="2310765"/>
                    </a:xfrm>
                    <a:prstGeom prst="rect">
                      <a:avLst/>
                    </a:prstGeom>
                    <a:noFill/>
                  </pic:spPr>
                </pic:pic>
              </a:graphicData>
            </a:graphic>
          </wp:inline>
        </w:drawing>
      </w:r>
    </w:p>
    <w:p w14:paraId="798B9106" w14:textId="77777777" w:rsidR="00703D23" w:rsidRDefault="00703D23" w:rsidP="00A730AA">
      <w:pPr>
        <w:pStyle w:val="Default"/>
        <w:jc w:val="both"/>
        <w:rPr>
          <w:sz w:val="20"/>
          <w:szCs w:val="20"/>
          <w:highlight w:val="yellow"/>
          <w:lang w:eastAsia="zh-CN"/>
        </w:rPr>
      </w:pPr>
    </w:p>
    <w:p w14:paraId="64093405" w14:textId="0693F06F" w:rsidR="0076714D" w:rsidRDefault="0076714D" w:rsidP="0076714D">
      <w:pPr>
        <w:pStyle w:val="Default"/>
        <w:jc w:val="center"/>
        <w:rPr>
          <w:sz w:val="20"/>
          <w:szCs w:val="20"/>
          <w:lang w:eastAsia="zh-CN"/>
        </w:rPr>
      </w:pPr>
      <w:r>
        <w:rPr>
          <w:rFonts w:hint="eastAsia"/>
          <w:sz w:val="20"/>
          <w:szCs w:val="20"/>
          <w:lang w:eastAsia="zh-CN"/>
        </w:rPr>
        <w:t>Figure</w:t>
      </w:r>
      <w:r w:rsidRPr="0076714D">
        <w:rPr>
          <w:rFonts w:hint="eastAsia"/>
          <w:sz w:val="20"/>
          <w:szCs w:val="20"/>
          <w:lang w:eastAsia="zh-CN"/>
        </w:rPr>
        <w:t>1</w:t>
      </w:r>
      <w:r>
        <w:rPr>
          <w:rFonts w:hint="eastAsia"/>
          <w:sz w:val="20"/>
          <w:szCs w:val="20"/>
          <w:lang w:eastAsia="zh-CN"/>
        </w:rPr>
        <w:t xml:space="preserve">. </w:t>
      </w:r>
      <w:r w:rsidRPr="0076714D">
        <w:rPr>
          <w:rFonts w:hint="eastAsia"/>
          <w:sz w:val="20"/>
          <w:szCs w:val="20"/>
          <w:lang w:eastAsia="zh-CN"/>
        </w:rPr>
        <w:t>Bloom's Taxonomy of Educational Objectives [7-8]</w:t>
      </w:r>
    </w:p>
    <w:p w14:paraId="24C714D4" w14:textId="77777777" w:rsidR="0076714D" w:rsidRDefault="0076714D" w:rsidP="003E59B0">
      <w:pPr>
        <w:pStyle w:val="Default"/>
        <w:jc w:val="center"/>
        <w:rPr>
          <w:sz w:val="20"/>
          <w:szCs w:val="20"/>
          <w:lang w:eastAsia="zh-CN"/>
        </w:rPr>
      </w:pPr>
      <w:r w:rsidRPr="0076714D">
        <w:rPr>
          <w:rFonts w:hint="eastAsia"/>
          <w:sz w:val="20"/>
          <w:szCs w:val="20"/>
          <w:lang w:eastAsia="zh-CN"/>
        </w:rPr>
        <w:t>（</w:t>
      </w:r>
      <w:r w:rsidRPr="0076714D">
        <w:rPr>
          <w:rFonts w:hint="eastAsia"/>
          <w:b/>
          <w:bCs/>
          <w:sz w:val="20"/>
          <w:szCs w:val="20"/>
          <w:lang w:eastAsia="zh-CN"/>
        </w:rPr>
        <w:t>Note</w:t>
      </w:r>
      <w:r w:rsidRPr="0076714D">
        <w:rPr>
          <w:rFonts w:hint="eastAsia"/>
          <w:sz w:val="20"/>
          <w:szCs w:val="20"/>
          <w:lang w:eastAsia="zh-CN"/>
        </w:rPr>
        <w:t>: Benjamin Bloom was a renowned contemporary American psychologist, educationist, and Professor of Education at the University of Chicago. He served as President of the American Educational Research Association (AERA) and was an expert in assessment and curriculum for the International Association for the Evaluation of Educational Achievement (IEA).</w:t>
      </w:r>
      <w:r w:rsidRPr="0076714D">
        <w:rPr>
          <w:rFonts w:hint="eastAsia"/>
          <w:sz w:val="20"/>
          <w:szCs w:val="20"/>
          <w:lang w:eastAsia="zh-CN"/>
        </w:rPr>
        <w:t>）</w:t>
      </w:r>
    </w:p>
    <w:p w14:paraId="106650D5" w14:textId="77777777" w:rsidR="003E59B0" w:rsidRDefault="003E59B0" w:rsidP="003E59B0">
      <w:pPr>
        <w:pStyle w:val="Default"/>
        <w:jc w:val="center"/>
        <w:rPr>
          <w:sz w:val="20"/>
          <w:szCs w:val="20"/>
          <w:lang w:eastAsia="zh-CN"/>
        </w:rPr>
      </w:pPr>
    </w:p>
    <w:p w14:paraId="25C5D599" w14:textId="3BF82D3A" w:rsidR="00AC58BD" w:rsidRPr="00B26C1C" w:rsidRDefault="0076714D" w:rsidP="0076714D">
      <w:pPr>
        <w:pStyle w:val="Default"/>
        <w:jc w:val="both"/>
        <w:rPr>
          <w:sz w:val="20"/>
          <w:szCs w:val="20"/>
        </w:rPr>
      </w:pPr>
      <w:r>
        <w:rPr>
          <w:rFonts w:hint="eastAsia"/>
          <w:sz w:val="20"/>
          <w:szCs w:val="20"/>
          <w:lang w:eastAsia="zh-CN"/>
        </w:rPr>
        <w:t xml:space="preserve">          </w:t>
      </w:r>
      <w:r w:rsidRPr="0076714D">
        <w:rPr>
          <w:sz w:val="20"/>
          <w:szCs w:val="20"/>
          <w:lang w:eastAsia="zh-CN"/>
        </w:rPr>
        <w:t>In the learning taxonomy model, the foundational levels—remembering and understanding—merely represent basic knowledge acquisition. The higher-order cognitive skills (applying, analyzing, evaluating, and creating) constitute comprehensive competencies essential for cultivating future-ready talent. How can we operationalize this across all teaching phases? As previously noted, off-campus internships and social activities (37%) and peer interactions (22%) significantly enhance skill development. However, these initiatives require substantive enhancement beyond token participation—students must engage in authentic production-based learning. Moreover, shouldn’t we prioritize reforming classroom teaching, which dominates students’ time? With rapid technological advancement and societal evolution, traditional pedagogies struggle to align with contemporary learners’ needs. A methodological transformation is imperative.</w:t>
      </w:r>
    </w:p>
    <w:p w14:paraId="62CC4780" w14:textId="02FB62AF" w:rsidR="00444D2C" w:rsidRPr="00B26C1C" w:rsidRDefault="0076714D" w:rsidP="0076714D">
      <w:pPr>
        <w:pStyle w:val="Default"/>
        <w:ind w:firstLineChars="300" w:firstLine="600"/>
        <w:jc w:val="both"/>
        <w:rPr>
          <w:sz w:val="20"/>
          <w:szCs w:val="20"/>
        </w:rPr>
      </w:pPr>
      <w:r w:rsidRPr="0076714D">
        <w:rPr>
          <w:sz w:val="20"/>
          <w:szCs w:val="20"/>
        </w:rPr>
        <w:t xml:space="preserve">Learning methods can be categorized into: Attending Passive – The traditional teacher-centered approach where students primarily listen and absorb information. Manipulating Active – Students engage with </w:t>
      </w:r>
      <w:r w:rsidRPr="0076714D">
        <w:rPr>
          <w:sz w:val="20"/>
          <w:szCs w:val="20"/>
        </w:rPr>
        <w:lastRenderedPageBreak/>
        <w:t xml:space="preserve">the material through problem-solving or hands-on tasks. Generating Constructive – </w:t>
      </w:r>
      <w:proofErr w:type="gramStart"/>
      <w:r w:rsidRPr="0076714D">
        <w:rPr>
          <w:sz w:val="20"/>
          <w:szCs w:val="20"/>
        </w:rPr>
        <w:t>Learners</w:t>
      </w:r>
      <w:proofErr w:type="gramEnd"/>
      <w:r w:rsidRPr="0076714D">
        <w:rPr>
          <w:sz w:val="20"/>
          <w:szCs w:val="20"/>
        </w:rPr>
        <w:t xml:space="preserve"> construct knowledge by summarizing, explaining, or applying concepts. Collaborating Interactive – Peer discussions, group projects, and cooperative problem-solving. Many high-quality courses ("gold-standard courses") now employ Generative and Interactive Learning, which are student-centered (SC) approaches. Research shows that these two methods significantly enhance knowledge acquisition, comprehension, extension, and competency development. To maximize effectiveness, these methods should be integrated with blended learning: Pre-class online learning (students acquire foundational knowledge independently) and In-class group discussions &amp; problem-solving (deepening understanding through collaboration).</w:t>
      </w:r>
    </w:p>
    <w:p w14:paraId="129EC393" w14:textId="14B57C87" w:rsidR="006E6662" w:rsidRPr="00B26C1C" w:rsidRDefault="0076714D" w:rsidP="0076714D">
      <w:pPr>
        <w:pStyle w:val="Default"/>
        <w:ind w:firstLineChars="300" w:firstLine="600"/>
        <w:jc w:val="both"/>
        <w:rPr>
          <w:sz w:val="20"/>
          <w:szCs w:val="20"/>
        </w:rPr>
      </w:pPr>
      <w:r w:rsidRPr="0076714D">
        <w:rPr>
          <w:sz w:val="20"/>
          <w:szCs w:val="20"/>
        </w:rPr>
        <w:t xml:space="preserve">The overall course design proposed by Prof. Huang Hui from Beijing </w:t>
      </w:r>
      <w:proofErr w:type="spellStart"/>
      <w:r w:rsidRPr="0076714D">
        <w:rPr>
          <w:sz w:val="20"/>
          <w:szCs w:val="20"/>
        </w:rPr>
        <w:t>Jiaotong</w:t>
      </w:r>
      <w:proofErr w:type="spellEnd"/>
      <w:r w:rsidRPr="0076714D">
        <w:rPr>
          <w:sz w:val="20"/>
          <w:szCs w:val="20"/>
        </w:rPr>
        <w:t xml:space="preserve"> University—the BOPPPS instructional model (see Figure 2) has deeply inspired </w:t>
      </w:r>
      <w:proofErr w:type="gramStart"/>
      <w:r w:rsidRPr="0076714D">
        <w:rPr>
          <w:sz w:val="20"/>
          <w:szCs w:val="20"/>
        </w:rPr>
        <w:t>me[</w:t>
      </w:r>
      <w:proofErr w:type="gramEnd"/>
      <w:r w:rsidRPr="0076714D">
        <w:rPr>
          <w:sz w:val="20"/>
          <w:szCs w:val="20"/>
        </w:rPr>
        <w:t>9]. By integrating BOPPPS with student-centered generative and interactive learning, students not only master core knowledge but also develop learning agility, critical thinking, innovation, communication skills, and teamwork. These higher-order competencies are precisely what future-ready talents require. This is not to undermine the importance of found</w:t>
      </w:r>
      <w:r w:rsidRPr="0076714D">
        <w:rPr>
          <w:rFonts w:hint="eastAsia"/>
          <w:sz w:val="20"/>
          <w:szCs w:val="20"/>
        </w:rPr>
        <w:t>ational knowledge</w:t>
      </w:r>
      <w:r w:rsidRPr="0076714D">
        <w:rPr>
          <w:rFonts w:hint="eastAsia"/>
          <w:sz w:val="20"/>
          <w:szCs w:val="20"/>
        </w:rPr>
        <w:t>—</w:t>
      </w:r>
      <w:r w:rsidRPr="0076714D">
        <w:rPr>
          <w:rFonts w:hint="eastAsia"/>
          <w:sz w:val="20"/>
          <w:szCs w:val="20"/>
        </w:rPr>
        <w:t>on the contrary, it is even more critical. For instance, China</w:t>
      </w:r>
      <w:r w:rsidRPr="0076714D">
        <w:rPr>
          <w:rFonts w:hint="eastAsia"/>
          <w:sz w:val="20"/>
          <w:szCs w:val="20"/>
        </w:rPr>
        <w:t>’</w:t>
      </w:r>
      <w:r w:rsidRPr="0076714D">
        <w:rPr>
          <w:rFonts w:hint="eastAsia"/>
          <w:sz w:val="20"/>
          <w:szCs w:val="20"/>
        </w:rPr>
        <w:t>s "Strengthening Basic Disciplines" initiative in top universities emphasizes mathematics, physics, chemistry, and biology, integrating them with engineering to cultivate</w:t>
      </w:r>
      <w:r w:rsidRPr="0076714D">
        <w:rPr>
          <w:sz w:val="20"/>
          <w:szCs w:val="20"/>
        </w:rPr>
        <w:t xml:space="preserve"> talent for national strategic needs in fundamental sciences. As a bioengineering discipline, we must further strengthen STEM foundations while advancing pedagogical innovation.</w:t>
      </w:r>
    </w:p>
    <w:p w14:paraId="6FC19446" w14:textId="433DE326" w:rsidR="00AC58BD" w:rsidRDefault="0076714D" w:rsidP="0076714D">
      <w:pPr>
        <w:pStyle w:val="Default"/>
        <w:ind w:firstLineChars="300" w:firstLine="600"/>
        <w:jc w:val="center"/>
        <w:rPr>
          <w:sz w:val="20"/>
          <w:szCs w:val="20"/>
          <w:lang w:eastAsia="zh-CN"/>
        </w:rPr>
      </w:pPr>
      <w:r>
        <w:rPr>
          <w:noProof/>
          <w:sz w:val="20"/>
          <w:szCs w:val="20"/>
        </w:rPr>
        <w:drawing>
          <wp:inline distT="0" distB="0" distL="0" distR="0" wp14:anchorId="34A05AB2" wp14:editId="3EFDBDAE">
            <wp:extent cx="4133994" cy="2320120"/>
            <wp:effectExtent l="0" t="0" r="0" b="0"/>
            <wp:docPr id="772156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1069" cy="2324091"/>
                    </a:xfrm>
                    <a:prstGeom prst="rect">
                      <a:avLst/>
                    </a:prstGeom>
                    <a:noFill/>
                  </pic:spPr>
                </pic:pic>
              </a:graphicData>
            </a:graphic>
          </wp:inline>
        </w:drawing>
      </w:r>
    </w:p>
    <w:p w14:paraId="7A79548B" w14:textId="645E83B3" w:rsidR="0076714D" w:rsidRDefault="0076714D" w:rsidP="0076714D">
      <w:pPr>
        <w:pStyle w:val="Default"/>
        <w:ind w:firstLineChars="300" w:firstLine="600"/>
        <w:jc w:val="center"/>
        <w:rPr>
          <w:sz w:val="20"/>
          <w:szCs w:val="20"/>
          <w:lang w:eastAsia="zh-CN"/>
        </w:rPr>
      </w:pPr>
      <w:r>
        <w:rPr>
          <w:rFonts w:hint="eastAsia"/>
          <w:sz w:val="20"/>
          <w:szCs w:val="20"/>
          <w:lang w:eastAsia="zh-CN"/>
        </w:rPr>
        <w:t xml:space="preserve">Figure </w:t>
      </w:r>
      <w:r w:rsidRPr="0076714D">
        <w:rPr>
          <w:rFonts w:hint="eastAsia"/>
          <w:sz w:val="20"/>
          <w:szCs w:val="20"/>
          <w:lang w:eastAsia="zh-CN"/>
        </w:rPr>
        <w:t>2</w:t>
      </w:r>
      <w:r>
        <w:rPr>
          <w:rFonts w:hint="eastAsia"/>
          <w:sz w:val="20"/>
          <w:szCs w:val="20"/>
          <w:lang w:eastAsia="zh-CN"/>
        </w:rPr>
        <w:t xml:space="preserve">.  </w:t>
      </w:r>
      <w:r w:rsidRPr="0076714D">
        <w:rPr>
          <w:rFonts w:hint="eastAsia"/>
          <w:sz w:val="20"/>
          <w:szCs w:val="20"/>
          <w:lang w:eastAsia="zh-CN"/>
        </w:rPr>
        <w:t>BOPPPS</w:t>
      </w:r>
    </w:p>
    <w:p w14:paraId="1D13AAE1" w14:textId="77777777" w:rsidR="003E59B0" w:rsidRDefault="003E59B0" w:rsidP="0076714D">
      <w:pPr>
        <w:pStyle w:val="Default"/>
        <w:ind w:firstLineChars="300" w:firstLine="600"/>
        <w:jc w:val="center"/>
        <w:rPr>
          <w:sz w:val="20"/>
          <w:szCs w:val="20"/>
          <w:lang w:eastAsia="zh-CN"/>
        </w:rPr>
      </w:pPr>
    </w:p>
    <w:p w14:paraId="5559BC1C" w14:textId="6E924EF1" w:rsidR="0076714D" w:rsidRDefault="0076714D" w:rsidP="0076714D">
      <w:pPr>
        <w:pStyle w:val="1"/>
        <w:ind w:left="360"/>
      </w:pPr>
      <w:r w:rsidRPr="0076714D">
        <w:t>Reflections on Curriculum Development (10 Bold)</w:t>
      </w:r>
    </w:p>
    <w:p w14:paraId="076D12C3" w14:textId="18E148BE" w:rsidR="0076714D" w:rsidRDefault="0076714D" w:rsidP="0076714D">
      <w:pPr>
        <w:spacing w:after="0" w:line="240" w:lineRule="auto"/>
        <w:ind w:firstLineChars="300" w:firstLine="600"/>
        <w:rPr>
          <w:color w:val="000000"/>
          <w:sz w:val="20"/>
          <w:szCs w:val="20"/>
          <w:lang w:val="en-US"/>
        </w:rPr>
      </w:pPr>
      <w:r w:rsidRPr="0076714D">
        <w:rPr>
          <w:color w:val="000000"/>
          <w:sz w:val="20"/>
          <w:szCs w:val="20"/>
          <w:lang w:val="en-US"/>
        </w:rPr>
        <w:t xml:space="preserve">Table 1 data shows that faculty guidance accounts for 11.7% of most beneficial aspects of university education, which I consider to represent remarkably high implementation efficiency. Because our generation in college, the real contact with professional </w:t>
      </w:r>
      <w:proofErr w:type="gramStart"/>
      <w:r w:rsidRPr="0076714D">
        <w:rPr>
          <w:color w:val="000000"/>
          <w:sz w:val="20"/>
          <w:szCs w:val="20"/>
          <w:lang w:val="en-US"/>
        </w:rPr>
        <w:t>teachers</w:t>
      </w:r>
      <w:proofErr w:type="gramEnd"/>
      <w:r w:rsidRPr="0076714D">
        <w:rPr>
          <w:color w:val="000000"/>
          <w:sz w:val="20"/>
          <w:szCs w:val="20"/>
          <w:lang w:val="en-US"/>
        </w:rPr>
        <w:t xml:space="preserve"> time is not very long. In recent years, through the tutorial system [10-11], college student innovation and entrepreneurship project [12], graduation project [13] and other teaching links, many students can have relatively long contact with professional teachers. Through careful observation, we can find that students who often have contact with teachers, including daily communication, experiments with teachers, etc., often have special ideas and good employment positions. Because you can learn a lot of knowledge by communicating with teachers. How can the aforementioned strong base education in colleges and universities be realized? Professor Li </w:t>
      </w:r>
      <w:proofErr w:type="spellStart"/>
      <w:r w:rsidRPr="0076714D">
        <w:rPr>
          <w:color w:val="000000"/>
          <w:sz w:val="20"/>
          <w:szCs w:val="20"/>
          <w:lang w:val="en-US"/>
        </w:rPr>
        <w:t>Junfeng</w:t>
      </w:r>
      <w:proofErr w:type="spellEnd"/>
      <w:r w:rsidRPr="0076714D">
        <w:rPr>
          <w:color w:val="000000"/>
          <w:sz w:val="20"/>
          <w:szCs w:val="20"/>
          <w:lang w:val="en-US"/>
        </w:rPr>
        <w:t xml:space="preserve"> proposed that basic courses should be taught and students should be given enough time for extracurricular study. In order to learn a course well, at least three times of extended study time is needed. On the other hand, we should increase contact and communication opportunities with teachers, and make use of all available opportunities to communicate and guide in time. All these show that the role of teachers' personal guidance is very important for personnel training [14-15].</w:t>
      </w:r>
    </w:p>
    <w:p w14:paraId="613528CE" w14:textId="77777777" w:rsidR="0076714D" w:rsidRDefault="0076714D" w:rsidP="0076714D">
      <w:pPr>
        <w:spacing w:after="0" w:line="240" w:lineRule="auto"/>
        <w:ind w:firstLineChars="300" w:firstLine="600"/>
        <w:rPr>
          <w:color w:val="000000"/>
          <w:sz w:val="20"/>
          <w:szCs w:val="20"/>
          <w:lang w:val="en-US" w:eastAsia="zh-CN"/>
        </w:rPr>
      </w:pPr>
    </w:p>
    <w:p w14:paraId="34004E8D" w14:textId="3C70FFF4" w:rsidR="0076714D" w:rsidRPr="003E59B0" w:rsidRDefault="0076714D" w:rsidP="0076714D">
      <w:pPr>
        <w:pStyle w:val="1"/>
        <w:ind w:left="360"/>
      </w:pPr>
      <w:r w:rsidRPr="0076714D">
        <w:rPr>
          <w:rFonts w:hint="eastAsia"/>
        </w:rPr>
        <w:t>Moral education</w:t>
      </w:r>
    </w:p>
    <w:p w14:paraId="4217DD80" w14:textId="725C3B90" w:rsidR="0076714D" w:rsidRPr="0076714D" w:rsidRDefault="0076714D" w:rsidP="005A4C65">
      <w:pPr>
        <w:spacing w:line="240" w:lineRule="auto"/>
        <w:ind w:firstLineChars="300" w:firstLine="600"/>
        <w:rPr>
          <w:color w:val="000000"/>
          <w:sz w:val="20"/>
          <w:szCs w:val="20"/>
          <w:lang w:val="en-US"/>
        </w:rPr>
      </w:pPr>
      <w:r w:rsidRPr="0076714D">
        <w:rPr>
          <w:color w:val="000000"/>
          <w:sz w:val="20"/>
          <w:szCs w:val="20"/>
          <w:lang w:val="en-US"/>
        </w:rPr>
        <w:t xml:space="preserve">The essence of education resides in cultivating character and nurturing talent, with moral integrity as the cardinal principle of human capital development. This concept requires education not only to impart knowledge, but also to cultivate students' core </w:t>
      </w:r>
      <w:r w:rsidRPr="0076714D">
        <w:rPr>
          <w:rFonts w:hint="eastAsia"/>
          <w:color w:val="000000"/>
          <w:sz w:val="20"/>
          <w:szCs w:val="20"/>
          <w:lang w:val="en-US"/>
        </w:rPr>
        <w:t xml:space="preserve">values, feelings of family and country, and social </w:t>
      </w:r>
      <w:proofErr w:type="spellStart"/>
      <w:r w:rsidRPr="0076714D">
        <w:rPr>
          <w:rFonts w:hint="eastAsia"/>
          <w:color w:val="000000"/>
          <w:sz w:val="20"/>
          <w:szCs w:val="20"/>
          <w:lang w:val="en-US"/>
        </w:rPr>
        <w:t>responsibility</w:t>
      </w:r>
      <w:r w:rsidRPr="0076714D">
        <w:rPr>
          <w:rFonts w:hint="eastAsia"/>
          <w:color w:val="000000"/>
          <w:sz w:val="20"/>
          <w:szCs w:val="20"/>
          <w:lang w:val="en-US"/>
        </w:rPr>
        <w:t>。</w:t>
      </w:r>
      <w:r w:rsidRPr="0076714D">
        <w:rPr>
          <w:rFonts w:hint="eastAsia"/>
          <w:color w:val="000000"/>
          <w:sz w:val="20"/>
          <w:szCs w:val="20"/>
          <w:lang w:val="en-US"/>
        </w:rPr>
        <w:t>In</w:t>
      </w:r>
      <w:proofErr w:type="spellEnd"/>
      <w:r w:rsidRPr="0076714D">
        <w:rPr>
          <w:rFonts w:hint="eastAsia"/>
          <w:color w:val="000000"/>
          <w:sz w:val="20"/>
          <w:szCs w:val="20"/>
          <w:lang w:val="en-US"/>
        </w:rPr>
        <w:t xml:space="preserve"> practice, moral education is integrated into curriculum teaching, campus culture and social practice. Teachers should set an example and become moral models for students. Schools need to </w:t>
      </w:r>
      <w:r w:rsidRPr="0076714D">
        <w:rPr>
          <w:color w:val="000000"/>
          <w:sz w:val="20"/>
          <w:szCs w:val="20"/>
          <w:lang w:val="en-US"/>
        </w:rPr>
        <w:t xml:space="preserve">improve the evaluation system of moral education and pay attention to students' moral development and behavior practice. At the same time, family </w:t>
      </w:r>
      <w:r w:rsidRPr="0076714D">
        <w:rPr>
          <w:color w:val="000000"/>
          <w:sz w:val="20"/>
          <w:szCs w:val="20"/>
          <w:lang w:val="en-US"/>
        </w:rPr>
        <w:lastRenderedPageBreak/>
        <w:t>education and social education work together to form a whole-person, whole-process, all-round education mechanism. Moral cultivation embodies the essential pursuit of education-cultivating new people with both virtue and ability to take on the great responsibility of national rejuvenation. Only by virtue casting soul, to culture people, can we truly realize the mission of educating people for the Party and educating talents for the country.</w:t>
      </w:r>
    </w:p>
    <w:p w14:paraId="74BC6CA7" w14:textId="58FBB778" w:rsidR="0076714D" w:rsidRDefault="0076714D" w:rsidP="0076714D">
      <w:pPr>
        <w:pStyle w:val="1"/>
        <w:ind w:left="360"/>
        <w:rPr>
          <w:color w:val="000000"/>
          <w:sz w:val="20"/>
          <w:szCs w:val="20"/>
          <w:lang w:eastAsia="zh-CN"/>
        </w:rPr>
      </w:pPr>
      <w:r w:rsidRPr="0076714D">
        <w:rPr>
          <w:color w:val="000000"/>
          <w:sz w:val="20"/>
          <w:szCs w:val="20"/>
          <w:lang w:eastAsia="zh-CN"/>
        </w:rPr>
        <w:t>Conclusion</w:t>
      </w:r>
    </w:p>
    <w:p w14:paraId="7E7FDBF5" w14:textId="62EF3EC0" w:rsidR="0076714D" w:rsidRPr="0076714D" w:rsidRDefault="0076714D" w:rsidP="0076714D">
      <w:pPr>
        <w:spacing w:after="0" w:line="240" w:lineRule="auto"/>
        <w:ind w:firstLineChars="300" w:firstLine="600"/>
        <w:rPr>
          <w:color w:val="000000"/>
          <w:sz w:val="20"/>
          <w:szCs w:val="20"/>
          <w:lang w:val="en-US" w:eastAsia="zh-CN"/>
        </w:rPr>
      </w:pPr>
      <w:r w:rsidRPr="0076714D">
        <w:rPr>
          <w:color w:val="000000"/>
          <w:sz w:val="20"/>
          <w:szCs w:val="20"/>
          <w:lang w:val="en-US" w:eastAsia="zh-CN"/>
        </w:rPr>
        <w:t xml:space="preserve">There is no small thing in teaching, and there are too many problems to think about in </w:t>
      </w:r>
      <w:proofErr w:type="spellStart"/>
      <w:r w:rsidRPr="0076714D">
        <w:rPr>
          <w:color w:val="000000"/>
          <w:sz w:val="20"/>
          <w:szCs w:val="20"/>
          <w:lang w:val="en-US" w:eastAsia="zh-CN"/>
        </w:rPr>
        <w:t>teaching.</w:t>
      </w:r>
      <w:r w:rsidRPr="0076714D">
        <w:rPr>
          <w:rFonts w:hint="eastAsia"/>
          <w:color w:val="000000"/>
          <w:sz w:val="20"/>
          <w:szCs w:val="20"/>
          <w:lang w:val="en-US" w:eastAsia="zh-CN"/>
        </w:rPr>
        <w:t>Here</w:t>
      </w:r>
      <w:proofErr w:type="spellEnd"/>
      <w:r w:rsidRPr="0076714D">
        <w:rPr>
          <w:rFonts w:hint="eastAsia"/>
          <w:color w:val="000000"/>
          <w:sz w:val="20"/>
          <w:szCs w:val="20"/>
          <w:lang w:val="en-US" w:eastAsia="zh-CN"/>
        </w:rPr>
        <w:t xml:space="preserve"> I would like to introduce a sentence from Professor Wu </w:t>
      </w:r>
      <w:proofErr w:type="spellStart"/>
      <w:r w:rsidRPr="0076714D">
        <w:rPr>
          <w:rFonts w:hint="eastAsia"/>
          <w:color w:val="000000"/>
          <w:sz w:val="20"/>
          <w:szCs w:val="20"/>
          <w:lang w:val="en-US" w:eastAsia="zh-CN"/>
        </w:rPr>
        <w:t>Nengbiao</w:t>
      </w:r>
      <w:proofErr w:type="spellEnd"/>
      <w:r w:rsidRPr="0076714D">
        <w:rPr>
          <w:rFonts w:hint="eastAsia"/>
          <w:color w:val="000000"/>
          <w:sz w:val="20"/>
          <w:szCs w:val="20"/>
          <w:lang w:val="en-US" w:eastAsia="zh-CN"/>
        </w:rPr>
        <w:t>, Dean of Academic Affairs of Southwest University [16]</w:t>
      </w:r>
      <w:r w:rsidRPr="0076714D">
        <w:rPr>
          <w:rFonts w:hint="eastAsia"/>
          <w:color w:val="000000"/>
          <w:sz w:val="20"/>
          <w:szCs w:val="20"/>
          <w:lang w:val="en-US" w:eastAsia="zh-CN"/>
        </w:rPr>
        <w:t>：</w:t>
      </w:r>
    </w:p>
    <w:p w14:paraId="0A264802" w14:textId="77777777" w:rsidR="0076714D" w:rsidRPr="00200550" w:rsidRDefault="0076714D" w:rsidP="005A4C65">
      <w:pPr>
        <w:spacing w:after="0" w:line="240" w:lineRule="auto"/>
        <w:ind w:firstLineChars="300" w:firstLine="600"/>
        <w:jc w:val="center"/>
        <w:rPr>
          <w:i/>
          <w:iCs/>
          <w:color w:val="000000"/>
          <w:sz w:val="20"/>
          <w:szCs w:val="20"/>
          <w:lang w:val="en-US" w:eastAsia="zh-CN"/>
        </w:rPr>
      </w:pPr>
      <w:r w:rsidRPr="00200550">
        <w:rPr>
          <w:i/>
          <w:iCs/>
          <w:color w:val="000000"/>
          <w:sz w:val="20"/>
          <w:szCs w:val="20"/>
          <w:lang w:val="en-US" w:eastAsia="zh-CN"/>
        </w:rPr>
        <w:t>Education is not only a conscience, but also a duty.</w:t>
      </w:r>
    </w:p>
    <w:p w14:paraId="79A52DE5" w14:textId="53AB3099" w:rsidR="0076714D" w:rsidRDefault="0076714D" w:rsidP="0076714D">
      <w:pPr>
        <w:spacing w:after="0" w:line="240" w:lineRule="auto"/>
        <w:ind w:firstLineChars="300" w:firstLine="600"/>
        <w:rPr>
          <w:color w:val="000000"/>
          <w:sz w:val="20"/>
          <w:szCs w:val="20"/>
          <w:lang w:val="en-US" w:eastAsia="zh-CN"/>
        </w:rPr>
      </w:pPr>
      <w:r w:rsidRPr="0076714D">
        <w:rPr>
          <w:rFonts w:hint="eastAsia"/>
          <w:color w:val="000000"/>
          <w:sz w:val="20"/>
          <w:szCs w:val="20"/>
          <w:lang w:val="en-US" w:eastAsia="zh-CN"/>
        </w:rPr>
        <w:t>For "education", it is not enough to live up to one's conscience, there are students, parents, and social responsibilities</w:t>
      </w:r>
      <w:r w:rsidRPr="0076714D">
        <w:rPr>
          <w:rFonts w:hint="eastAsia"/>
          <w:color w:val="000000"/>
          <w:sz w:val="20"/>
          <w:szCs w:val="20"/>
          <w:lang w:val="en-US" w:eastAsia="zh-CN"/>
        </w:rPr>
        <w:t>，</w:t>
      </w:r>
      <w:r w:rsidRPr="0076714D">
        <w:rPr>
          <w:rFonts w:hint="eastAsia"/>
          <w:color w:val="000000"/>
          <w:sz w:val="20"/>
          <w:szCs w:val="20"/>
          <w:lang w:val="en-US" w:eastAsia="zh-CN"/>
        </w:rPr>
        <w:t>So we as teachers can focus on those two things, Teaching can certainly improve a lot</w:t>
      </w:r>
      <w:r w:rsidRPr="0076714D">
        <w:rPr>
          <w:rFonts w:hint="eastAsia"/>
          <w:color w:val="000000"/>
          <w:sz w:val="20"/>
          <w:szCs w:val="20"/>
          <w:lang w:val="en-US" w:eastAsia="zh-CN"/>
        </w:rPr>
        <w:t>，</w:t>
      </w:r>
      <w:r w:rsidRPr="0076714D">
        <w:rPr>
          <w:rFonts w:hint="eastAsia"/>
          <w:color w:val="000000"/>
          <w:sz w:val="20"/>
          <w:szCs w:val="20"/>
          <w:lang w:val="en-US" w:eastAsia="zh-CN"/>
        </w:rPr>
        <w:t>Because teaching is a big responsibility</w:t>
      </w:r>
      <w:r w:rsidR="00892905">
        <w:rPr>
          <w:rFonts w:hint="eastAsia"/>
          <w:color w:val="000000"/>
          <w:sz w:val="20"/>
          <w:szCs w:val="20"/>
          <w:lang w:val="en-US" w:eastAsia="zh-CN"/>
        </w:rPr>
        <w:t xml:space="preserve">. </w:t>
      </w:r>
      <w:r w:rsidRPr="0076714D">
        <w:rPr>
          <w:rFonts w:hint="eastAsia"/>
          <w:color w:val="000000"/>
          <w:sz w:val="20"/>
          <w:szCs w:val="20"/>
          <w:lang w:val="en-US" w:eastAsia="zh-CN"/>
        </w:rPr>
        <w:t xml:space="preserve">Finally, I quote again a sentence from Professor Li </w:t>
      </w:r>
      <w:proofErr w:type="spellStart"/>
      <w:r w:rsidRPr="0076714D">
        <w:rPr>
          <w:rFonts w:hint="eastAsia"/>
          <w:color w:val="000000"/>
          <w:sz w:val="20"/>
          <w:szCs w:val="20"/>
          <w:lang w:val="en-US" w:eastAsia="zh-CN"/>
        </w:rPr>
        <w:t>Junfeng</w:t>
      </w:r>
      <w:proofErr w:type="spellEnd"/>
      <w:r w:rsidRPr="0076714D">
        <w:rPr>
          <w:rFonts w:hint="eastAsia"/>
          <w:color w:val="000000"/>
          <w:sz w:val="20"/>
          <w:szCs w:val="20"/>
          <w:lang w:val="en-US" w:eastAsia="zh-CN"/>
        </w:rPr>
        <w:t>, dean of Xingjian College of Tsinghua University</w:t>
      </w:r>
      <w:r w:rsidRPr="0076714D">
        <w:rPr>
          <w:rFonts w:hint="eastAsia"/>
          <w:color w:val="000000"/>
          <w:sz w:val="20"/>
          <w:szCs w:val="20"/>
          <w:lang w:val="en-US" w:eastAsia="zh-CN"/>
        </w:rPr>
        <w:t>：</w:t>
      </w:r>
    </w:p>
    <w:p w14:paraId="690B9314" w14:textId="77777777" w:rsidR="003E59B0" w:rsidRPr="0076714D" w:rsidRDefault="003E59B0" w:rsidP="0076714D">
      <w:pPr>
        <w:spacing w:after="0" w:line="240" w:lineRule="auto"/>
        <w:ind w:firstLineChars="300" w:firstLine="600"/>
        <w:rPr>
          <w:color w:val="000000"/>
          <w:sz w:val="20"/>
          <w:szCs w:val="20"/>
          <w:lang w:val="en-US" w:eastAsia="zh-CN"/>
        </w:rPr>
      </w:pPr>
    </w:p>
    <w:p w14:paraId="50DE9ABC" w14:textId="77777777" w:rsidR="0076714D" w:rsidRPr="00200550" w:rsidRDefault="0076714D" w:rsidP="0076714D">
      <w:pPr>
        <w:spacing w:after="0" w:line="240" w:lineRule="auto"/>
        <w:ind w:firstLineChars="300" w:firstLine="600"/>
        <w:rPr>
          <w:i/>
          <w:iCs/>
          <w:color w:val="000000"/>
          <w:sz w:val="20"/>
          <w:szCs w:val="20"/>
          <w:lang w:val="en-US" w:eastAsia="zh-CN"/>
        </w:rPr>
      </w:pPr>
      <w:r w:rsidRPr="00200550">
        <w:rPr>
          <w:rFonts w:hint="eastAsia"/>
          <w:i/>
          <w:iCs/>
          <w:color w:val="000000"/>
          <w:sz w:val="20"/>
          <w:szCs w:val="20"/>
          <w:lang w:val="en-US" w:eastAsia="zh-CN"/>
        </w:rPr>
        <w:t>The creativity of teaching work needs institutional and cultural recognition</w:t>
      </w:r>
      <w:r w:rsidRPr="00200550">
        <w:rPr>
          <w:rFonts w:hint="eastAsia"/>
          <w:i/>
          <w:iCs/>
          <w:color w:val="000000"/>
          <w:sz w:val="20"/>
          <w:szCs w:val="20"/>
          <w:lang w:val="en-US" w:eastAsia="zh-CN"/>
        </w:rPr>
        <w:t>！</w:t>
      </w:r>
    </w:p>
    <w:p w14:paraId="06E2F18C" w14:textId="77777777" w:rsidR="0076714D" w:rsidRPr="00200550" w:rsidRDefault="0076714D" w:rsidP="0076714D">
      <w:pPr>
        <w:spacing w:after="0" w:line="240" w:lineRule="auto"/>
        <w:ind w:firstLineChars="300" w:firstLine="600"/>
        <w:rPr>
          <w:i/>
          <w:iCs/>
          <w:color w:val="000000"/>
          <w:sz w:val="20"/>
          <w:szCs w:val="20"/>
          <w:lang w:val="en-US" w:eastAsia="zh-CN"/>
        </w:rPr>
      </w:pPr>
      <w:r w:rsidRPr="00200550">
        <w:rPr>
          <w:rFonts w:hint="eastAsia"/>
          <w:i/>
          <w:iCs/>
          <w:color w:val="000000"/>
          <w:sz w:val="20"/>
          <w:szCs w:val="20"/>
          <w:lang w:val="en-US" w:eastAsia="zh-CN"/>
        </w:rPr>
        <w:t>Avoid excessive material incentives while ensuring the dedicated receive due recognition.</w:t>
      </w:r>
      <w:r w:rsidRPr="00200550">
        <w:rPr>
          <w:rFonts w:hint="eastAsia"/>
          <w:i/>
          <w:iCs/>
          <w:color w:val="000000"/>
          <w:sz w:val="20"/>
          <w:szCs w:val="20"/>
          <w:lang w:val="en-US" w:eastAsia="zh-CN"/>
        </w:rPr>
        <w:t>！</w:t>
      </w:r>
    </w:p>
    <w:p w14:paraId="72AD6628" w14:textId="77777777" w:rsidR="003E59B0" w:rsidRPr="005A4C65" w:rsidRDefault="003E59B0" w:rsidP="0076714D">
      <w:pPr>
        <w:spacing w:after="0" w:line="240" w:lineRule="auto"/>
        <w:ind w:firstLineChars="300" w:firstLine="602"/>
        <w:rPr>
          <w:b/>
          <w:bCs/>
          <w:i/>
          <w:iCs/>
          <w:color w:val="000000"/>
          <w:sz w:val="20"/>
          <w:szCs w:val="20"/>
          <w:lang w:val="en-US" w:eastAsia="zh-CN"/>
        </w:rPr>
      </w:pPr>
    </w:p>
    <w:p w14:paraId="34653AA2" w14:textId="77777777" w:rsidR="00E1358C" w:rsidRDefault="0076714D" w:rsidP="0076714D">
      <w:pPr>
        <w:spacing w:after="0" w:line="240" w:lineRule="auto"/>
        <w:ind w:firstLineChars="300" w:firstLine="600"/>
        <w:rPr>
          <w:color w:val="000000"/>
          <w:sz w:val="20"/>
          <w:szCs w:val="20"/>
          <w:lang w:val="en-US" w:eastAsia="zh-CN"/>
        </w:rPr>
      </w:pPr>
      <w:r w:rsidRPr="0076714D">
        <w:rPr>
          <w:color w:val="000000"/>
          <w:sz w:val="20"/>
          <w:szCs w:val="20"/>
          <w:lang w:val="en-US" w:eastAsia="zh-CN"/>
        </w:rPr>
        <w:t>It is hoped that all teachers, from individual teachers to professional, college and school levels, will strive to achieve normal management of teaching, improve teaching objectives, and achieve the goal of talent training.</w:t>
      </w:r>
    </w:p>
    <w:p w14:paraId="4B5933C4" w14:textId="6F6297C4" w:rsidR="0076714D" w:rsidRPr="0076714D" w:rsidRDefault="0076714D" w:rsidP="00E1358C">
      <w:pPr>
        <w:pStyle w:val="1"/>
        <w:ind w:left="360"/>
        <w:rPr>
          <w:color w:val="000000"/>
          <w:sz w:val="20"/>
          <w:szCs w:val="20"/>
          <w:lang w:eastAsia="zh-CN"/>
        </w:rPr>
      </w:pPr>
      <w:r w:rsidRPr="0076714D">
        <w:rPr>
          <w:color w:val="000000"/>
          <w:sz w:val="20"/>
          <w:szCs w:val="20"/>
          <w:lang w:eastAsia="zh-CN"/>
        </w:rPr>
        <w:t xml:space="preserve">Acknowledgements </w:t>
      </w:r>
    </w:p>
    <w:p w14:paraId="74EB329E" w14:textId="08536A2F" w:rsidR="0076714D" w:rsidRDefault="0076714D" w:rsidP="0076714D">
      <w:pPr>
        <w:spacing w:after="0" w:line="240" w:lineRule="auto"/>
        <w:ind w:firstLineChars="300" w:firstLine="600"/>
        <w:rPr>
          <w:color w:val="000000"/>
          <w:sz w:val="20"/>
          <w:szCs w:val="20"/>
          <w:lang w:val="en-US" w:eastAsia="zh-CN"/>
        </w:rPr>
      </w:pPr>
      <w:r w:rsidRPr="0076714D">
        <w:rPr>
          <w:color w:val="000000"/>
          <w:sz w:val="20"/>
          <w:szCs w:val="20"/>
          <w:lang w:val="en-US" w:eastAsia="zh-CN"/>
        </w:rPr>
        <w:t xml:space="preserve">This work was financially supported by the subject </w:t>
      </w:r>
      <w:r w:rsidR="00663152">
        <w:rPr>
          <w:rFonts w:hint="eastAsia"/>
          <w:color w:val="000000"/>
          <w:sz w:val="20"/>
          <w:szCs w:val="20"/>
          <w:lang w:val="en-US" w:eastAsia="zh-CN"/>
        </w:rPr>
        <w:t>of</w:t>
      </w:r>
      <w:r w:rsidR="003E59B0">
        <w:rPr>
          <w:rFonts w:hint="eastAsia"/>
          <w:color w:val="000000"/>
          <w:sz w:val="20"/>
          <w:szCs w:val="20"/>
          <w:lang w:val="en-US" w:eastAsia="zh-CN"/>
        </w:rPr>
        <w:t xml:space="preserve"> </w:t>
      </w:r>
      <w:r w:rsidRPr="0076714D">
        <w:rPr>
          <w:color w:val="000000"/>
          <w:sz w:val="20"/>
          <w:szCs w:val="20"/>
          <w:lang w:val="en-US" w:eastAsia="zh-CN"/>
        </w:rPr>
        <w:t>Dalian university curriculum ideological and political reform course project</w:t>
      </w:r>
      <w:r w:rsidR="003E59B0" w:rsidRPr="0076714D">
        <w:rPr>
          <w:color w:val="000000"/>
          <w:sz w:val="20"/>
          <w:szCs w:val="20"/>
          <w:lang w:val="en-US" w:eastAsia="zh-CN"/>
        </w:rPr>
        <w:t xml:space="preserve"> </w:t>
      </w:r>
      <w:r w:rsidR="003E59B0">
        <w:rPr>
          <w:rFonts w:hint="eastAsia"/>
          <w:color w:val="000000"/>
          <w:sz w:val="20"/>
          <w:szCs w:val="20"/>
          <w:lang w:val="en-US" w:eastAsia="zh-CN"/>
        </w:rPr>
        <w:t xml:space="preserve">in </w:t>
      </w:r>
      <w:r w:rsidR="003E59B0" w:rsidRPr="0076714D">
        <w:rPr>
          <w:color w:val="000000"/>
          <w:sz w:val="20"/>
          <w:szCs w:val="20"/>
          <w:lang w:val="en-US" w:eastAsia="zh-CN"/>
        </w:rPr>
        <w:t xml:space="preserve">2023 </w:t>
      </w:r>
      <w:r w:rsidR="00663152">
        <w:rPr>
          <w:rFonts w:hint="eastAsia"/>
          <w:color w:val="000000"/>
          <w:sz w:val="20"/>
          <w:szCs w:val="20"/>
          <w:lang w:val="en-US" w:eastAsia="zh-CN"/>
        </w:rPr>
        <w:t>-</w:t>
      </w:r>
      <w:r w:rsidR="00663152" w:rsidRPr="00663152">
        <w:t xml:space="preserve"> </w:t>
      </w:r>
      <w:r w:rsidR="00663152" w:rsidRPr="00663152">
        <w:rPr>
          <w:color w:val="000000"/>
          <w:sz w:val="20"/>
          <w:szCs w:val="20"/>
          <w:lang w:val="en-US" w:eastAsia="zh-CN"/>
        </w:rPr>
        <w:t xml:space="preserve">An exploration of the "3+2+1" six-in-one "all-round </w:t>
      </w:r>
      <w:r w:rsidR="00663152">
        <w:rPr>
          <w:rFonts w:hint="eastAsia"/>
          <w:color w:val="000000"/>
          <w:sz w:val="20"/>
          <w:szCs w:val="20"/>
          <w:lang w:val="en-US" w:eastAsia="zh-CN"/>
        </w:rPr>
        <w:t>e</w:t>
      </w:r>
      <w:r w:rsidR="00663152" w:rsidRPr="00663152">
        <w:rPr>
          <w:color w:val="000000"/>
          <w:sz w:val="20"/>
          <w:szCs w:val="20"/>
          <w:lang w:val="en-US" w:eastAsia="zh-CN"/>
        </w:rPr>
        <w:t xml:space="preserve">ducation" ideological and political </w:t>
      </w:r>
      <w:r w:rsidR="00663152">
        <w:rPr>
          <w:rFonts w:hint="eastAsia"/>
          <w:color w:val="000000"/>
          <w:sz w:val="20"/>
          <w:szCs w:val="20"/>
          <w:lang w:val="en-US" w:eastAsia="zh-CN"/>
        </w:rPr>
        <w:t>r</w:t>
      </w:r>
      <w:r w:rsidR="00663152" w:rsidRPr="00663152">
        <w:rPr>
          <w:color w:val="000000"/>
          <w:sz w:val="20"/>
          <w:szCs w:val="20"/>
          <w:lang w:val="en-US" w:eastAsia="zh-CN"/>
        </w:rPr>
        <w:t xml:space="preserve">eform </w:t>
      </w:r>
      <w:r w:rsidR="00663152">
        <w:rPr>
          <w:rFonts w:hint="eastAsia"/>
          <w:color w:val="000000"/>
          <w:sz w:val="20"/>
          <w:szCs w:val="20"/>
          <w:lang w:val="en-US" w:eastAsia="zh-CN"/>
        </w:rPr>
        <w:t>b</w:t>
      </w:r>
      <w:r w:rsidR="00663152" w:rsidRPr="00663152">
        <w:rPr>
          <w:color w:val="000000"/>
          <w:sz w:val="20"/>
          <w:szCs w:val="20"/>
          <w:lang w:val="en-US" w:eastAsia="zh-CN"/>
        </w:rPr>
        <w:t>ased on "</w:t>
      </w:r>
      <w:r w:rsidR="00663152">
        <w:rPr>
          <w:rFonts w:hint="eastAsia"/>
          <w:color w:val="000000"/>
          <w:sz w:val="20"/>
          <w:szCs w:val="20"/>
          <w:lang w:val="en-US" w:eastAsia="zh-CN"/>
        </w:rPr>
        <w:t>e</w:t>
      </w:r>
      <w:r w:rsidR="00663152" w:rsidRPr="00663152">
        <w:rPr>
          <w:color w:val="000000"/>
          <w:sz w:val="20"/>
          <w:szCs w:val="20"/>
          <w:lang w:val="en-US" w:eastAsia="zh-CN"/>
        </w:rPr>
        <w:t xml:space="preserve">nzyme </w:t>
      </w:r>
      <w:r w:rsidR="00663152">
        <w:rPr>
          <w:rFonts w:hint="eastAsia"/>
          <w:color w:val="000000"/>
          <w:sz w:val="20"/>
          <w:szCs w:val="20"/>
          <w:lang w:val="en-US" w:eastAsia="zh-CN"/>
        </w:rPr>
        <w:t>e</w:t>
      </w:r>
      <w:r w:rsidR="00663152" w:rsidRPr="00663152">
        <w:rPr>
          <w:color w:val="000000"/>
          <w:sz w:val="20"/>
          <w:szCs w:val="20"/>
          <w:lang w:val="en-US" w:eastAsia="zh-CN"/>
        </w:rPr>
        <w:t>ngineering"</w:t>
      </w:r>
      <w:r w:rsidRPr="0076714D">
        <w:rPr>
          <w:color w:val="000000"/>
          <w:sz w:val="20"/>
          <w:szCs w:val="20"/>
          <w:lang w:val="en-US" w:eastAsia="zh-CN"/>
        </w:rPr>
        <w:t>.</w:t>
      </w:r>
    </w:p>
    <w:p w14:paraId="26321248" w14:textId="77777777" w:rsidR="0076714D" w:rsidRPr="0076714D" w:rsidRDefault="0076714D" w:rsidP="00E1358C">
      <w:pPr>
        <w:pStyle w:val="1"/>
        <w:numPr>
          <w:ilvl w:val="0"/>
          <w:numId w:val="0"/>
        </w:numPr>
        <w:ind w:left="360"/>
        <w:jc w:val="both"/>
        <w:rPr>
          <w:color w:val="000000"/>
          <w:sz w:val="20"/>
          <w:szCs w:val="20"/>
          <w:lang w:eastAsia="zh-CN"/>
        </w:rPr>
      </w:pPr>
    </w:p>
    <w:p w14:paraId="70623245" w14:textId="77777777" w:rsidR="00CA3E48" w:rsidRPr="00663152" w:rsidRDefault="00CA3E48" w:rsidP="00A730AA">
      <w:pPr>
        <w:pStyle w:val="Default"/>
        <w:jc w:val="both"/>
        <w:rPr>
          <w:b/>
          <w:bCs/>
          <w:sz w:val="20"/>
          <w:szCs w:val="20"/>
          <w:lang w:eastAsia="zh-CN"/>
        </w:rPr>
      </w:pPr>
    </w:p>
    <w:p w14:paraId="022F7030" w14:textId="7967CB10" w:rsidR="00886844" w:rsidRPr="00E1358C" w:rsidRDefault="00CA3E48" w:rsidP="0076714D">
      <w:pPr>
        <w:pStyle w:val="1"/>
        <w:ind w:left="360"/>
        <w:rPr>
          <w:color w:val="000000"/>
          <w:sz w:val="20"/>
          <w:szCs w:val="20"/>
          <w:lang w:eastAsia="zh-CN"/>
        </w:rPr>
      </w:pPr>
      <w:r w:rsidRPr="00E1358C">
        <w:rPr>
          <w:color w:val="000000"/>
          <w:sz w:val="20"/>
          <w:szCs w:val="20"/>
          <w:lang w:eastAsia="zh-CN"/>
        </w:rPr>
        <w:t>REFERENCES</w:t>
      </w:r>
    </w:p>
    <w:bookmarkEnd w:id="1"/>
    <w:bookmarkEnd w:id="2"/>
    <w:bookmarkEnd w:id="3"/>
    <w:p w14:paraId="265FDF08" w14:textId="443D2957"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hint="eastAsia"/>
          <w:bCs/>
          <w:color w:val="000000" w:themeColor="text1"/>
          <w:sz w:val="16"/>
          <w:szCs w:val="20"/>
        </w:rPr>
        <w:t>Li, W., Zhang, H.,</w:t>
      </w:r>
      <w:r>
        <w:rPr>
          <w:rFonts w:ascii="Times New Roman" w:hAnsi="Times New Roman" w:cs="Times New Roman" w:hint="eastAsia"/>
          <w:bCs/>
          <w:color w:val="000000" w:themeColor="text1"/>
          <w:sz w:val="16"/>
          <w:szCs w:val="20"/>
          <w:lang w:eastAsia="zh-CN"/>
        </w:rPr>
        <w:t xml:space="preserve"> </w:t>
      </w:r>
      <w:r w:rsidRPr="00E1358C">
        <w:rPr>
          <w:rFonts w:ascii="Times New Roman" w:hAnsi="Times New Roman" w:cs="Times New Roman" w:hint="eastAsia"/>
          <w:bCs/>
          <w:color w:val="000000" w:themeColor="text1"/>
          <w:sz w:val="16"/>
          <w:szCs w:val="20"/>
        </w:rPr>
        <w:t xml:space="preserve">(2021). </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hint="eastAsia"/>
          <w:bCs/>
          <w:color w:val="000000" w:themeColor="text1"/>
          <w:sz w:val="16"/>
          <w:szCs w:val="20"/>
        </w:rPr>
        <w:t>Exploration of Practical Teaching Reform in Bioengineering Based on the OBE Concept</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hint="eastAsia"/>
          <w:bCs/>
          <w:color w:val="000000" w:themeColor="text1"/>
          <w:sz w:val="16"/>
          <w:szCs w:val="20"/>
        </w:rPr>
        <w:t>，</w:t>
      </w:r>
      <w:r w:rsidRPr="00E1358C">
        <w:rPr>
          <w:rFonts w:ascii="Times New Roman" w:hAnsi="Times New Roman" w:cs="Times New Roman" w:hint="eastAsia"/>
          <w:bCs/>
          <w:color w:val="000000" w:themeColor="text1"/>
          <w:sz w:val="16"/>
          <w:szCs w:val="20"/>
        </w:rPr>
        <w:t xml:space="preserve"> Journal of Higher Engineering Education Research, (4): 45-50.</w:t>
      </w:r>
    </w:p>
    <w:p w14:paraId="46FBEEB4" w14:textId="5065EE78"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bCs/>
          <w:color w:val="000000" w:themeColor="text1"/>
          <w:sz w:val="16"/>
          <w:szCs w:val="20"/>
        </w:rPr>
        <w:t>Wang, L.,</w:t>
      </w:r>
      <w:r>
        <w:rPr>
          <w:rFonts w:ascii="Times New Roman" w:hAnsi="Times New Roman" w:cs="Times New Roman" w:hint="eastAsia"/>
          <w:bCs/>
          <w:color w:val="000000" w:themeColor="text1"/>
          <w:sz w:val="16"/>
          <w:szCs w:val="20"/>
          <w:lang w:eastAsia="zh-CN"/>
        </w:rPr>
        <w:t xml:space="preserve"> </w:t>
      </w:r>
      <w:r w:rsidRPr="00E1358C">
        <w:rPr>
          <w:rFonts w:ascii="Times New Roman" w:hAnsi="Times New Roman" w:cs="Times New Roman"/>
          <w:bCs/>
          <w:color w:val="000000" w:themeColor="text1"/>
          <w:sz w:val="16"/>
          <w:szCs w:val="20"/>
        </w:rPr>
        <w:t xml:space="preserve">(2023). </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bCs/>
          <w:color w:val="000000" w:themeColor="text1"/>
          <w:sz w:val="16"/>
          <w:szCs w:val="20"/>
        </w:rPr>
        <w:t>Research on the Application of Outcome-Based Education in Engineering Talent Cultivation</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bCs/>
          <w:color w:val="000000" w:themeColor="text1"/>
          <w:sz w:val="16"/>
          <w:szCs w:val="20"/>
        </w:rPr>
        <w:t>, Journal of Higher Education in China, (12): 78-82.</w:t>
      </w:r>
    </w:p>
    <w:p w14:paraId="4A013D17" w14:textId="704C9E5B"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bCs/>
          <w:color w:val="000000" w:themeColor="text1"/>
          <w:sz w:val="16"/>
          <w:szCs w:val="20"/>
        </w:rPr>
        <w:t>MAZUR, E.,</w:t>
      </w:r>
      <w:r>
        <w:rPr>
          <w:rFonts w:ascii="Times New Roman" w:hAnsi="Times New Roman" w:cs="Times New Roman" w:hint="eastAsia"/>
          <w:bCs/>
          <w:color w:val="000000" w:themeColor="text1"/>
          <w:sz w:val="16"/>
          <w:szCs w:val="20"/>
          <w:lang w:eastAsia="zh-CN"/>
        </w:rPr>
        <w:t xml:space="preserve"> </w:t>
      </w:r>
      <w:r w:rsidRPr="00E1358C">
        <w:rPr>
          <w:rFonts w:ascii="Times New Roman" w:hAnsi="Times New Roman" w:cs="Times New Roman"/>
          <w:bCs/>
          <w:color w:val="000000" w:themeColor="text1"/>
          <w:sz w:val="16"/>
          <w:szCs w:val="20"/>
        </w:rPr>
        <w:t xml:space="preserve">(2014). </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bCs/>
          <w:color w:val="000000" w:themeColor="text1"/>
          <w:sz w:val="16"/>
          <w:szCs w:val="20"/>
        </w:rPr>
        <w:t>Assessment: The silent killer of learning</w:t>
      </w:r>
      <w:r w:rsidR="00200550">
        <w:rPr>
          <w:rFonts w:ascii="Times New Roman" w:hAnsi="Times New Roman" w:cs="Times New Roman" w:hint="eastAsia"/>
          <w:bCs/>
          <w:color w:val="000000" w:themeColor="text1"/>
          <w:sz w:val="16"/>
          <w:szCs w:val="20"/>
          <w:lang w:eastAsia="zh-CN"/>
        </w:rPr>
        <w:t xml:space="preserve"> </w:t>
      </w:r>
      <w:r w:rsidRPr="00E1358C">
        <w:rPr>
          <w:rFonts w:ascii="Times New Roman" w:hAnsi="Times New Roman" w:cs="Times New Roman"/>
          <w:bCs/>
          <w:color w:val="000000" w:themeColor="text1"/>
          <w:sz w:val="16"/>
          <w:szCs w:val="20"/>
        </w:rPr>
        <w:t>[EB/OL]</w:t>
      </w:r>
      <w:r w:rsidR="00663152" w:rsidRPr="00663152">
        <w:rPr>
          <w:rFonts w:ascii="Times New Roman" w:hAnsi="Times New Roman" w:cs="Times New Roman"/>
          <w:bCs/>
          <w:color w:val="000000" w:themeColor="text1"/>
          <w:sz w:val="16"/>
          <w:szCs w:val="20"/>
        </w:rPr>
        <w:t xml:space="preserve"> </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bCs/>
          <w:color w:val="000000" w:themeColor="text1"/>
          <w:sz w:val="16"/>
          <w:szCs w:val="20"/>
        </w:rPr>
        <w:t>, https://www.ted.com/talks/eric_mazur_assessment_the_silent_killer_of_learning.</w:t>
      </w:r>
    </w:p>
    <w:p w14:paraId="2C91830F" w14:textId="2BC263A9"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bCs/>
          <w:color w:val="000000" w:themeColor="text1"/>
          <w:sz w:val="16"/>
          <w:szCs w:val="20"/>
        </w:rPr>
        <w:t xml:space="preserve">MAZUR, E., (1997). </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bCs/>
          <w:color w:val="000000" w:themeColor="text1"/>
          <w:sz w:val="16"/>
          <w:szCs w:val="20"/>
        </w:rPr>
        <w:t>Peer instruction: A user’s manual</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bCs/>
          <w:color w:val="000000" w:themeColor="text1"/>
          <w:sz w:val="16"/>
          <w:szCs w:val="20"/>
        </w:rPr>
        <w:t xml:space="preserve">, Upper Saddle River: Prentice Hall. </w:t>
      </w:r>
    </w:p>
    <w:p w14:paraId="655D98E9" w14:textId="55D24385"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bCs/>
          <w:color w:val="000000" w:themeColor="text1"/>
          <w:sz w:val="16"/>
          <w:szCs w:val="20"/>
        </w:rPr>
        <w:t xml:space="preserve"> Yan, G.C.,</w:t>
      </w:r>
      <w:r>
        <w:rPr>
          <w:rFonts w:ascii="Times New Roman" w:hAnsi="Times New Roman" w:cs="Times New Roman" w:hint="eastAsia"/>
          <w:bCs/>
          <w:color w:val="000000" w:themeColor="text1"/>
          <w:sz w:val="16"/>
          <w:szCs w:val="20"/>
          <w:lang w:eastAsia="zh-CN"/>
        </w:rPr>
        <w:t xml:space="preserve"> </w:t>
      </w:r>
      <w:r w:rsidRPr="00E1358C">
        <w:rPr>
          <w:rFonts w:ascii="Times New Roman" w:hAnsi="Times New Roman" w:cs="Times New Roman"/>
          <w:bCs/>
          <w:color w:val="000000" w:themeColor="text1"/>
          <w:sz w:val="16"/>
          <w:szCs w:val="20"/>
        </w:rPr>
        <w:t>(2016).</w:t>
      </w:r>
      <w:r w:rsidR="00663152" w:rsidRPr="00663152">
        <w:rPr>
          <w:rFonts w:ascii="Times New Roman" w:hAnsi="Times New Roman" w:cs="Times New Roman"/>
          <w:bCs/>
          <w:color w:val="000000" w:themeColor="text1"/>
          <w:sz w:val="16"/>
          <w:szCs w:val="20"/>
        </w:rPr>
        <w:t xml:space="preserve"> </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bCs/>
          <w:color w:val="000000" w:themeColor="text1"/>
          <w:sz w:val="16"/>
          <w:szCs w:val="20"/>
        </w:rPr>
        <w:t>What Constitutes the Most Beneficial Learning Experience During University? — An Empirical Investigation at a Research-Intensive University</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bCs/>
          <w:color w:val="000000" w:themeColor="text1"/>
          <w:sz w:val="16"/>
          <w:szCs w:val="20"/>
        </w:rPr>
        <w:t>, Journal of Educational Research. (1): 55-63.</w:t>
      </w:r>
    </w:p>
    <w:p w14:paraId="52C000E7" w14:textId="0AB89087"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hint="eastAsia"/>
          <w:bCs/>
          <w:color w:val="000000" w:themeColor="text1"/>
          <w:sz w:val="16"/>
          <w:szCs w:val="20"/>
        </w:rPr>
        <w:t xml:space="preserve"> Li, F.L.,</w:t>
      </w:r>
      <w:r>
        <w:rPr>
          <w:rFonts w:ascii="Times New Roman" w:hAnsi="Times New Roman" w:cs="Times New Roman" w:hint="eastAsia"/>
          <w:bCs/>
          <w:color w:val="000000" w:themeColor="text1"/>
          <w:sz w:val="16"/>
          <w:szCs w:val="20"/>
          <w:lang w:eastAsia="zh-CN"/>
        </w:rPr>
        <w:t xml:space="preserve"> </w:t>
      </w:r>
      <w:r w:rsidRPr="00E1358C">
        <w:rPr>
          <w:rFonts w:ascii="Times New Roman" w:hAnsi="Times New Roman" w:cs="Times New Roman" w:hint="eastAsia"/>
          <w:bCs/>
          <w:color w:val="000000" w:themeColor="text1"/>
          <w:sz w:val="16"/>
          <w:szCs w:val="20"/>
        </w:rPr>
        <w:t>(2018).</w:t>
      </w:r>
      <w:r>
        <w:rPr>
          <w:rFonts w:ascii="Times New Roman" w:hAnsi="Times New Roman" w:cs="Times New Roman" w:hint="eastAsia"/>
          <w:bCs/>
          <w:color w:val="000000" w:themeColor="text1"/>
          <w:sz w:val="16"/>
          <w:szCs w:val="20"/>
          <w:lang w:eastAsia="zh-CN"/>
        </w:rPr>
        <w:t xml:space="preserve"> </w:t>
      </w:r>
      <w:r w:rsidR="00663152" w:rsidRPr="00E1358C">
        <w:rPr>
          <w:rFonts w:ascii="Times New Roman" w:hAnsi="Times New Roman" w:cs="Times New Roman"/>
          <w:bCs/>
          <w:color w:val="000000" w:themeColor="text1"/>
          <w:sz w:val="16"/>
          <w:szCs w:val="20"/>
        </w:rPr>
        <w:t>"</w:t>
      </w:r>
      <w:r w:rsidRPr="00E1358C">
        <w:rPr>
          <w:rFonts w:ascii="Times New Roman" w:hAnsi="Times New Roman" w:cs="Times New Roman" w:hint="eastAsia"/>
          <w:bCs/>
          <w:color w:val="000000" w:themeColor="text1"/>
          <w:sz w:val="16"/>
          <w:szCs w:val="20"/>
        </w:rPr>
        <w:t>《</w:t>
      </w:r>
      <w:r w:rsidRPr="00E1358C">
        <w:rPr>
          <w:rFonts w:ascii="Times New Roman" w:hAnsi="Times New Roman" w:cs="Times New Roman" w:hint="eastAsia"/>
          <w:bCs/>
          <w:color w:val="000000" w:themeColor="text1"/>
          <w:sz w:val="16"/>
          <w:szCs w:val="20"/>
        </w:rPr>
        <w:t xml:space="preserve">From Classroom to Career: Linking Academic Achievement to Professional Success in Selective </w:t>
      </w:r>
      <w:proofErr w:type="spellStart"/>
      <w:r w:rsidRPr="00E1358C">
        <w:rPr>
          <w:rFonts w:ascii="Times New Roman" w:hAnsi="Times New Roman" w:cs="Times New Roman" w:hint="eastAsia"/>
          <w:bCs/>
          <w:color w:val="000000" w:themeColor="text1"/>
          <w:sz w:val="16"/>
          <w:szCs w:val="20"/>
        </w:rPr>
        <w:t>Universities</w:t>
      </w:r>
      <w:r w:rsidRPr="00E1358C">
        <w:rPr>
          <w:rFonts w:ascii="Times New Roman" w:hAnsi="Times New Roman" w:cs="Times New Roman" w:hint="eastAsia"/>
          <w:bCs/>
          <w:color w:val="000000" w:themeColor="text1"/>
          <w:sz w:val="16"/>
          <w:szCs w:val="20"/>
        </w:rPr>
        <w:t>》</w:t>
      </w:r>
      <w:r w:rsidRPr="00E1358C">
        <w:rPr>
          <w:rFonts w:ascii="Times New Roman" w:hAnsi="Times New Roman" w:cs="Times New Roman" w:hint="eastAsia"/>
          <w:bCs/>
          <w:color w:val="000000" w:themeColor="text1"/>
          <w:sz w:val="16"/>
          <w:szCs w:val="20"/>
        </w:rPr>
        <w:t>From</w:t>
      </w:r>
      <w:proofErr w:type="spellEnd"/>
      <w:r w:rsidRPr="00E1358C">
        <w:rPr>
          <w:rFonts w:ascii="Times New Roman" w:hAnsi="Times New Roman" w:cs="Times New Roman" w:hint="eastAsia"/>
          <w:bCs/>
          <w:color w:val="000000" w:themeColor="text1"/>
          <w:sz w:val="16"/>
          <w:szCs w:val="20"/>
        </w:rPr>
        <w:t xml:space="preserve"> Transcripts to Trajectories: A Multi-Institutional Study of Student Outcomes in China's Elite Universities.</w:t>
      </w:r>
    </w:p>
    <w:p w14:paraId="2AEF8B17" w14:textId="2C68BBC8"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hint="eastAsia"/>
          <w:bCs/>
          <w:color w:val="000000" w:themeColor="text1"/>
          <w:sz w:val="16"/>
          <w:szCs w:val="20"/>
        </w:rPr>
        <w:t>Anderson, Lorin W., David, R., (2001).</w:t>
      </w:r>
      <w:r w:rsidRPr="00E1358C">
        <w:rPr>
          <w:rFonts w:ascii="Times New Roman" w:hAnsi="Times New Roman" w:cs="Times New Roman"/>
          <w:bCs/>
          <w:color w:val="000000" w:themeColor="text1"/>
          <w:sz w:val="16"/>
          <w:szCs w:val="20"/>
        </w:rPr>
        <w:t xml:space="preserve"> "</w:t>
      </w:r>
      <w:r w:rsidRPr="00E1358C">
        <w:rPr>
          <w:rFonts w:ascii="Times New Roman" w:hAnsi="Times New Roman" w:cs="Times New Roman" w:hint="eastAsia"/>
          <w:bCs/>
          <w:color w:val="000000" w:themeColor="text1"/>
          <w:sz w:val="16"/>
          <w:szCs w:val="20"/>
        </w:rPr>
        <w:t>Krathwohl, editors.</w:t>
      </w:r>
      <w:r w:rsidRPr="00E1358C">
        <w:rPr>
          <w:rFonts w:ascii="Times New Roman" w:hAnsi="Times New Roman" w:cs="Times New Roman"/>
          <w:bCs/>
          <w:color w:val="000000" w:themeColor="text1"/>
          <w:sz w:val="16"/>
          <w:szCs w:val="20"/>
        </w:rPr>
        <w:t xml:space="preserve"> "</w:t>
      </w:r>
      <w:r w:rsidRPr="00E1358C">
        <w:rPr>
          <w:rFonts w:ascii="Times New Roman" w:hAnsi="Times New Roman" w:cs="Times New Roman" w:hint="eastAsia"/>
          <w:bCs/>
          <w:color w:val="000000" w:themeColor="text1"/>
          <w:sz w:val="16"/>
          <w:szCs w:val="20"/>
        </w:rPr>
        <w:t>A Taxonomy for Learning, Teaching, and Assessing: A Revision of Bloom's Taxonomy of Educational Objectives</w:t>
      </w:r>
      <w:r w:rsidR="00663152" w:rsidRPr="00663152">
        <w:rPr>
          <w:rFonts w:ascii="Times New Roman" w:hAnsi="Times New Roman" w:cs="Times New Roman"/>
          <w:bCs/>
          <w:color w:val="000000" w:themeColor="text1"/>
          <w:sz w:val="16"/>
          <w:szCs w:val="20"/>
        </w:rPr>
        <w:t>"</w:t>
      </w:r>
      <w:r w:rsidR="00663152">
        <w:rPr>
          <w:rFonts w:ascii="Times New Roman" w:hAnsi="Times New Roman" w:cs="Times New Roman" w:hint="eastAsia"/>
          <w:bCs/>
          <w:color w:val="000000" w:themeColor="text1"/>
          <w:sz w:val="16"/>
          <w:szCs w:val="20"/>
          <w:lang w:eastAsia="zh-CN"/>
        </w:rPr>
        <w:t xml:space="preserve">, </w:t>
      </w:r>
      <w:r w:rsidRPr="00E1358C">
        <w:rPr>
          <w:rFonts w:ascii="Times New Roman" w:hAnsi="Times New Roman" w:cs="Times New Roman" w:hint="eastAsia"/>
          <w:bCs/>
          <w:color w:val="000000" w:themeColor="text1"/>
          <w:sz w:val="16"/>
          <w:szCs w:val="20"/>
        </w:rPr>
        <w:t>Longman.</w:t>
      </w:r>
    </w:p>
    <w:p w14:paraId="42B7BDC8" w14:textId="3F360F31"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hint="eastAsia"/>
          <w:bCs/>
          <w:color w:val="000000" w:themeColor="text1"/>
          <w:sz w:val="16"/>
          <w:szCs w:val="20"/>
        </w:rPr>
        <w:t xml:space="preserve">Anderson et al., (2008). </w:t>
      </w:r>
      <w:r w:rsidRPr="00E1358C">
        <w:rPr>
          <w:rFonts w:ascii="Times New Roman" w:hAnsi="Times New Roman" w:cs="Times New Roman"/>
          <w:bCs/>
          <w:color w:val="000000" w:themeColor="text1"/>
          <w:sz w:val="16"/>
          <w:szCs w:val="20"/>
        </w:rPr>
        <w:t>"</w:t>
      </w:r>
      <w:r w:rsidRPr="00E1358C">
        <w:rPr>
          <w:rFonts w:ascii="Times New Roman" w:hAnsi="Times New Roman" w:cs="Times New Roman" w:hint="eastAsia"/>
          <w:bCs/>
          <w:color w:val="000000" w:themeColor="text1"/>
          <w:sz w:val="16"/>
          <w:szCs w:val="20"/>
        </w:rPr>
        <w:t>《</w:t>
      </w:r>
      <w:r w:rsidRPr="00E1358C">
        <w:rPr>
          <w:rFonts w:ascii="Times New Roman" w:hAnsi="Times New Roman" w:cs="Times New Roman" w:hint="eastAsia"/>
          <w:bCs/>
          <w:color w:val="000000" w:themeColor="text1"/>
          <w:sz w:val="16"/>
          <w:szCs w:val="20"/>
        </w:rPr>
        <w:t>The Revised Version of Bloom's Taxonomy of Educational Objectives</w:t>
      </w:r>
      <w:r w:rsidRPr="00E1358C">
        <w:rPr>
          <w:rFonts w:ascii="Times New Roman" w:hAnsi="Times New Roman" w:cs="Times New Roman" w:hint="eastAsia"/>
          <w:bCs/>
          <w:color w:val="000000" w:themeColor="text1"/>
          <w:sz w:val="16"/>
          <w:szCs w:val="20"/>
        </w:rPr>
        <w:t>》</w:t>
      </w:r>
      <w:r w:rsidRPr="00E1358C">
        <w:rPr>
          <w:rFonts w:ascii="Times New Roman" w:hAnsi="Times New Roman" w:cs="Times New Roman"/>
          <w:bCs/>
          <w:color w:val="000000" w:themeColor="text1"/>
          <w:sz w:val="16"/>
          <w:szCs w:val="20"/>
        </w:rPr>
        <w:t>"</w:t>
      </w:r>
      <w:r w:rsidRPr="00E1358C">
        <w:rPr>
          <w:rFonts w:ascii="Times New Roman" w:hAnsi="Times New Roman" w:cs="Times New Roman" w:hint="eastAsia"/>
          <w:bCs/>
          <w:color w:val="000000" w:themeColor="text1"/>
          <w:sz w:val="16"/>
          <w:szCs w:val="20"/>
        </w:rPr>
        <w:t>, Beijing: Foreign Language Teaching and Research Press (FLTRP).</w:t>
      </w:r>
    </w:p>
    <w:p w14:paraId="1DF885FD" w14:textId="2715B545"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bCs/>
          <w:color w:val="000000" w:themeColor="text1"/>
          <w:sz w:val="16"/>
          <w:szCs w:val="20"/>
        </w:rPr>
        <w:t>British Columbia Institute of Technology. (2014). “ISW facilitator handbook (4th ed.)”, BCIT Learning and Teaching Centre.</w:t>
      </w:r>
    </w:p>
    <w:p w14:paraId="6238F6B4" w14:textId="07FF5CED"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bCs/>
          <w:color w:val="000000" w:themeColor="text1"/>
          <w:sz w:val="16"/>
          <w:szCs w:val="20"/>
        </w:rPr>
        <w:t xml:space="preserve"> </w:t>
      </w:r>
      <w:proofErr w:type="spellStart"/>
      <w:r w:rsidRPr="00E1358C">
        <w:rPr>
          <w:rFonts w:ascii="Times New Roman" w:hAnsi="Times New Roman" w:cs="Times New Roman"/>
          <w:bCs/>
          <w:color w:val="000000" w:themeColor="text1"/>
          <w:sz w:val="16"/>
          <w:szCs w:val="20"/>
        </w:rPr>
        <w:t>Brockliss</w:t>
      </w:r>
      <w:proofErr w:type="spellEnd"/>
      <w:r w:rsidRPr="00E1358C">
        <w:rPr>
          <w:rFonts w:ascii="Times New Roman" w:hAnsi="Times New Roman" w:cs="Times New Roman"/>
          <w:bCs/>
          <w:color w:val="000000" w:themeColor="text1"/>
          <w:sz w:val="16"/>
          <w:szCs w:val="20"/>
        </w:rPr>
        <w:t>, L. W. B., (2016). "The University of Oxford: A History. Oxford University Press".</w:t>
      </w:r>
    </w:p>
    <w:p w14:paraId="3E5D2F48" w14:textId="5F423EA7"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bCs/>
          <w:color w:val="000000" w:themeColor="text1"/>
          <w:sz w:val="16"/>
          <w:szCs w:val="20"/>
        </w:rPr>
        <w:t>[Crisp, G., Cruz, I., (2009). "Mentoring College Students: A Critical Review of the Literature", ASHE Higher Education Report, 35(6): 1-130.</w:t>
      </w:r>
    </w:p>
    <w:p w14:paraId="17EBB978" w14:textId="17D177A6"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bCs/>
          <w:color w:val="000000" w:themeColor="text1"/>
          <w:sz w:val="16"/>
          <w:szCs w:val="20"/>
        </w:rPr>
        <w:t>Hisrich, R. D., Peters, M. P., &amp; Shepherd, D. A. (2017), "Entrepreneurship (10th ed.). McGraw-Hill</w:t>
      </w:r>
      <w:bookmarkStart w:id="5" w:name="_Hlk196121529"/>
      <w:r w:rsidRPr="00E1358C">
        <w:rPr>
          <w:rFonts w:ascii="Times New Roman" w:hAnsi="Times New Roman" w:cs="Times New Roman"/>
          <w:bCs/>
          <w:color w:val="000000" w:themeColor="text1"/>
          <w:sz w:val="16"/>
          <w:szCs w:val="20"/>
        </w:rPr>
        <w:t>"</w:t>
      </w:r>
      <w:bookmarkEnd w:id="5"/>
      <w:r w:rsidRPr="00E1358C">
        <w:rPr>
          <w:rFonts w:ascii="Times New Roman" w:hAnsi="Times New Roman" w:cs="Times New Roman"/>
          <w:bCs/>
          <w:color w:val="000000" w:themeColor="text1"/>
          <w:sz w:val="16"/>
          <w:szCs w:val="20"/>
        </w:rPr>
        <w:t>.</w:t>
      </w:r>
    </w:p>
    <w:p w14:paraId="4937020A" w14:textId="4663F747"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bCs/>
          <w:color w:val="000000" w:themeColor="text1"/>
          <w:sz w:val="16"/>
          <w:szCs w:val="20"/>
        </w:rPr>
        <w:t>Anderson, L. W., &amp; Krathwohl, D. R., (2001). "A Taxonomy for Learning, Teaching, and Assessing: A Revision of Bloom's Taxonomy. Longman".</w:t>
      </w:r>
    </w:p>
    <w:p w14:paraId="5E56247B" w14:textId="48A483C8"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hint="eastAsia"/>
          <w:bCs/>
          <w:color w:val="000000" w:themeColor="text1"/>
          <w:sz w:val="16"/>
          <w:szCs w:val="20"/>
        </w:rPr>
        <w:t xml:space="preserve"> </w:t>
      </w:r>
      <w:proofErr w:type="spellStart"/>
      <w:r w:rsidRPr="00E1358C">
        <w:rPr>
          <w:rFonts w:ascii="Times New Roman" w:hAnsi="Times New Roman" w:cs="Times New Roman" w:hint="eastAsia"/>
          <w:bCs/>
          <w:color w:val="000000" w:themeColor="text1"/>
          <w:sz w:val="16"/>
          <w:szCs w:val="20"/>
        </w:rPr>
        <w:t>Li.J.F</w:t>
      </w:r>
      <w:proofErr w:type="spellEnd"/>
      <w:r w:rsidRPr="00E1358C">
        <w:rPr>
          <w:rFonts w:ascii="Times New Roman" w:hAnsi="Times New Roman" w:cs="Times New Roman" w:hint="eastAsia"/>
          <w:bCs/>
          <w:color w:val="000000" w:themeColor="text1"/>
          <w:sz w:val="16"/>
          <w:szCs w:val="20"/>
        </w:rPr>
        <w:t>., (2021).</w:t>
      </w:r>
      <w:r w:rsidRPr="00E1358C">
        <w:rPr>
          <w:rFonts w:ascii="Times New Roman" w:hAnsi="Times New Roman" w:cs="Times New Roman"/>
          <w:bCs/>
          <w:color w:val="000000" w:themeColor="text1"/>
          <w:sz w:val="16"/>
          <w:szCs w:val="20"/>
        </w:rPr>
        <w:t xml:space="preserve"> "</w:t>
      </w:r>
      <w:r w:rsidRPr="00E1358C">
        <w:rPr>
          <w:rFonts w:ascii="Times New Roman" w:hAnsi="Times New Roman" w:cs="Times New Roman" w:hint="eastAsia"/>
          <w:bCs/>
          <w:color w:val="000000" w:themeColor="text1"/>
          <w:sz w:val="16"/>
          <w:szCs w:val="20"/>
        </w:rPr>
        <w:t xml:space="preserve">The Educational Philosophy and Implementation Framework of the Academy System under China's "Strong Foundations </w:t>
      </w:r>
      <w:proofErr w:type="spellStart"/>
      <w:r w:rsidRPr="00E1358C">
        <w:rPr>
          <w:rFonts w:ascii="Times New Roman" w:hAnsi="Times New Roman" w:cs="Times New Roman" w:hint="eastAsia"/>
          <w:bCs/>
          <w:color w:val="000000" w:themeColor="text1"/>
          <w:sz w:val="16"/>
          <w:szCs w:val="20"/>
        </w:rPr>
        <w:t>Program</w:t>
      </w:r>
      <w:proofErr w:type="gramStart"/>
      <w:r w:rsidRPr="00E1358C">
        <w:rPr>
          <w:rFonts w:ascii="Times New Roman" w:hAnsi="Times New Roman" w:cs="Times New Roman" w:hint="eastAsia"/>
          <w:bCs/>
          <w:color w:val="000000" w:themeColor="text1"/>
          <w:sz w:val="16"/>
          <w:szCs w:val="20"/>
        </w:rPr>
        <w:t>",</w:t>
      </w:r>
      <w:r w:rsidRPr="00E1358C">
        <w:rPr>
          <w:rFonts w:ascii="Times New Roman" w:hAnsi="Times New Roman" w:cs="Times New Roman" w:hint="eastAsia"/>
          <w:bCs/>
          <w:color w:val="000000" w:themeColor="text1"/>
          <w:sz w:val="16"/>
          <w:szCs w:val="20"/>
        </w:rPr>
        <w:t>《</w:t>
      </w:r>
      <w:proofErr w:type="gramEnd"/>
      <w:r w:rsidRPr="00E1358C">
        <w:rPr>
          <w:rFonts w:ascii="Times New Roman" w:hAnsi="Times New Roman" w:cs="Times New Roman" w:hint="eastAsia"/>
          <w:bCs/>
          <w:color w:val="000000" w:themeColor="text1"/>
          <w:sz w:val="16"/>
          <w:szCs w:val="20"/>
        </w:rPr>
        <w:t>Journal</w:t>
      </w:r>
      <w:proofErr w:type="spellEnd"/>
      <w:r w:rsidRPr="00E1358C">
        <w:rPr>
          <w:rFonts w:ascii="Times New Roman" w:hAnsi="Times New Roman" w:cs="Times New Roman" w:hint="eastAsia"/>
          <w:bCs/>
          <w:color w:val="000000" w:themeColor="text1"/>
          <w:sz w:val="16"/>
          <w:szCs w:val="20"/>
        </w:rPr>
        <w:t xml:space="preserve"> of University Teaching in China</w:t>
      </w:r>
      <w:r w:rsidRPr="00E1358C">
        <w:rPr>
          <w:rFonts w:ascii="Times New Roman" w:hAnsi="Times New Roman" w:cs="Times New Roman" w:hint="eastAsia"/>
          <w:bCs/>
          <w:color w:val="000000" w:themeColor="text1"/>
          <w:sz w:val="16"/>
          <w:szCs w:val="20"/>
        </w:rPr>
        <w:t>》</w:t>
      </w:r>
      <w:r w:rsidRPr="00E1358C">
        <w:rPr>
          <w:rFonts w:ascii="Times New Roman" w:hAnsi="Times New Roman" w:cs="Times New Roman" w:hint="eastAsia"/>
          <w:bCs/>
          <w:color w:val="000000" w:themeColor="text1"/>
          <w:sz w:val="16"/>
          <w:szCs w:val="20"/>
        </w:rPr>
        <w:t>, (5): 25-30.</w:t>
      </w:r>
    </w:p>
    <w:p w14:paraId="29C25D46" w14:textId="0ECC73FA" w:rsidR="00E1358C" w:rsidRPr="00E1358C" w:rsidRDefault="00E1358C" w:rsidP="00E1358C">
      <w:pPr>
        <w:pStyle w:val="afa"/>
        <w:numPr>
          <w:ilvl w:val="0"/>
          <w:numId w:val="18"/>
        </w:numPr>
        <w:spacing w:after="0" w:line="240" w:lineRule="auto"/>
        <w:rPr>
          <w:rFonts w:ascii="Times New Roman" w:hAnsi="Times New Roman" w:cs="Times New Roman"/>
          <w:bCs/>
          <w:color w:val="000000" w:themeColor="text1"/>
          <w:sz w:val="16"/>
          <w:szCs w:val="20"/>
        </w:rPr>
      </w:pPr>
      <w:r w:rsidRPr="00E1358C">
        <w:rPr>
          <w:rFonts w:ascii="Times New Roman" w:hAnsi="Times New Roman" w:cs="Times New Roman"/>
          <w:bCs/>
          <w:color w:val="000000" w:themeColor="text1"/>
          <w:sz w:val="16"/>
          <w:szCs w:val="20"/>
        </w:rPr>
        <w:t xml:space="preserve"> Li, J., Wang, H., (2023)."How to Sustain Teaching Enthusiasm in Research Universities: A Case Study of Tsinghua XINGJIAN College". Higher Education Policy, 36(1): 78-95.</w:t>
      </w:r>
    </w:p>
    <w:p w14:paraId="5D399270" w14:textId="7D9DDCF4" w:rsidR="003C7F3D" w:rsidRPr="002D01B1" w:rsidRDefault="00E1358C" w:rsidP="00A730AA">
      <w:pPr>
        <w:pStyle w:val="afa"/>
        <w:numPr>
          <w:ilvl w:val="0"/>
          <w:numId w:val="18"/>
        </w:numPr>
        <w:spacing w:after="0" w:line="240" w:lineRule="auto"/>
        <w:jc w:val="both"/>
        <w:rPr>
          <w:rFonts w:ascii="Times New Roman" w:hAnsi="Times New Roman" w:cs="Times New Roman" w:hint="eastAsia"/>
          <w:bCs/>
          <w:color w:val="000000" w:themeColor="text1"/>
          <w:sz w:val="16"/>
          <w:szCs w:val="20"/>
        </w:rPr>
      </w:pPr>
      <w:proofErr w:type="spellStart"/>
      <w:r w:rsidRPr="00E1358C">
        <w:rPr>
          <w:rFonts w:ascii="Times New Roman" w:hAnsi="Times New Roman" w:cs="Times New Roman"/>
          <w:bCs/>
          <w:color w:val="000000" w:themeColor="text1"/>
          <w:sz w:val="16"/>
          <w:szCs w:val="20"/>
        </w:rPr>
        <w:t>Wu.N.B</w:t>
      </w:r>
      <w:proofErr w:type="spellEnd"/>
      <w:r w:rsidRPr="00E1358C">
        <w:rPr>
          <w:rFonts w:ascii="Times New Roman" w:hAnsi="Times New Roman" w:cs="Times New Roman"/>
          <w:bCs/>
          <w:color w:val="000000" w:themeColor="text1"/>
          <w:sz w:val="16"/>
          <w:szCs w:val="20"/>
        </w:rPr>
        <w:t>.,</w:t>
      </w:r>
      <w:r>
        <w:rPr>
          <w:rFonts w:ascii="Times New Roman" w:hAnsi="Times New Roman" w:cs="Times New Roman" w:hint="eastAsia"/>
          <w:bCs/>
          <w:color w:val="000000" w:themeColor="text1"/>
          <w:sz w:val="16"/>
          <w:szCs w:val="20"/>
          <w:lang w:eastAsia="zh-CN"/>
        </w:rPr>
        <w:t xml:space="preserve"> </w:t>
      </w:r>
      <w:r w:rsidRPr="00E1358C">
        <w:rPr>
          <w:rFonts w:ascii="Times New Roman" w:hAnsi="Times New Roman" w:cs="Times New Roman"/>
          <w:bCs/>
          <w:color w:val="000000" w:themeColor="text1"/>
          <w:sz w:val="16"/>
          <w:szCs w:val="20"/>
        </w:rPr>
        <w:t>(2021). "Reconstructing Educational Responsibilities in Teacher Education Program Accreditation"</w:t>
      </w:r>
      <w:r>
        <w:rPr>
          <w:rFonts w:ascii="Times New Roman" w:hAnsi="Times New Roman" w:cs="Times New Roman" w:hint="eastAsia"/>
          <w:bCs/>
          <w:color w:val="000000" w:themeColor="text1"/>
          <w:sz w:val="16"/>
          <w:szCs w:val="20"/>
          <w:lang w:eastAsia="zh-CN"/>
        </w:rPr>
        <w:t>,</w:t>
      </w:r>
      <w:r w:rsidRPr="00E1358C">
        <w:rPr>
          <w:rFonts w:ascii="Times New Roman" w:hAnsi="Times New Roman" w:cs="Times New Roman"/>
          <w:bCs/>
          <w:color w:val="000000" w:themeColor="text1"/>
          <w:sz w:val="16"/>
          <w:szCs w:val="20"/>
        </w:rPr>
        <w:t xml:space="preserve"> Journal of Teacher Education Research. 33(4): 12-18.</w:t>
      </w:r>
    </w:p>
    <w:sectPr w:rsidR="003C7F3D" w:rsidRPr="002D01B1" w:rsidSect="00714AD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22E9" w14:textId="77777777" w:rsidR="00D20069" w:rsidRDefault="00D20069" w:rsidP="00A82CA4">
      <w:r>
        <w:separator/>
      </w:r>
    </w:p>
    <w:p w14:paraId="7AFF33AF" w14:textId="77777777" w:rsidR="00D20069" w:rsidRDefault="00D20069"/>
  </w:endnote>
  <w:endnote w:type="continuationSeparator" w:id="0">
    <w:p w14:paraId="5400175D" w14:textId="77777777" w:rsidR="00D20069" w:rsidRDefault="00D20069" w:rsidP="00A82CA4">
      <w:r>
        <w:continuationSeparator/>
      </w:r>
    </w:p>
    <w:p w14:paraId="228D3D47" w14:textId="77777777" w:rsidR="00D20069" w:rsidRDefault="00D20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A94" w14:textId="2C521309" w:rsidR="00714AD6" w:rsidRPr="00935FE1" w:rsidRDefault="00000000" w:rsidP="00714AD6">
    <w:pPr>
      <w:pStyle w:val="ae"/>
      <w:ind w:right="27"/>
      <w:jc w:val="center"/>
      <w:rPr>
        <w:sz w:val="20"/>
      </w:rPr>
    </w:pPr>
    <w:r>
      <w:rPr>
        <w:sz w:val="20"/>
      </w:rPr>
      <w:pict w14:anchorId="5F35BBF4">
        <v:rect id="_x0000_i1025"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w:t>
    </w:r>
    <w:r w:rsidR="003E59B0">
      <w:rPr>
        <w:rFonts w:hint="eastAsia"/>
        <w:sz w:val="20"/>
        <w:lang w:eastAsia="zh-CN"/>
      </w:rPr>
      <w:t>x</w:t>
    </w:r>
    <w:r w:rsidR="00714AD6">
      <w:rPr>
        <w:sz w:val="20"/>
      </w:rPr>
      <w:t xml:space="preserve"> | Iss. </w:t>
    </w:r>
    <w:r w:rsidR="003E59B0">
      <w:rPr>
        <w:rFonts w:hint="eastAsia"/>
        <w:sz w:val="20"/>
        <w:lang w:eastAsia="zh-CN"/>
      </w:rPr>
      <w:t>x</w:t>
    </w:r>
    <w:r w:rsidR="00714AD6">
      <w:rPr>
        <w:sz w:val="20"/>
      </w:rPr>
      <w:t xml:space="preserve"> | A</w:t>
    </w:r>
    <w:r w:rsidR="003E59B0">
      <w:rPr>
        <w:rFonts w:hint="eastAsia"/>
        <w:sz w:val="20"/>
        <w:lang w:eastAsia="zh-CN"/>
      </w:rPr>
      <w:t>pril</w:t>
    </w:r>
    <w:r w:rsidR="00714AD6" w:rsidRPr="00935FE1">
      <w:rPr>
        <w:sz w:val="20"/>
      </w:rPr>
      <w:t xml:space="preserve"> 20</w:t>
    </w:r>
    <w:r w:rsidR="003E59B0">
      <w:rPr>
        <w:rFonts w:hint="eastAsia"/>
        <w:sz w:val="20"/>
        <w:lang w:eastAsia="zh-CN"/>
      </w:rPr>
      <w:t>25</w:t>
    </w:r>
    <w:r w:rsidR="00714AD6" w:rsidRPr="00935FE1">
      <w:rPr>
        <w:sz w:val="20"/>
      </w:rPr>
      <w:t xml:space="preserve">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34F8" w14:textId="4BFE9F2F" w:rsidR="007B62F3" w:rsidRPr="00935FE1" w:rsidRDefault="00000000" w:rsidP="000D7C31">
    <w:pPr>
      <w:pStyle w:val="ae"/>
      <w:ind w:right="27"/>
      <w:jc w:val="center"/>
      <w:rPr>
        <w:sz w:val="20"/>
      </w:rPr>
    </w:pPr>
    <w:r>
      <w:rPr>
        <w:sz w:val="20"/>
      </w:rPr>
      <w:pict w14:anchorId="2B785908">
        <v:rect id="_x0000_i1026"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w:t>
    </w:r>
    <w:r w:rsidR="003E59B0">
      <w:rPr>
        <w:rFonts w:hint="eastAsia"/>
        <w:sz w:val="20"/>
        <w:lang w:eastAsia="zh-CN"/>
      </w:rPr>
      <w:t>x</w:t>
    </w:r>
    <w:r w:rsidR="007B62F3">
      <w:rPr>
        <w:sz w:val="20"/>
      </w:rPr>
      <w:t xml:space="preserve"> | Iss. </w:t>
    </w:r>
    <w:r w:rsidR="003E59B0">
      <w:rPr>
        <w:rFonts w:hint="eastAsia"/>
        <w:sz w:val="20"/>
        <w:lang w:eastAsia="zh-CN"/>
      </w:rPr>
      <w:t>x</w:t>
    </w:r>
    <w:r w:rsidR="007B62F3">
      <w:rPr>
        <w:sz w:val="20"/>
      </w:rPr>
      <w:t xml:space="preserve"> | A</w:t>
    </w:r>
    <w:r w:rsidR="003E59B0">
      <w:rPr>
        <w:rFonts w:hint="eastAsia"/>
        <w:sz w:val="20"/>
        <w:lang w:eastAsia="zh-CN"/>
      </w:rPr>
      <w:t>pril</w:t>
    </w:r>
    <w:r w:rsidR="007B62F3" w:rsidRPr="00935FE1">
      <w:rPr>
        <w:sz w:val="20"/>
      </w:rPr>
      <w:t xml:space="preserve"> 20</w:t>
    </w:r>
    <w:r w:rsidR="003E59B0">
      <w:rPr>
        <w:rFonts w:hint="eastAsia"/>
        <w:sz w:val="20"/>
        <w:lang w:eastAsia="zh-CN"/>
      </w:rPr>
      <w:t>25</w:t>
    </w:r>
    <w:r w:rsidR="007B62F3" w:rsidRPr="00935FE1">
      <w:rPr>
        <w:sz w:val="20"/>
      </w:rPr>
      <w:t xml:space="preserve">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2F28" w14:textId="32EB08E9" w:rsidR="007B62F3" w:rsidRPr="00935FE1" w:rsidRDefault="00000000" w:rsidP="000D7C31">
    <w:pPr>
      <w:pStyle w:val="ae"/>
      <w:ind w:right="27"/>
      <w:jc w:val="center"/>
      <w:rPr>
        <w:sz w:val="20"/>
      </w:rPr>
    </w:pPr>
    <w:r>
      <w:rPr>
        <w:sz w:val="20"/>
      </w:rPr>
      <w:pict w14:anchorId="56B0CCE7">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w:t>
    </w:r>
    <w:r w:rsidR="00663152">
      <w:rPr>
        <w:rFonts w:hint="eastAsia"/>
        <w:sz w:val="20"/>
        <w:lang w:eastAsia="zh-CN"/>
      </w:rPr>
      <w:t>x</w:t>
    </w:r>
    <w:r w:rsidR="007B62F3">
      <w:rPr>
        <w:sz w:val="20"/>
      </w:rPr>
      <w:t xml:space="preserve"> | Iss. </w:t>
    </w:r>
    <w:r w:rsidR="00663152">
      <w:rPr>
        <w:rFonts w:hint="eastAsia"/>
        <w:sz w:val="20"/>
        <w:lang w:eastAsia="zh-CN"/>
      </w:rPr>
      <w:t>x</w:t>
    </w:r>
    <w:r w:rsidR="007B62F3">
      <w:rPr>
        <w:sz w:val="20"/>
      </w:rPr>
      <w:t xml:space="preserve"> | A</w:t>
    </w:r>
    <w:r w:rsidR="00663152">
      <w:rPr>
        <w:rFonts w:hint="eastAsia"/>
        <w:sz w:val="20"/>
        <w:lang w:eastAsia="zh-CN"/>
      </w:rPr>
      <w:t>pril</w:t>
    </w:r>
    <w:r w:rsidR="007B62F3" w:rsidRPr="00935FE1">
      <w:rPr>
        <w:sz w:val="20"/>
      </w:rPr>
      <w:t xml:space="preserve"> 20</w:t>
    </w:r>
    <w:r w:rsidR="00663152">
      <w:rPr>
        <w:rFonts w:hint="eastAsia"/>
        <w:sz w:val="20"/>
        <w:lang w:eastAsia="zh-CN"/>
      </w:rPr>
      <w:t>25</w:t>
    </w:r>
    <w:r w:rsidR="007B62F3" w:rsidRPr="00935FE1">
      <w:rPr>
        <w:sz w:val="20"/>
      </w:rPr>
      <w:t xml:space="preserve">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0EE6" w14:textId="77777777" w:rsidR="00D20069" w:rsidRDefault="00D20069" w:rsidP="00A82CA4">
      <w:r>
        <w:separator/>
      </w:r>
    </w:p>
    <w:p w14:paraId="1435715D" w14:textId="77777777" w:rsidR="00D20069" w:rsidRDefault="00D20069"/>
  </w:footnote>
  <w:footnote w:type="continuationSeparator" w:id="0">
    <w:p w14:paraId="0B3036CE" w14:textId="77777777" w:rsidR="00D20069" w:rsidRDefault="00D20069" w:rsidP="00A82CA4">
      <w:r>
        <w:continuationSeparator/>
      </w:r>
    </w:p>
    <w:p w14:paraId="53B33E8C" w14:textId="77777777" w:rsidR="00D20069" w:rsidRDefault="00D200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0F27" w14:textId="0AF84A1A" w:rsidR="001A5C06" w:rsidRPr="000D7C31" w:rsidRDefault="00663152" w:rsidP="00663152">
    <w:pPr>
      <w:pStyle w:val="AbstractLiteratur"/>
      <w:pBdr>
        <w:bottom w:val="single" w:sz="4" w:space="1" w:color="auto"/>
      </w:pBdr>
      <w:spacing w:before="0" w:after="200" w:line="240" w:lineRule="auto"/>
      <w:ind w:right="440"/>
      <w:jc w:val="both"/>
      <w:rPr>
        <w:b w:val="0"/>
        <w:i/>
        <w:sz w:val="22"/>
        <w:szCs w:val="20"/>
        <w:lang w:val="en-US"/>
      </w:rPr>
    </w:pPr>
    <w:r w:rsidRPr="00663152">
      <w:rPr>
        <w:b w:val="0"/>
        <w:i/>
        <w:sz w:val="22"/>
        <w:szCs w:val="20"/>
        <w:lang w:val="en-US"/>
      </w:rPr>
      <w:t>Reflections on Teaching Reform in Bioengineering Talent Cultivation Based on Outcome-Based Education</w:t>
    </w:r>
    <w:r w:rsidR="001A5C06"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2CFF" w14:textId="014029D4" w:rsidR="007B62F3" w:rsidRPr="000D7C31" w:rsidRDefault="003E59B0" w:rsidP="003E59B0">
    <w:pPr>
      <w:pStyle w:val="AbstractLiteratur"/>
      <w:pBdr>
        <w:bottom w:val="single" w:sz="4" w:space="1" w:color="auto"/>
      </w:pBdr>
      <w:spacing w:before="0" w:after="200" w:line="240" w:lineRule="auto"/>
      <w:ind w:right="440"/>
      <w:jc w:val="both"/>
      <w:rPr>
        <w:b w:val="0"/>
        <w:i/>
        <w:sz w:val="22"/>
        <w:szCs w:val="20"/>
        <w:lang w:val="en-US"/>
      </w:rPr>
    </w:pPr>
    <w:r w:rsidRPr="003E59B0">
      <w:rPr>
        <w:b w:val="0"/>
        <w:i/>
        <w:sz w:val="22"/>
        <w:szCs w:val="20"/>
        <w:lang w:val="en-US"/>
      </w:rPr>
      <w:t>Reflections on Teaching Reform in Bioengineering Talent Cultivation Based on Outcome-Based Education</w:t>
    </w:r>
    <w:r w:rsidR="007B62F3"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8231"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42FC5622" wp14:editId="6581221A">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594460C6"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2F417701"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7D7F2A7D" w14:textId="77777777" w:rsidR="007B62F3" w:rsidRPr="000D7C31" w:rsidRDefault="00000000"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w14:anchorId="260631CA">
        <v:roundrect id="_x0000_s1026" style="position:absolute;margin-left:-.75pt;margin-top:1.15pt;width:450.15pt;height:7.95pt;z-index:251658240" arcsize="10923f" fillcolor="#ddd8c2" strokecolor="#0d0d0d">
          <v:textbox style="mso-next-textbox:#_x0000_s1026">
            <w:txbxContent>
              <w:p w14:paraId="5D6542E1" w14:textId="77777777" w:rsidR="007B62F3" w:rsidRDefault="007B62F3"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93AF5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35378111" o:spid="_x0000_i1025" type="#_x0000_t75" style="width:11.3pt;height:11.3pt;visibility:visible;mso-wrap-style:square">
            <v:imagedata r:id="rId1" o:title=""/>
          </v:shape>
        </w:pict>
      </mc:Choice>
      <mc:Fallback>
        <w:drawing>
          <wp:inline distT="0" distB="0" distL="0" distR="0" wp14:anchorId="4AB09C13" wp14:editId="746050F4">
            <wp:extent cx="143510" cy="143510"/>
            <wp:effectExtent l="0" t="0" r="0" b="0"/>
            <wp:docPr id="435378111" name="图片 43537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mc:Fallback>
    </mc:AlternateConten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hybridMultilevel"/>
    <w:tmpl w:val="C45A4CE2"/>
    <w:lvl w:ilvl="0" w:tplc="D1ECE286">
      <w:start w:val="1"/>
      <w:numFmt w:val="upperRoman"/>
      <w:pStyle w:val="1"/>
      <w:lvlText w:val="%1."/>
      <w:lvlJc w:val="left"/>
      <w:pPr>
        <w:ind w:left="17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177147">
    <w:abstractNumId w:val="10"/>
  </w:num>
  <w:num w:numId="2" w16cid:durableId="1940602032">
    <w:abstractNumId w:val="1"/>
  </w:num>
  <w:num w:numId="3" w16cid:durableId="583031147">
    <w:abstractNumId w:val="14"/>
  </w:num>
  <w:num w:numId="4" w16cid:durableId="46297320">
    <w:abstractNumId w:val="0"/>
  </w:num>
  <w:num w:numId="5" w16cid:durableId="1573587810">
    <w:abstractNumId w:val="6"/>
  </w:num>
  <w:num w:numId="6" w16cid:durableId="773209365">
    <w:abstractNumId w:val="12"/>
  </w:num>
  <w:num w:numId="7" w16cid:durableId="2050522461">
    <w:abstractNumId w:val="5"/>
  </w:num>
  <w:num w:numId="8" w16cid:durableId="1740833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957053">
    <w:abstractNumId w:val="7"/>
  </w:num>
  <w:num w:numId="10" w16cid:durableId="1167402931">
    <w:abstractNumId w:val="15"/>
  </w:num>
  <w:num w:numId="11" w16cid:durableId="1246037754">
    <w:abstractNumId w:val="16"/>
  </w:num>
  <w:num w:numId="12" w16cid:durableId="825055250">
    <w:abstractNumId w:val="13"/>
  </w:num>
  <w:num w:numId="13" w16cid:durableId="777913344">
    <w:abstractNumId w:val="8"/>
  </w:num>
  <w:num w:numId="14" w16cid:durableId="170800093">
    <w:abstractNumId w:val="4"/>
  </w:num>
  <w:num w:numId="15" w16cid:durableId="435709930">
    <w:abstractNumId w:val="11"/>
  </w:num>
  <w:num w:numId="16" w16cid:durableId="630937800">
    <w:abstractNumId w:val="3"/>
  </w:num>
  <w:num w:numId="17" w16cid:durableId="830025285">
    <w:abstractNumId w:val="9"/>
  </w:num>
  <w:num w:numId="18" w16cid:durableId="104278542">
    <w:abstractNumId w:val="2"/>
  </w:num>
  <w:num w:numId="19" w16cid:durableId="1503810164">
    <w:abstractNumId w:val="9"/>
  </w:num>
  <w:num w:numId="20" w16cid:durableId="1655182906">
    <w:abstractNumId w:val="9"/>
  </w:num>
  <w:num w:numId="21" w16cid:durableId="2104104939">
    <w:abstractNumId w:val="9"/>
  </w:num>
  <w:num w:numId="22" w16cid:durableId="952519270">
    <w:abstractNumId w:val="9"/>
  </w:num>
  <w:num w:numId="23" w16cid:durableId="101264701">
    <w:abstractNumId w:val="9"/>
  </w:num>
  <w:num w:numId="24" w16cid:durableId="480657987">
    <w:abstractNumId w:val="9"/>
  </w:num>
  <w:num w:numId="25" w16cid:durableId="1755738793">
    <w:abstractNumId w:val="9"/>
  </w:num>
  <w:num w:numId="26" w16cid:durableId="556477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2035"/>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A71F0"/>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0550"/>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C6CFA"/>
    <w:rsid w:val="002D01B1"/>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548B"/>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E101B"/>
    <w:rsid w:val="003E59B0"/>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64FF5"/>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C65"/>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D9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152"/>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14D"/>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2905"/>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3D35"/>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1928"/>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102B"/>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0069"/>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58C"/>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47F12"/>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0412A5CA"/>
  <w15:docId w15:val="{D4671723-CDE4-44E3-A78B-135BDF32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4CE"/>
    <w:pPr>
      <w:spacing w:after="200" w:line="288" w:lineRule="auto"/>
      <w:jc w:val="both"/>
    </w:pPr>
    <w:rPr>
      <w:rFonts w:ascii="Times New Roman" w:hAnsi="Times New Roman" w:cs="Times New Roman"/>
      <w:sz w:val="24"/>
      <w:szCs w:val="24"/>
      <w:lang w:val="de-DE"/>
    </w:rPr>
  </w:style>
  <w:style w:type="paragraph" w:styleId="1">
    <w:name w:val="heading 1"/>
    <w:basedOn w:val="a"/>
    <w:next w:val="a"/>
    <w:link w:val="10"/>
    <w:autoRedefine/>
    <w:uiPriority w:val="9"/>
    <w:qFormat/>
    <w:rsid w:val="006C3A0A"/>
    <w:pPr>
      <w:numPr>
        <w:numId w:val="17"/>
      </w:numPr>
      <w:spacing w:after="0" w:line="240" w:lineRule="auto"/>
      <w:contextualSpacing/>
      <w:jc w:val="center"/>
      <w:outlineLvl w:val="0"/>
    </w:pPr>
    <w:rPr>
      <w:b/>
      <w:sz w:val="22"/>
      <w:szCs w:val="22"/>
      <w:lang w:val="en-US"/>
    </w:rPr>
  </w:style>
  <w:style w:type="paragraph" w:styleId="2">
    <w:name w:val="heading 2"/>
    <w:basedOn w:val="a"/>
    <w:next w:val="a"/>
    <w:link w:val="20"/>
    <w:uiPriority w:val="9"/>
    <w:unhideWhenUsed/>
    <w:qFormat/>
    <w:rsid w:val="00243E04"/>
    <w:pPr>
      <w:numPr>
        <w:ilvl w:val="1"/>
        <w:numId w:val="7"/>
      </w:numPr>
      <w:spacing w:before="480" w:after="120"/>
      <w:outlineLvl w:val="1"/>
    </w:pPr>
    <w:rPr>
      <w:b/>
      <w:sz w:val="26"/>
    </w:rPr>
  </w:style>
  <w:style w:type="paragraph" w:styleId="3">
    <w:name w:val="heading 3"/>
    <w:basedOn w:val="a"/>
    <w:next w:val="a"/>
    <w:link w:val="30"/>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4">
    <w:name w:val="heading 4"/>
    <w:basedOn w:val="a"/>
    <w:next w:val="a"/>
    <w:link w:val="40"/>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5">
    <w:name w:val="heading 5"/>
    <w:basedOn w:val="3"/>
    <w:next w:val="a"/>
    <w:link w:val="50"/>
    <w:uiPriority w:val="9"/>
    <w:unhideWhenUsed/>
    <w:rsid w:val="00D031E0"/>
    <w:pPr>
      <w:numPr>
        <w:ilvl w:val="4"/>
      </w:numPr>
      <w:ind w:left="1009" w:hanging="1009"/>
      <w:outlineLvl w:val="4"/>
    </w:pPr>
  </w:style>
  <w:style w:type="paragraph" w:styleId="6">
    <w:name w:val="heading 6"/>
    <w:basedOn w:val="5"/>
    <w:next w:val="a"/>
    <w:link w:val="60"/>
    <w:uiPriority w:val="9"/>
    <w:unhideWhenUsed/>
    <w:rsid w:val="00D031E0"/>
    <w:pPr>
      <w:numPr>
        <w:ilvl w:val="5"/>
      </w:numPr>
      <w:ind w:left="1151" w:hanging="1151"/>
      <w:outlineLvl w:val="5"/>
    </w:pPr>
    <w:rPr>
      <w:iCs/>
    </w:rPr>
  </w:style>
  <w:style w:type="paragraph" w:styleId="7">
    <w:name w:val="heading 7"/>
    <w:basedOn w:val="a"/>
    <w:next w:val="a"/>
    <w:link w:val="70"/>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8">
    <w:name w:val="heading 8"/>
    <w:basedOn w:val="a"/>
    <w:next w:val="a"/>
    <w:link w:val="80"/>
    <w:uiPriority w:val="9"/>
    <w:unhideWhenUsed/>
    <w:rsid w:val="005B2014"/>
    <w:pPr>
      <w:keepNext/>
      <w:keepLines/>
      <w:numPr>
        <w:ilvl w:val="7"/>
        <w:numId w:val="7"/>
      </w:numPr>
      <w:spacing w:before="200" w:after="0"/>
      <w:outlineLvl w:val="7"/>
    </w:pPr>
    <w:rPr>
      <w:rFonts w:eastAsia="Times New Roman"/>
      <w:sz w:val="26"/>
      <w:szCs w:val="20"/>
    </w:rPr>
  </w:style>
  <w:style w:type="paragraph" w:styleId="9">
    <w:name w:val="heading 9"/>
    <w:basedOn w:val="a"/>
    <w:next w:val="a"/>
    <w:link w:val="90"/>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Literatur">
    <w:name w:val="Abstract_Literatur"/>
    <w:basedOn w:val="a"/>
    <w:next w:val="a"/>
    <w:qFormat/>
    <w:rsid w:val="00C63EC5"/>
    <w:pPr>
      <w:spacing w:before="480" w:after="120"/>
      <w:jc w:val="center"/>
    </w:pPr>
    <w:rPr>
      <w:b/>
      <w:sz w:val="30"/>
      <w:szCs w:val="28"/>
    </w:rPr>
  </w:style>
  <w:style w:type="paragraph" w:styleId="a3">
    <w:name w:val="Title"/>
    <w:aliases w:val="Titel Abstract"/>
    <w:basedOn w:val="a"/>
    <w:next w:val="a"/>
    <w:link w:val="a4"/>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标题 字符"/>
    <w:aliases w:val="Titel Abstract 字符"/>
    <w:link w:val="a3"/>
    <w:rsid w:val="00E2255D"/>
    <w:rPr>
      <w:rFonts w:ascii="Cambria" w:eastAsia="Times New Roman" w:hAnsi="Cambria" w:cs="Times New Roman"/>
      <w:color w:val="17365D"/>
      <w:spacing w:val="5"/>
      <w:kern w:val="28"/>
      <w:sz w:val="52"/>
      <w:szCs w:val="52"/>
    </w:rPr>
  </w:style>
  <w:style w:type="paragraph" w:customStyle="1" w:styleId="NameAutor">
    <w:name w:val="Name_Autor"/>
    <w:basedOn w:val="a"/>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a"/>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a"/>
    <w:qFormat/>
    <w:rsid w:val="00E2255D"/>
    <w:pPr>
      <w:overflowPunct w:val="0"/>
      <w:autoSpaceDE w:val="0"/>
      <w:autoSpaceDN w:val="0"/>
      <w:adjustRightInd w:val="0"/>
      <w:spacing w:before="60" w:after="60"/>
      <w:jc w:val="center"/>
    </w:pPr>
    <w:rPr>
      <w:rFonts w:cs="Arial"/>
      <w:lang w:eastAsia="de-DE"/>
    </w:rPr>
  </w:style>
  <w:style w:type="character" w:customStyle="1" w:styleId="10">
    <w:name w:val="标题 1 字符"/>
    <w:link w:val="1"/>
    <w:uiPriority w:val="9"/>
    <w:rsid w:val="006C3A0A"/>
    <w:rPr>
      <w:rFonts w:ascii="Times New Roman" w:hAnsi="Times New Roman" w:cs="Times New Roman"/>
      <w:b/>
      <w:sz w:val="22"/>
      <w:szCs w:val="22"/>
    </w:rPr>
  </w:style>
  <w:style w:type="character" w:customStyle="1" w:styleId="20">
    <w:name w:val="标题 2 字符"/>
    <w:link w:val="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a5">
    <w:name w:val="Table Grid"/>
    <w:basedOn w:val="a1"/>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FA3E46"/>
    <w:rPr>
      <w:color w:val="0000FF"/>
      <w:u w:val="single"/>
    </w:rPr>
  </w:style>
  <w:style w:type="paragraph" w:styleId="a7">
    <w:name w:val="header"/>
    <w:basedOn w:val="a"/>
    <w:link w:val="a8"/>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a8">
    <w:name w:val="页眉 字符"/>
    <w:link w:val="a7"/>
    <w:uiPriority w:val="99"/>
    <w:rsid w:val="00FA3E46"/>
    <w:rPr>
      <w:rFonts w:ascii="Arial" w:eastAsia="Calibri" w:hAnsi="Arial" w:cs="Times New Roman"/>
    </w:rPr>
  </w:style>
  <w:style w:type="character" w:styleId="a9">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a"/>
    <w:next w:val="a"/>
    <w:qFormat/>
    <w:rsid w:val="00D031E0"/>
    <w:pPr>
      <w:spacing w:before="200" w:after="120"/>
    </w:pPr>
    <w:rPr>
      <w:b/>
    </w:rPr>
  </w:style>
  <w:style w:type="paragraph" w:customStyle="1" w:styleId="AnhangVerzeichnisseLiteratur">
    <w:name w:val="Anhang Verzeichnisse (Literatur"/>
    <w:aliases w:val="Formel,Abbildungen)"/>
    <w:basedOn w:val="a"/>
    <w:qFormat/>
    <w:rsid w:val="00263D46"/>
    <w:pPr>
      <w:spacing w:after="120" w:line="276" w:lineRule="auto"/>
      <w:jc w:val="left"/>
    </w:pPr>
    <w:rPr>
      <w:lang w:eastAsia="de-DE"/>
    </w:rPr>
  </w:style>
  <w:style w:type="character" w:styleId="aa">
    <w:name w:val="Emphasis"/>
    <w:uiPriority w:val="20"/>
    <w:rsid w:val="00FA3E46"/>
    <w:rPr>
      <w:i/>
      <w:iCs/>
    </w:rPr>
  </w:style>
  <w:style w:type="paragraph" w:styleId="ab">
    <w:name w:val="Balloon Text"/>
    <w:basedOn w:val="a"/>
    <w:link w:val="ac"/>
    <w:uiPriority w:val="99"/>
    <w:semiHidden/>
    <w:unhideWhenUsed/>
    <w:rsid w:val="00FA3E46"/>
    <w:pPr>
      <w:spacing w:after="0" w:line="240" w:lineRule="auto"/>
    </w:pPr>
    <w:rPr>
      <w:rFonts w:ascii="Tahoma" w:hAnsi="Tahoma"/>
      <w:sz w:val="16"/>
      <w:szCs w:val="16"/>
    </w:rPr>
  </w:style>
  <w:style w:type="character" w:customStyle="1" w:styleId="ac">
    <w:name w:val="批注框文本 字符"/>
    <w:link w:val="ab"/>
    <w:uiPriority w:val="99"/>
    <w:semiHidden/>
    <w:rsid w:val="00FA3E46"/>
    <w:rPr>
      <w:rFonts w:ascii="Tahoma" w:eastAsia="Calibri" w:hAnsi="Tahoma" w:cs="Tahoma"/>
      <w:sz w:val="16"/>
      <w:szCs w:val="16"/>
    </w:rPr>
  </w:style>
  <w:style w:type="character" w:customStyle="1" w:styleId="30">
    <w:name w:val="标题 3 字符"/>
    <w:link w:val="3"/>
    <w:uiPriority w:val="9"/>
    <w:rsid w:val="00D031E0"/>
    <w:rPr>
      <w:rFonts w:ascii="Times New Roman" w:eastAsia="Times New Roman" w:hAnsi="Times New Roman" w:cs="Times New Roman"/>
      <w:b/>
      <w:bCs/>
      <w:sz w:val="26"/>
      <w:szCs w:val="24"/>
    </w:rPr>
  </w:style>
  <w:style w:type="character" w:customStyle="1" w:styleId="40">
    <w:name w:val="标题 4 字符"/>
    <w:link w:val="4"/>
    <w:uiPriority w:val="9"/>
    <w:rsid w:val="00D031E0"/>
    <w:rPr>
      <w:rFonts w:ascii="Times New Roman" w:eastAsia="Times New Roman" w:hAnsi="Times New Roman" w:cs="Times New Roman"/>
      <w:b/>
      <w:bCs/>
      <w:iCs/>
      <w:sz w:val="26"/>
      <w:szCs w:val="24"/>
    </w:rPr>
  </w:style>
  <w:style w:type="character" w:customStyle="1" w:styleId="50">
    <w:name w:val="标题 5 字符"/>
    <w:link w:val="5"/>
    <w:uiPriority w:val="9"/>
    <w:rsid w:val="00D031E0"/>
    <w:rPr>
      <w:rFonts w:ascii="Times New Roman" w:eastAsia="Times New Roman" w:hAnsi="Times New Roman" w:cs="Times New Roman"/>
      <w:b/>
      <w:bCs/>
      <w:sz w:val="26"/>
      <w:szCs w:val="24"/>
    </w:rPr>
  </w:style>
  <w:style w:type="character" w:customStyle="1" w:styleId="60">
    <w:name w:val="标题 6 字符"/>
    <w:link w:val="6"/>
    <w:uiPriority w:val="9"/>
    <w:rsid w:val="00D031E0"/>
    <w:rPr>
      <w:rFonts w:ascii="Times New Roman" w:eastAsia="Times New Roman" w:hAnsi="Times New Roman" w:cs="Times New Roman"/>
      <w:b/>
      <w:bCs/>
      <w:iCs/>
      <w:sz w:val="26"/>
      <w:szCs w:val="24"/>
    </w:rPr>
  </w:style>
  <w:style w:type="character" w:customStyle="1" w:styleId="70">
    <w:name w:val="标题 7 字符"/>
    <w:link w:val="7"/>
    <w:uiPriority w:val="9"/>
    <w:rsid w:val="00D031E0"/>
    <w:rPr>
      <w:rFonts w:ascii="Times New Roman" w:eastAsia="Times New Roman" w:hAnsi="Times New Roman" w:cs="Times New Roman"/>
      <w:iCs/>
      <w:sz w:val="26"/>
      <w:szCs w:val="24"/>
    </w:rPr>
  </w:style>
  <w:style w:type="character" w:customStyle="1" w:styleId="80">
    <w:name w:val="标题 8 字符"/>
    <w:link w:val="8"/>
    <w:uiPriority w:val="9"/>
    <w:rsid w:val="005B2014"/>
    <w:rPr>
      <w:rFonts w:ascii="Times New Roman" w:eastAsia="Times New Roman" w:hAnsi="Times New Roman" w:cs="Times New Roman"/>
      <w:sz w:val="26"/>
      <w:szCs w:val="20"/>
    </w:rPr>
  </w:style>
  <w:style w:type="character" w:customStyle="1" w:styleId="90">
    <w:name w:val="标题 9 字符"/>
    <w:link w:val="9"/>
    <w:uiPriority w:val="9"/>
    <w:rsid w:val="005B2014"/>
    <w:rPr>
      <w:rFonts w:ascii="Times New Roman" w:eastAsia="Times New Roman" w:hAnsi="Times New Roman" w:cs="Times New Roman"/>
      <w:iCs/>
      <w:sz w:val="26"/>
      <w:szCs w:val="20"/>
    </w:rPr>
  </w:style>
  <w:style w:type="character" w:styleId="ad">
    <w:name w:val="Subtle Emphasis"/>
    <w:uiPriority w:val="19"/>
    <w:rsid w:val="008C232D"/>
    <w:rPr>
      <w:i/>
      <w:iCs/>
      <w:color w:val="808080"/>
    </w:rPr>
  </w:style>
  <w:style w:type="paragraph" w:customStyle="1" w:styleId="Titelklein">
    <w:name w:val="Titel_klein"/>
    <w:next w:val="a"/>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ae">
    <w:name w:val="footer"/>
    <w:basedOn w:val="a"/>
    <w:link w:val="af"/>
    <w:uiPriority w:val="99"/>
    <w:unhideWhenUsed/>
    <w:rsid w:val="008C232D"/>
    <w:pPr>
      <w:tabs>
        <w:tab w:val="center" w:pos="4513"/>
        <w:tab w:val="right" w:pos="9026"/>
      </w:tabs>
      <w:spacing w:after="0" w:line="240" w:lineRule="auto"/>
    </w:pPr>
    <w:rPr>
      <w:sz w:val="26"/>
    </w:rPr>
  </w:style>
  <w:style w:type="character" w:customStyle="1" w:styleId="af">
    <w:name w:val="页脚 字符"/>
    <w:link w:val="ae"/>
    <w:uiPriority w:val="99"/>
    <w:rsid w:val="008C232D"/>
    <w:rPr>
      <w:rFonts w:ascii="Times New Roman" w:eastAsia="Calibri" w:hAnsi="Times New Roman" w:cs="Times New Roman"/>
      <w:sz w:val="26"/>
      <w:szCs w:val="24"/>
    </w:rPr>
  </w:style>
  <w:style w:type="character" w:styleId="af0">
    <w:name w:val="Placeholder Text"/>
    <w:uiPriority w:val="99"/>
    <w:semiHidden/>
    <w:rsid w:val="008C232D"/>
    <w:rPr>
      <w:color w:val="808080"/>
    </w:rPr>
  </w:style>
  <w:style w:type="character" w:styleId="af1">
    <w:name w:val="annotation reference"/>
    <w:uiPriority w:val="99"/>
    <w:semiHidden/>
    <w:unhideWhenUsed/>
    <w:rsid w:val="009832EA"/>
    <w:rPr>
      <w:sz w:val="16"/>
      <w:szCs w:val="16"/>
    </w:rPr>
  </w:style>
  <w:style w:type="paragraph" w:styleId="af2">
    <w:name w:val="annotation text"/>
    <w:basedOn w:val="a"/>
    <w:link w:val="af3"/>
    <w:uiPriority w:val="99"/>
    <w:semiHidden/>
    <w:unhideWhenUsed/>
    <w:rsid w:val="009832EA"/>
    <w:pPr>
      <w:spacing w:line="240" w:lineRule="auto"/>
    </w:pPr>
    <w:rPr>
      <w:sz w:val="20"/>
      <w:szCs w:val="20"/>
    </w:rPr>
  </w:style>
  <w:style w:type="character" w:customStyle="1" w:styleId="af3">
    <w:name w:val="批注文字 字符"/>
    <w:link w:val="af2"/>
    <w:uiPriority w:val="99"/>
    <w:semiHidden/>
    <w:rsid w:val="009832EA"/>
    <w:rPr>
      <w:rFonts w:ascii="Times New Roman" w:eastAsia="Calibri" w:hAnsi="Times New Roman" w:cs="Times New Roman"/>
      <w:sz w:val="20"/>
      <w:szCs w:val="20"/>
    </w:rPr>
  </w:style>
  <w:style w:type="paragraph" w:styleId="af4">
    <w:name w:val="annotation subject"/>
    <w:basedOn w:val="af2"/>
    <w:next w:val="af2"/>
    <w:link w:val="af5"/>
    <w:uiPriority w:val="99"/>
    <w:semiHidden/>
    <w:unhideWhenUsed/>
    <w:rsid w:val="009832EA"/>
    <w:rPr>
      <w:b/>
      <w:bCs/>
    </w:rPr>
  </w:style>
  <w:style w:type="character" w:customStyle="1" w:styleId="af5">
    <w:name w:val="批注主题 字符"/>
    <w:link w:val="af4"/>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a"/>
    <w:rsid w:val="00C20A2A"/>
    <w:pPr>
      <w:jc w:val="left"/>
    </w:pPr>
    <w:rPr>
      <w:szCs w:val="22"/>
    </w:rPr>
  </w:style>
  <w:style w:type="paragraph" w:styleId="TOC3">
    <w:name w:val="toc 3"/>
    <w:basedOn w:val="a"/>
    <w:next w:val="a"/>
    <w:autoRedefine/>
    <w:uiPriority w:val="39"/>
    <w:unhideWhenUsed/>
    <w:rsid w:val="005D059F"/>
    <w:pPr>
      <w:spacing w:after="100"/>
    </w:pPr>
  </w:style>
  <w:style w:type="paragraph" w:styleId="TOC">
    <w:name w:val="TOC Heading"/>
    <w:basedOn w:val="1"/>
    <w:next w:val="a"/>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a"/>
    <w:next w:val="a"/>
    <w:autoRedefine/>
    <w:uiPriority w:val="39"/>
    <w:unhideWhenUsed/>
    <w:rsid w:val="00075A10"/>
    <w:pPr>
      <w:spacing w:before="240" w:after="100"/>
    </w:pPr>
    <w:rPr>
      <w:b/>
    </w:rPr>
  </w:style>
  <w:style w:type="paragraph" w:styleId="TOC2">
    <w:name w:val="toc 2"/>
    <w:basedOn w:val="a"/>
    <w:next w:val="a"/>
    <w:autoRedefine/>
    <w:uiPriority w:val="39"/>
    <w:unhideWhenUsed/>
    <w:rsid w:val="00075A10"/>
    <w:pPr>
      <w:spacing w:after="100"/>
    </w:pPr>
  </w:style>
  <w:style w:type="paragraph" w:styleId="af6">
    <w:name w:val="Bibliography"/>
    <w:basedOn w:val="a"/>
    <w:next w:val="a"/>
    <w:uiPriority w:val="37"/>
    <w:unhideWhenUsed/>
    <w:rsid w:val="00322A64"/>
  </w:style>
  <w:style w:type="paragraph" w:styleId="af7">
    <w:name w:val="caption"/>
    <w:aliases w:val="Abbildungsuntertitel"/>
    <w:basedOn w:val="a"/>
    <w:next w:val="a"/>
    <w:uiPriority w:val="35"/>
    <w:unhideWhenUsed/>
    <w:qFormat/>
    <w:rsid w:val="001B5F18"/>
    <w:pPr>
      <w:spacing w:line="240" w:lineRule="auto"/>
      <w:jc w:val="center"/>
    </w:pPr>
    <w:rPr>
      <w:bCs/>
      <w:sz w:val="20"/>
      <w:szCs w:val="18"/>
    </w:rPr>
  </w:style>
  <w:style w:type="paragraph" w:styleId="af8">
    <w:name w:val="table of figures"/>
    <w:basedOn w:val="a"/>
    <w:next w:val="a"/>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af9">
    <w:name w:val="Normal (Web)"/>
    <w:basedOn w:val="a"/>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a0"/>
    <w:rsid w:val="007033F3"/>
  </w:style>
  <w:style w:type="paragraph" w:styleId="afa">
    <w:name w:val="List Paragraph"/>
    <w:basedOn w:val="a"/>
    <w:uiPriority w:val="34"/>
    <w:qFormat/>
    <w:rsid w:val="00680C71"/>
    <w:pPr>
      <w:spacing w:line="276" w:lineRule="auto"/>
      <w:ind w:left="720"/>
      <w:contextualSpacing/>
      <w:jc w:val="left"/>
    </w:pPr>
    <w:rPr>
      <w:rFonts w:ascii="Calibri" w:hAnsi="Calibri"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377</TotalTime>
  <Pages>5</Pages>
  <Words>2488</Words>
  <Characters>14182</Characters>
  <Application>Microsoft Office Word</Application>
  <DocSecurity>0</DocSecurity>
  <Lines>118</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16637</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Administrator</cp:lastModifiedBy>
  <cp:revision>57</cp:revision>
  <dcterms:created xsi:type="dcterms:W3CDTF">2018-07-29T15:01:00Z</dcterms:created>
  <dcterms:modified xsi:type="dcterms:W3CDTF">2025-04-24T05:08:00Z</dcterms:modified>
</cp:coreProperties>
</file>