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98CB5" w14:textId="05F9E7BC" w:rsidR="00F4787D" w:rsidRDefault="00F4787D" w:rsidP="00F4787D">
      <w:pPr>
        <w:ind w:left="0" w:right="0"/>
        <w:jc w:val="left"/>
        <w:rPr>
          <w:rFonts w:ascii="Times New Roman" w:hAnsi="Times New Roman" w:cs="Times New Roman"/>
          <w:sz w:val="24"/>
          <w:szCs w:val="24"/>
        </w:rPr>
      </w:pPr>
      <w:r>
        <w:rPr>
          <w:rFonts w:ascii="Times New Roman" w:hAnsi="Times New Roman" w:cs="Times New Roman"/>
          <w:sz w:val="24"/>
          <w:szCs w:val="24"/>
        </w:rPr>
        <w:t xml:space="preserve">EFFECT OF NUTRITIONAL STATE ON INFLAMMATION IN </w:t>
      </w:r>
      <w:r w:rsidRPr="004239B9">
        <w:rPr>
          <w:rFonts w:ascii="Times New Roman" w:hAnsi="Times New Roman" w:cs="Times New Roman"/>
          <w:sz w:val="24"/>
          <w:szCs w:val="24"/>
        </w:rPr>
        <w:t>PREGNANT WOMEN</w:t>
      </w:r>
      <w:r>
        <w:rPr>
          <w:rFonts w:ascii="Times New Roman" w:hAnsi="Times New Roman" w:cs="Times New Roman"/>
          <w:sz w:val="24"/>
          <w:szCs w:val="24"/>
        </w:rPr>
        <w:t xml:space="preserve"> INFECTED WITH MALARIA </w:t>
      </w:r>
      <w:r w:rsidRPr="004239B9">
        <w:rPr>
          <w:rFonts w:ascii="Times New Roman" w:hAnsi="Times New Roman" w:cs="Times New Roman"/>
          <w:sz w:val="24"/>
          <w:szCs w:val="24"/>
        </w:rPr>
        <w:t>AT THE YARIMAN BAKURA SPECIALIST HOSPITAL IN GUSAU, ZAMFARA STATE.</w:t>
      </w:r>
    </w:p>
    <w:p w14:paraId="22E7EAE0" w14:textId="77777777" w:rsidR="00F4787D" w:rsidRDefault="00F4787D" w:rsidP="00F4787D">
      <w:pPr>
        <w:rPr>
          <w:rFonts w:ascii="Times New Roman" w:hAnsi="Times New Roman" w:cs="Times New Roman"/>
          <w:b/>
          <w:sz w:val="24"/>
          <w:szCs w:val="24"/>
        </w:rPr>
      </w:pPr>
      <w:r>
        <w:rPr>
          <w:rFonts w:ascii="Times New Roman" w:hAnsi="Times New Roman" w:cs="Times New Roman"/>
          <w:b/>
          <w:sz w:val="24"/>
          <w:szCs w:val="24"/>
        </w:rPr>
        <w:t>Sandra Owoyya Oteh</w:t>
      </w:r>
      <w:r w:rsidRPr="000A3986">
        <w:rPr>
          <w:rFonts w:ascii="Times New Roman" w:hAnsi="Times New Roman" w:cs="Times New Roman"/>
          <w:b/>
          <w:sz w:val="24"/>
          <w:szCs w:val="24"/>
          <w:vertAlign w:val="superscript"/>
        </w:rPr>
        <w:t>1</w:t>
      </w:r>
      <w:r w:rsidRPr="000A3986">
        <w:rPr>
          <w:rFonts w:ascii="Times New Roman" w:hAnsi="Times New Roman" w:cs="Times New Roman"/>
          <w:b/>
          <w:sz w:val="24"/>
          <w:szCs w:val="24"/>
        </w:rPr>
        <w:t>,</w:t>
      </w:r>
      <w:r>
        <w:rPr>
          <w:rFonts w:ascii="Times New Roman" w:hAnsi="Times New Roman" w:cs="Times New Roman"/>
          <w:b/>
          <w:sz w:val="24"/>
          <w:szCs w:val="24"/>
        </w:rPr>
        <w:t xml:space="preserve"> Mohammed Auwal Ibrahim</w:t>
      </w:r>
      <w:r>
        <w:rPr>
          <w:rFonts w:ascii="Times New Roman" w:hAnsi="Times New Roman" w:cs="Times New Roman"/>
          <w:b/>
          <w:sz w:val="24"/>
          <w:szCs w:val="24"/>
          <w:vertAlign w:val="superscript"/>
        </w:rPr>
        <w:t>1</w:t>
      </w:r>
      <w:r>
        <w:rPr>
          <w:rFonts w:ascii="Times New Roman" w:hAnsi="Times New Roman" w:cs="Times New Roman"/>
          <w:b/>
          <w:sz w:val="24"/>
          <w:szCs w:val="24"/>
        </w:rPr>
        <w:t>, Sani Ibrahim</w:t>
      </w:r>
      <w:r w:rsidRPr="004D1283">
        <w:rPr>
          <w:rFonts w:ascii="Times New Roman" w:hAnsi="Times New Roman" w:cs="Times New Roman"/>
          <w:b/>
          <w:sz w:val="24"/>
          <w:szCs w:val="24"/>
          <w:vertAlign w:val="superscript"/>
        </w:rPr>
        <w:t>1</w:t>
      </w:r>
      <w:r>
        <w:rPr>
          <w:rFonts w:ascii="Times New Roman" w:hAnsi="Times New Roman" w:cs="Times New Roman"/>
          <w:b/>
          <w:sz w:val="24"/>
          <w:szCs w:val="24"/>
        </w:rPr>
        <w:t>, Auwal Adamu</w:t>
      </w:r>
      <w:r w:rsidRPr="004D1283">
        <w:rPr>
          <w:rFonts w:ascii="Times New Roman" w:hAnsi="Times New Roman" w:cs="Times New Roman"/>
          <w:b/>
          <w:sz w:val="24"/>
          <w:szCs w:val="24"/>
          <w:vertAlign w:val="superscript"/>
        </w:rPr>
        <w:t>1</w:t>
      </w:r>
      <w:r>
        <w:rPr>
          <w:rFonts w:ascii="Times New Roman" w:hAnsi="Times New Roman" w:cs="Times New Roman"/>
          <w:b/>
          <w:sz w:val="24"/>
          <w:szCs w:val="24"/>
        </w:rPr>
        <w:t>, HarunaAbdullahi1*, and Mohammed Auwal</w:t>
      </w:r>
      <w:r w:rsidRPr="000A3986">
        <w:rPr>
          <w:rFonts w:ascii="Times New Roman" w:hAnsi="Times New Roman" w:cs="Times New Roman"/>
          <w:b/>
          <w:sz w:val="24"/>
          <w:szCs w:val="24"/>
        </w:rPr>
        <w:t xml:space="preserve"> </w:t>
      </w:r>
      <w:r>
        <w:rPr>
          <w:rFonts w:ascii="Times New Roman" w:hAnsi="Times New Roman" w:cs="Times New Roman"/>
          <w:b/>
          <w:sz w:val="24"/>
          <w:szCs w:val="24"/>
        </w:rPr>
        <w:t>Saliu</w:t>
      </w:r>
      <w:r w:rsidRPr="004D12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p>
    <w:p w14:paraId="362A552A" w14:textId="11EAB61B" w:rsidR="00F4787D" w:rsidRDefault="00F4787D" w:rsidP="00F4787D">
      <w:pPr>
        <w:rPr>
          <w:rFonts w:ascii="Times New Roman" w:hAnsi="Times New Roman" w:cs="Times New Roman"/>
          <w:b/>
          <w:sz w:val="24"/>
          <w:szCs w:val="24"/>
        </w:rPr>
      </w:pPr>
      <w:r w:rsidRPr="000A3986">
        <w:rPr>
          <w:rFonts w:ascii="Times New Roman" w:hAnsi="Times New Roman" w:cs="Times New Roman"/>
          <w:b/>
          <w:sz w:val="24"/>
          <w:szCs w:val="24"/>
          <w:vertAlign w:val="superscript"/>
        </w:rPr>
        <w:t>1</w:t>
      </w:r>
      <w:r w:rsidRPr="000A3986">
        <w:rPr>
          <w:rFonts w:ascii="Times New Roman" w:hAnsi="Times New Roman" w:cs="Times New Roman"/>
          <w:b/>
          <w:sz w:val="24"/>
          <w:szCs w:val="24"/>
        </w:rPr>
        <w:t>Department of Biochemistry, Ahmedu Bello University, Zaria, Nigeria</w:t>
      </w:r>
    </w:p>
    <w:p w14:paraId="1111F22B" w14:textId="77777777" w:rsidR="00F4787D" w:rsidRPr="00C3581F" w:rsidRDefault="00F4787D" w:rsidP="00F4787D">
      <w:pPr>
        <w:rPr>
          <w:rFonts w:ascii="Times New Roman" w:hAnsi="Times New Roman" w:cs="Times New Roman"/>
          <w:b/>
          <w:sz w:val="24"/>
          <w:szCs w:val="24"/>
        </w:rPr>
      </w:pPr>
      <w:r w:rsidRPr="000A3986">
        <w:rPr>
          <w:rFonts w:ascii="Times New Roman" w:hAnsi="Times New Roman" w:cs="Times New Roman"/>
          <w:b/>
          <w:sz w:val="24"/>
          <w:szCs w:val="24"/>
        </w:rPr>
        <w:t xml:space="preserve"> *Corresponding Author: Email: get2haruna@gmail.com</w:t>
      </w:r>
    </w:p>
    <w:p w14:paraId="78842127" w14:textId="77777777" w:rsidR="00F4787D" w:rsidRPr="004239B9" w:rsidRDefault="00F4787D" w:rsidP="00F4787D">
      <w:pPr>
        <w:ind w:left="0" w:right="0"/>
        <w:rPr>
          <w:rFonts w:ascii="Times New Roman" w:hAnsi="Times New Roman" w:cs="Times New Roman"/>
          <w:b/>
          <w:sz w:val="24"/>
          <w:szCs w:val="24"/>
        </w:rPr>
      </w:pPr>
      <w:r w:rsidRPr="004239B9">
        <w:rPr>
          <w:rFonts w:ascii="Times New Roman" w:hAnsi="Times New Roman" w:cs="Times New Roman"/>
          <w:b/>
          <w:sz w:val="24"/>
          <w:szCs w:val="24"/>
        </w:rPr>
        <w:t>ABSTRACT</w:t>
      </w:r>
    </w:p>
    <w:p w14:paraId="7FF8C495" w14:textId="205E972A" w:rsidR="00F4787D" w:rsidRPr="004239B9" w:rsidRDefault="00F4787D" w:rsidP="00F4787D">
      <w:pPr>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shd w:val="clear" w:color="auto" w:fill="FFFFFF"/>
        </w:rPr>
        <w:t xml:space="preserve">Inflammation is a part of the body's defense mechanism in which the immune system recognizes and removes harmful and foreign stimuli and initiates the healing process. </w:t>
      </w:r>
      <w:r w:rsidRPr="004239B9">
        <w:rPr>
          <w:rFonts w:ascii="Times New Roman" w:hAnsi="Times New Roman" w:cs="Times New Roman"/>
          <w:sz w:val="24"/>
          <w:szCs w:val="24"/>
        </w:rPr>
        <w:t>Populations residing in malaria-endemic areas generally live under low socioeconomic conditions, leading to poor nutritional status.</w:t>
      </w:r>
      <w:r w:rsidRPr="004239B9">
        <w:rPr>
          <w:rFonts w:ascii="Times New Roman" w:hAnsi="Times New Roman" w:cs="Times New Roman"/>
          <w:sz w:val="24"/>
          <w:szCs w:val="24"/>
          <w:shd w:val="clear" w:color="auto" w:fill="FFFFFF"/>
        </w:rPr>
        <w:t xml:space="preserve"> The aim of this study was to assess </w:t>
      </w:r>
      <w:r w:rsidRPr="004239B9">
        <w:rPr>
          <w:rFonts w:ascii="Times New Roman" w:hAnsi="Times New Roman" w:cs="Times New Roman"/>
          <w:sz w:val="24"/>
          <w:szCs w:val="24"/>
        </w:rPr>
        <w:t>the nutritional status of inf</w:t>
      </w:r>
      <w:r>
        <w:rPr>
          <w:rFonts w:ascii="Times New Roman" w:hAnsi="Times New Roman" w:cs="Times New Roman"/>
          <w:sz w:val="24"/>
          <w:szCs w:val="24"/>
        </w:rPr>
        <w:t>lammatory and malaria-infected</w:t>
      </w:r>
      <w:r w:rsidRPr="004239B9">
        <w:rPr>
          <w:rFonts w:ascii="Times New Roman" w:hAnsi="Times New Roman" w:cs="Times New Roman"/>
          <w:sz w:val="24"/>
          <w:szCs w:val="24"/>
        </w:rPr>
        <w:t xml:space="preserve"> pregnant women who were receiving antenatal care </w:t>
      </w:r>
      <w:r>
        <w:rPr>
          <w:rFonts w:ascii="Times New Roman" w:hAnsi="Times New Roman" w:cs="Times New Roman"/>
          <w:sz w:val="24"/>
          <w:szCs w:val="24"/>
        </w:rPr>
        <w:t>at the Y</w:t>
      </w:r>
      <w:r w:rsidRPr="004239B9">
        <w:rPr>
          <w:rFonts w:ascii="Times New Roman" w:hAnsi="Times New Roman" w:cs="Times New Roman"/>
          <w:sz w:val="24"/>
          <w:szCs w:val="24"/>
        </w:rPr>
        <w:t xml:space="preserve">ariman </w:t>
      </w:r>
      <w:r>
        <w:rPr>
          <w:rFonts w:ascii="Times New Roman" w:hAnsi="Times New Roman" w:cs="Times New Roman"/>
          <w:sz w:val="24"/>
          <w:szCs w:val="24"/>
        </w:rPr>
        <w:t>Bakura specialist Hospital in Gusau, Zamfara S</w:t>
      </w:r>
      <w:r w:rsidRPr="004239B9">
        <w:rPr>
          <w:rFonts w:ascii="Times New Roman" w:hAnsi="Times New Roman" w:cs="Times New Roman"/>
          <w:sz w:val="24"/>
          <w:szCs w:val="24"/>
        </w:rPr>
        <w:t>tate.</w:t>
      </w:r>
      <w:r>
        <w:rPr>
          <w:rFonts w:ascii="Times New Roman" w:hAnsi="Times New Roman" w:cs="Times New Roman"/>
          <w:sz w:val="24"/>
          <w:szCs w:val="24"/>
        </w:rPr>
        <w:t xml:space="preserve"> </w:t>
      </w:r>
      <w:r w:rsidRPr="004239B9">
        <w:rPr>
          <w:rFonts w:ascii="Times New Roman" w:hAnsi="Times New Roman" w:cs="Times New Roman"/>
          <w:sz w:val="24"/>
          <w:szCs w:val="24"/>
        </w:rPr>
        <w:t xml:space="preserve">Blood samples were collected to check the </w:t>
      </w:r>
      <w:r>
        <w:rPr>
          <w:rFonts w:ascii="Times New Roman" w:hAnsi="Times New Roman" w:cs="Times New Roman"/>
          <w:sz w:val="24"/>
          <w:szCs w:val="24"/>
        </w:rPr>
        <w:t>packed cell volume (</w:t>
      </w:r>
      <w:r w:rsidRPr="004239B9">
        <w:rPr>
          <w:rFonts w:ascii="Times New Roman" w:hAnsi="Times New Roman" w:cs="Times New Roman"/>
          <w:sz w:val="24"/>
          <w:szCs w:val="24"/>
        </w:rPr>
        <w:t>PCV</w:t>
      </w:r>
      <w:r>
        <w:rPr>
          <w:rFonts w:ascii="Times New Roman" w:hAnsi="Times New Roman" w:cs="Times New Roman"/>
          <w:sz w:val="24"/>
          <w:szCs w:val="24"/>
        </w:rPr>
        <w:t>)</w:t>
      </w:r>
      <w:r w:rsidRPr="004239B9">
        <w:rPr>
          <w:rFonts w:ascii="Times New Roman" w:hAnsi="Times New Roman" w:cs="Times New Roman"/>
          <w:sz w:val="24"/>
          <w:szCs w:val="24"/>
        </w:rPr>
        <w:t xml:space="preserve"> level, and malaria status was analyzed </w:t>
      </w:r>
      <w:r>
        <w:rPr>
          <w:rFonts w:ascii="Times New Roman" w:hAnsi="Times New Roman" w:cs="Times New Roman"/>
          <w:sz w:val="24"/>
          <w:szCs w:val="24"/>
        </w:rPr>
        <w:t xml:space="preserve">using </w:t>
      </w:r>
      <w:r w:rsidRPr="004239B9">
        <w:rPr>
          <w:rFonts w:ascii="Times New Roman" w:hAnsi="Times New Roman" w:cs="Times New Roman"/>
          <w:sz w:val="24"/>
          <w:szCs w:val="24"/>
        </w:rPr>
        <w:t>microscop</w:t>
      </w:r>
      <w:r>
        <w:rPr>
          <w:rFonts w:ascii="Times New Roman" w:hAnsi="Times New Roman" w:cs="Times New Roman"/>
          <w:sz w:val="24"/>
          <w:szCs w:val="24"/>
        </w:rPr>
        <w:t>y</w:t>
      </w:r>
      <w:r w:rsidRPr="004239B9">
        <w:rPr>
          <w:rFonts w:ascii="Times New Roman" w:hAnsi="Times New Roman" w:cs="Times New Roman"/>
          <w:sz w:val="24"/>
          <w:szCs w:val="24"/>
        </w:rPr>
        <w:t xml:space="preserve">. </w:t>
      </w:r>
      <w:r>
        <w:rPr>
          <w:rFonts w:ascii="Times New Roman" w:hAnsi="Times New Roman" w:cs="Times New Roman"/>
          <w:sz w:val="24"/>
          <w:szCs w:val="24"/>
        </w:rPr>
        <w:t>(</w:t>
      </w:r>
      <w:r w:rsidRPr="004239B9">
        <w:rPr>
          <w:rFonts w:ascii="Times New Roman" w:hAnsi="Times New Roman" w:cs="Times New Roman"/>
          <w:sz w:val="24"/>
          <w:szCs w:val="24"/>
        </w:rPr>
        <w:t>82.9%</w:t>
      </w:r>
      <w:r>
        <w:rPr>
          <w:rFonts w:ascii="Times New Roman" w:hAnsi="Times New Roman" w:cs="Times New Roman"/>
          <w:sz w:val="24"/>
          <w:szCs w:val="24"/>
        </w:rPr>
        <w:t>)</w:t>
      </w:r>
      <w:r w:rsidRPr="004239B9">
        <w:rPr>
          <w:rFonts w:ascii="Times New Roman" w:hAnsi="Times New Roman" w:cs="Times New Roman"/>
          <w:sz w:val="24"/>
          <w:szCs w:val="24"/>
        </w:rPr>
        <w:t xml:space="preserve"> women fell under the category of "Normal" </w:t>
      </w:r>
      <w:r>
        <w:rPr>
          <w:rFonts w:ascii="Times New Roman" w:hAnsi="Times New Roman" w:cs="Times New Roman"/>
          <w:sz w:val="24"/>
          <w:szCs w:val="24"/>
        </w:rPr>
        <w:t>mid upper arm circumference (</w:t>
      </w:r>
      <w:r w:rsidRPr="004239B9">
        <w:rPr>
          <w:rFonts w:ascii="Times New Roman" w:hAnsi="Times New Roman" w:cs="Times New Roman"/>
          <w:sz w:val="24"/>
          <w:szCs w:val="24"/>
        </w:rPr>
        <w:t>MUAC</w:t>
      </w:r>
      <w:r>
        <w:rPr>
          <w:rFonts w:ascii="Times New Roman" w:hAnsi="Times New Roman" w:cs="Times New Roman"/>
          <w:sz w:val="24"/>
          <w:szCs w:val="24"/>
        </w:rPr>
        <w:t>)</w:t>
      </w:r>
      <w:r w:rsidRPr="004239B9">
        <w:rPr>
          <w:rFonts w:ascii="Times New Roman" w:hAnsi="Times New Roman" w:cs="Times New Roman"/>
          <w:sz w:val="24"/>
          <w:szCs w:val="24"/>
        </w:rPr>
        <w:t xml:space="preserve"> measurements, </w:t>
      </w:r>
      <w:r>
        <w:rPr>
          <w:rFonts w:ascii="Times New Roman" w:hAnsi="Times New Roman" w:cs="Times New Roman"/>
          <w:sz w:val="24"/>
          <w:szCs w:val="24"/>
        </w:rPr>
        <w:t>and (17.2</w:t>
      </w:r>
      <w:r w:rsidRPr="004239B9">
        <w:rPr>
          <w:rFonts w:ascii="Times New Roman" w:hAnsi="Times New Roman" w:cs="Times New Roman"/>
          <w:sz w:val="24"/>
          <w:szCs w:val="24"/>
        </w:rPr>
        <w:t>%</w:t>
      </w:r>
      <w:r>
        <w:rPr>
          <w:rFonts w:ascii="Times New Roman" w:hAnsi="Times New Roman" w:cs="Times New Roman"/>
          <w:sz w:val="24"/>
          <w:szCs w:val="24"/>
        </w:rPr>
        <w:t>)</w:t>
      </w:r>
      <w:r w:rsidRPr="004239B9">
        <w:rPr>
          <w:rFonts w:ascii="Times New Roman" w:hAnsi="Times New Roman" w:cs="Times New Roman"/>
          <w:sz w:val="24"/>
          <w:szCs w:val="24"/>
        </w:rPr>
        <w:t xml:space="preserve"> categorized </w:t>
      </w:r>
      <w:r>
        <w:rPr>
          <w:rFonts w:ascii="Times New Roman" w:hAnsi="Times New Roman" w:cs="Times New Roman"/>
          <w:sz w:val="24"/>
          <w:szCs w:val="24"/>
        </w:rPr>
        <w:t xml:space="preserve">as </w:t>
      </w:r>
      <w:r w:rsidRPr="004239B9">
        <w:rPr>
          <w:rFonts w:ascii="Times New Roman" w:hAnsi="Times New Roman" w:cs="Times New Roman"/>
          <w:sz w:val="24"/>
          <w:szCs w:val="24"/>
        </w:rPr>
        <w:t xml:space="preserve">"Severe Malnourishment. The antenatal clinic had a </w:t>
      </w:r>
      <w:r>
        <w:rPr>
          <w:rFonts w:ascii="Times New Roman" w:hAnsi="Times New Roman" w:cs="Times New Roman"/>
          <w:sz w:val="24"/>
          <w:szCs w:val="24"/>
        </w:rPr>
        <w:t>(</w:t>
      </w:r>
      <w:r w:rsidRPr="004239B9">
        <w:rPr>
          <w:rFonts w:ascii="Times New Roman" w:hAnsi="Times New Roman" w:cs="Times New Roman"/>
          <w:sz w:val="24"/>
          <w:szCs w:val="24"/>
        </w:rPr>
        <w:t>23%</w:t>
      </w:r>
      <w:r>
        <w:rPr>
          <w:rFonts w:ascii="Times New Roman" w:hAnsi="Times New Roman" w:cs="Times New Roman"/>
          <w:sz w:val="24"/>
          <w:szCs w:val="24"/>
        </w:rPr>
        <w:t>)</w:t>
      </w:r>
      <w:r w:rsidRPr="004239B9">
        <w:rPr>
          <w:rFonts w:ascii="Times New Roman" w:hAnsi="Times New Roman" w:cs="Times New Roman"/>
          <w:sz w:val="24"/>
          <w:szCs w:val="24"/>
        </w:rPr>
        <w:t xml:space="preserve"> prevalence of malaria.</w:t>
      </w:r>
      <w:r>
        <w:rPr>
          <w:rFonts w:ascii="Times New Roman" w:hAnsi="Times New Roman" w:cs="Times New Roman"/>
          <w:sz w:val="24"/>
          <w:szCs w:val="24"/>
        </w:rPr>
        <w:t xml:space="preserve"> (54.3%)</w:t>
      </w:r>
      <w:r w:rsidRPr="004239B9">
        <w:rPr>
          <w:rFonts w:ascii="Times New Roman" w:hAnsi="Times New Roman" w:cs="Times New Roman"/>
          <w:sz w:val="24"/>
          <w:szCs w:val="24"/>
        </w:rPr>
        <w:t xml:space="preserve"> </w:t>
      </w:r>
      <w:r>
        <w:rPr>
          <w:rFonts w:ascii="Times New Roman" w:hAnsi="Times New Roman" w:cs="Times New Roman"/>
          <w:sz w:val="24"/>
          <w:szCs w:val="24"/>
        </w:rPr>
        <w:t>packed cell volume (</w:t>
      </w:r>
      <w:r w:rsidRPr="004239B9">
        <w:rPr>
          <w:rFonts w:ascii="Times New Roman" w:hAnsi="Times New Roman" w:cs="Times New Roman"/>
          <w:sz w:val="24"/>
          <w:szCs w:val="24"/>
        </w:rPr>
        <w:t>PCV</w:t>
      </w:r>
      <w:r>
        <w:rPr>
          <w:rFonts w:ascii="Times New Roman" w:hAnsi="Times New Roman" w:cs="Times New Roman"/>
          <w:sz w:val="24"/>
          <w:szCs w:val="24"/>
        </w:rPr>
        <w:t xml:space="preserve">) and (37.1%) hemoglobin (Hb) levels reported. </w:t>
      </w:r>
      <w:r w:rsidRPr="004239B9">
        <w:rPr>
          <w:rFonts w:ascii="Times New Roman" w:hAnsi="Times New Roman" w:cs="Times New Roman"/>
          <w:sz w:val="24"/>
          <w:szCs w:val="24"/>
        </w:rPr>
        <w:t xml:space="preserve">High </w:t>
      </w:r>
      <w:r>
        <w:rPr>
          <w:rFonts w:ascii="Times New Roman" w:hAnsi="Times New Roman" w:cs="Times New Roman"/>
          <w:sz w:val="24"/>
          <w:szCs w:val="24"/>
        </w:rPr>
        <w:t>plasmodium lactate dehydrogenase (</w:t>
      </w:r>
      <w:r w:rsidRPr="004239B9">
        <w:rPr>
          <w:rFonts w:ascii="Times New Roman" w:hAnsi="Times New Roman" w:cs="Times New Roman"/>
          <w:sz w:val="24"/>
          <w:szCs w:val="24"/>
        </w:rPr>
        <w:t>pLDH</w:t>
      </w:r>
      <w:r>
        <w:rPr>
          <w:rFonts w:ascii="Times New Roman" w:hAnsi="Times New Roman" w:cs="Times New Roman"/>
          <w:sz w:val="24"/>
          <w:szCs w:val="24"/>
        </w:rPr>
        <w:t>)</w:t>
      </w:r>
      <w:r w:rsidRPr="004239B9">
        <w:rPr>
          <w:rFonts w:ascii="Times New Roman" w:hAnsi="Times New Roman" w:cs="Times New Roman"/>
          <w:sz w:val="24"/>
          <w:szCs w:val="24"/>
        </w:rPr>
        <w:t xml:space="preserve"> levels were observed in </w:t>
      </w:r>
      <w:r>
        <w:rPr>
          <w:rFonts w:ascii="Times New Roman" w:hAnsi="Times New Roman" w:cs="Times New Roman"/>
          <w:sz w:val="24"/>
          <w:szCs w:val="24"/>
        </w:rPr>
        <w:t>(</w:t>
      </w:r>
      <w:r w:rsidRPr="004239B9">
        <w:rPr>
          <w:rFonts w:ascii="Times New Roman" w:hAnsi="Times New Roman" w:cs="Times New Roman"/>
          <w:sz w:val="24"/>
          <w:szCs w:val="24"/>
        </w:rPr>
        <w:t>71.4%</w:t>
      </w:r>
      <w:r>
        <w:rPr>
          <w:rFonts w:ascii="Times New Roman" w:hAnsi="Times New Roman" w:cs="Times New Roman"/>
          <w:sz w:val="24"/>
          <w:szCs w:val="24"/>
        </w:rPr>
        <w:t>)</w:t>
      </w:r>
      <w:r w:rsidRPr="004239B9">
        <w:rPr>
          <w:rFonts w:ascii="Times New Roman" w:hAnsi="Times New Roman" w:cs="Times New Roman"/>
          <w:sz w:val="24"/>
          <w:szCs w:val="24"/>
        </w:rPr>
        <w:t>, (n= 39), whereas minor to elevated C</w:t>
      </w:r>
      <w:r>
        <w:rPr>
          <w:rFonts w:ascii="Times New Roman" w:hAnsi="Times New Roman" w:cs="Times New Roman"/>
          <w:sz w:val="24"/>
          <w:szCs w:val="24"/>
        </w:rPr>
        <w:t xml:space="preserve"> - reactive protein</w:t>
      </w:r>
      <w:r w:rsidRPr="004239B9">
        <w:rPr>
          <w:rFonts w:ascii="Times New Roman" w:hAnsi="Times New Roman" w:cs="Times New Roman"/>
          <w:sz w:val="24"/>
          <w:szCs w:val="24"/>
        </w:rPr>
        <w:t xml:space="preserve"> levels were observed in </w:t>
      </w:r>
      <w:r>
        <w:rPr>
          <w:rFonts w:ascii="Times New Roman" w:hAnsi="Times New Roman" w:cs="Times New Roman"/>
          <w:sz w:val="24"/>
          <w:szCs w:val="24"/>
        </w:rPr>
        <w:t>(</w:t>
      </w:r>
      <w:r w:rsidRPr="004239B9">
        <w:rPr>
          <w:rFonts w:ascii="Times New Roman" w:hAnsi="Times New Roman" w:cs="Times New Roman"/>
          <w:sz w:val="24"/>
          <w:szCs w:val="24"/>
        </w:rPr>
        <w:t>81.5%</w:t>
      </w:r>
      <w:r>
        <w:rPr>
          <w:rFonts w:ascii="Times New Roman" w:hAnsi="Times New Roman" w:cs="Times New Roman"/>
          <w:sz w:val="24"/>
          <w:szCs w:val="24"/>
        </w:rPr>
        <w:t>)</w:t>
      </w:r>
      <w:r w:rsidRPr="004239B9">
        <w:rPr>
          <w:rFonts w:ascii="Times New Roman" w:hAnsi="Times New Roman" w:cs="Times New Roman"/>
          <w:sz w:val="24"/>
          <w:szCs w:val="24"/>
        </w:rPr>
        <w:t xml:space="preserve"> (n=49). There was no statistical significance between </w:t>
      </w:r>
      <w:r>
        <w:rPr>
          <w:rFonts w:ascii="Times New Roman" w:hAnsi="Times New Roman" w:cs="Times New Roman"/>
          <w:sz w:val="24"/>
          <w:szCs w:val="24"/>
        </w:rPr>
        <w:t>plasmodium lactate dehydrogenase (</w:t>
      </w:r>
      <w:r w:rsidRPr="004239B9">
        <w:rPr>
          <w:rFonts w:ascii="Times New Roman" w:hAnsi="Times New Roman" w:cs="Times New Roman"/>
          <w:sz w:val="24"/>
          <w:szCs w:val="24"/>
        </w:rPr>
        <w:t>PLDH</w:t>
      </w:r>
      <w:r>
        <w:rPr>
          <w:rFonts w:ascii="Times New Roman" w:hAnsi="Times New Roman" w:cs="Times New Roman"/>
          <w:sz w:val="24"/>
          <w:szCs w:val="24"/>
        </w:rPr>
        <w:t>)</w:t>
      </w:r>
      <w:r w:rsidRPr="004239B9">
        <w:rPr>
          <w:rFonts w:ascii="Times New Roman" w:hAnsi="Times New Roman" w:cs="Times New Roman"/>
          <w:sz w:val="24"/>
          <w:szCs w:val="24"/>
        </w:rPr>
        <w:t xml:space="preserve"> and dietary diversity; however, C</w:t>
      </w:r>
      <w:r>
        <w:rPr>
          <w:rFonts w:ascii="Times New Roman" w:hAnsi="Times New Roman" w:cs="Times New Roman"/>
          <w:sz w:val="24"/>
          <w:szCs w:val="24"/>
        </w:rPr>
        <w:t>-reactive protein</w:t>
      </w:r>
      <w:r w:rsidRPr="004239B9">
        <w:rPr>
          <w:rFonts w:ascii="Times New Roman" w:hAnsi="Times New Roman" w:cs="Times New Roman"/>
          <w:sz w:val="24"/>
          <w:szCs w:val="24"/>
        </w:rPr>
        <w:t xml:space="preserve"> showed statistical significance with </w:t>
      </w:r>
      <w:r>
        <w:rPr>
          <w:rFonts w:ascii="Times New Roman" w:hAnsi="Times New Roman" w:cs="Times New Roman"/>
          <w:sz w:val="24"/>
          <w:szCs w:val="24"/>
        </w:rPr>
        <w:t>mid-upper arm circumference</w:t>
      </w:r>
      <w:r w:rsidRPr="004239B9">
        <w:rPr>
          <w:rFonts w:ascii="Times New Roman" w:hAnsi="Times New Roman" w:cs="Times New Roman"/>
          <w:sz w:val="24"/>
          <w:szCs w:val="24"/>
        </w:rPr>
        <w:t xml:space="preserve"> </w:t>
      </w:r>
      <w:r>
        <w:rPr>
          <w:rFonts w:ascii="Times New Roman" w:hAnsi="Times New Roman" w:cs="Times New Roman"/>
          <w:sz w:val="24"/>
          <w:szCs w:val="24"/>
        </w:rPr>
        <w:t>(</w:t>
      </w:r>
      <w:r w:rsidRPr="004239B9">
        <w:rPr>
          <w:rFonts w:ascii="Times New Roman" w:hAnsi="Times New Roman" w:cs="Times New Roman"/>
          <w:sz w:val="24"/>
          <w:szCs w:val="24"/>
        </w:rPr>
        <w:t>MUAC</w:t>
      </w:r>
      <w:r>
        <w:rPr>
          <w:rFonts w:ascii="Times New Roman" w:hAnsi="Times New Roman" w:cs="Times New Roman"/>
          <w:sz w:val="24"/>
          <w:szCs w:val="24"/>
        </w:rPr>
        <w:t>)</w:t>
      </w:r>
      <w:r w:rsidRPr="004239B9">
        <w:rPr>
          <w:rFonts w:ascii="Times New Roman" w:hAnsi="Times New Roman" w:cs="Times New Roman"/>
          <w:sz w:val="24"/>
          <w:szCs w:val="24"/>
        </w:rPr>
        <w:t xml:space="preserve">, </w:t>
      </w:r>
      <w:r>
        <w:rPr>
          <w:rFonts w:ascii="Times New Roman" w:hAnsi="Times New Roman" w:cs="Times New Roman"/>
          <w:sz w:val="24"/>
          <w:szCs w:val="24"/>
        </w:rPr>
        <w:t>packed cell volume (</w:t>
      </w:r>
      <w:r w:rsidRPr="004239B9">
        <w:rPr>
          <w:rFonts w:ascii="Times New Roman" w:hAnsi="Times New Roman" w:cs="Times New Roman"/>
          <w:sz w:val="24"/>
          <w:szCs w:val="24"/>
        </w:rPr>
        <w:t>PCV</w:t>
      </w:r>
      <w:r>
        <w:rPr>
          <w:rFonts w:ascii="Times New Roman" w:hAnsi="Times New Roman" w:cs="Times New Roman"/>
          <w:sz w:val="24"/>
          <w:szCs w:val="24"/>
        </w:rPr>
        <w:t>)</w:t>
      </w:r>
      <w:r w:rsidRPr="004239B9">
        <w:rPr>
          <w:rFonts w:ascii="Times New Roman" w:hAnsi="Times New Roman" w:cs="Times New Roman"/>
          <w:sz w:val="24"/>
          <w:szCs w:val="24"/>
        </w:rPr>
        <w:t xml:space="preserve"> and </w:t>
      </w:r>
      <w:r>
        <w:rPr>
          <w:rFonts w:ascii="Times New Roman" w:hAnsi="Times New Roman" w:cs="Times New Roman"/>
          <w:sz w:val="24"/>
          <w:szCs w:val="24"/>
        </w:rPr>
        <w:t>plasmodium lactate dehydrogenase (</w:t>
      </w:r>
      <w:r w:rsidRPr="004239B9">
        <w:rPr>
          <w:rFonts w:ascii="Times New Roman" w:hAnsi="Times New Roman" w:cs="Times New Roman"/>
          <w:sz w:val="24"/>
          <w:szCs w:val="24"/>
        </w:rPr>
        <w:t>PLDH</w:t>
      </w:r>
      <w:r>
        <w:rPr>
          <w:rFonts w:ascii="Times New Roman" w:hAnsi="Times New Roman" w:cs="Times New Roman"/>
          <w:sz w:val="24"/>
          <w:szCs w:val="24"/>
        </w:rPr>
        <w:t>)</w:t>
      </w:r>
      <w:r w:rsidRPr="004239B9">
        <w:rPr>
          <w:rFonts w:ascii="Times New Roman" w:hAnsi="Times New Roman" w:cs="Times New Roman"/>
          <w:sz w:val="24"/>
          <w:szCs w:val="24"/>
        </w:rPr>
        <w:t xml:space="preserve">, (p= 0.042, </w:t>
      </w:r>
      <w:r w:rsidRPr="004239B9">
        <w:rPr>
          <w:rFonts w:ascii="Times New Roman" w:hAnsi="Times New Roman" w:cs="Times New Roman"/>
          <w:sz w:val="24"/>
          <w:szCs w:val="24"/>
        </w:rPr>
        <w:lastRenderedPageBreak/>
        <w:t xml:space="preserve">0.001 and 0.011 respectively). </w:t>
      </w:r>
      <w:r>
        <w:rPr>
          <w:rFonts w:ascii="Times New Roman" w:hAnsi="Times New Roman" w:cs="Times New Roman"/>
          <w:sz w:val="24"/>
          <w:szCs w:val="24"/>
        </w:rPr>
        <w:t>This study revealed that poor nutritional status, hemoglobin levels, and packed cell volume (PCV) levels affect inflammation in pregnant women infected with malaria. Therefore, u</w:t>
      </w:r>
      <w:r w:rsidRPr="004239B9">
        <w:rPr>
          <w:rFonts w:ascii="Times New Roman" w:hAnsi="Times New Roman" w:cs="Times New Roman"/>
          <w:sz w:val="24"/>
          <w:szCs w:val="24"/>
        </w:rPr>
        <w:t xml:space="preserve">rgent nutritional interventions and medical attention </w:t>
      </w:r>
      <w:r>
        <w:rPr>
          <w:rFonts w:ascii="Times New Roman" w:hAnsi="Times New Roman" w:cs="Times New Roman"/>
          <w:sz w:val="24"/>
          <w:szCs w:val="24"/>
        </w:rPr>
        <w:t>are needed</w:t>
      </w:r>
      <w:r w:rsidRPr="004239B9">
        <w:rPr>
          <w:rFonts w:ascii="Times New Roman" w:hAnsi="Times New Roman" w:cs="Times New Roman"/>
          <w:sz w:val="24"/>
          <w:szCs w:val="24"/>
        </w:rPr>
        <w:t xml:space="preserve"> for such individuals.</w:t>
      </w:r>
    </w:p>
    <w:p w14:paraId="059A8C3B" w14:textId="77777777" w:rsidR="00F4787D" w:rsidRPr="004239B9" w:rsidRDefault="00F4787D" w:rsidP="00F4787D">
      <w:pPr>
        <w:tabs>
          <w:tab w:val="left" w:pos="1260"/>
        </w:tabs>
        <w:ind w:left="0" w:right="0"/>
        <w:rPr>
          <w:rFonts w:ascii="Times New Roman" w:hAnsi="Times New Roman" w:cs="Times New Roman"/>
          <w:sz w:val="24"/>
          <w:szCs w:val="24"/>
        </w:rPr>
      </w:pPr>
      <w:r>
        <w:rPr>
          <w:rFonts w:ascii="Times New Roman" w:hAnsi="Times New Roman" w:cs="Times New Roman"/>
          <w:sz w:val="24"/>
          <w:szCs w:val="24"/>
        </w:rPr>
        <w:tab/>
      </w:r>
    </w:p>
    <w:p w14:paraId="15026FE7" w14:textId="67D9F23C" w:rsidR="00F4787D" w:rsidRPr="004239B9" w:rsidRDefault="00F4787D" w:rsidP="00F4787D">
      <w:pPr>
        <w:ind w:left="0" w:right="0"/>
        <w:rPr>
          <w:rFonts w:ascii="Times New Roman" w:hAnsi="Times New Roman" w:cs="Times New Roman"/>
          <w:sz w:val="24"/>
          <w:szCs w:val="24"/>
        </w:rPr>
      </w:pPr>
      <w:r w:rsidRPr="004239B9">
        <w:rPr>
          <w:rFonts w:ascii="Times New Roman" w:hAnsi="Times New Roman" w:cs="Times New Roman"/>
          <w:sz w:val="24"/>
          <w:szCs w:val="24"/>
        </w:rPr>
        <w:t xml:space="preserve">Key Words: </w:t>
      </w:r>
      <w:r>
        <w:rPr>
          <w:rFonts w:ascii="Times New Roman" w:hAnsi="Times New Roman" w:cs="Times New Roman"/>
          <w:sz w:val="24"/>
          <w:szCs w:val="24"/>
        </w:rPr>
        <w:t>Malaria status, Plasmodium lactate dehydrogenase, packed cell volume, hemoglobin, mid-upper arm circumference, C-reactive protein</w:t>
      </w:r>
    </w:p>
    <w:p w14:paraId="198BBACD" w14:textId="77777777" w:rsidR="00F4787D" w:rsidRPr="004239B9" w:rsidRDefault="00F4787D" w:rsidP="00F4787D">
      <w:pPr>
        <w:tabs>
          <w:tab w:val="left" w:pos="2190"/>
        </w:tabs>
        <w:ind w:left="0" w:right="0"/>
        <w:rPr>
          <w:rFonts w:ascii="Times New Roman" w:hAnsi="Times New Roman" w:cs="Times New Roman"/>
          <w:sz w:val="24"/>
          <w:szCs w:val="24"/>
        </w:rPr>
      </w:pPr>
      <w:r w:rsidRPr="004239B9">
        <w:rPr>
          <w:rFonts w:ascii="Times New Roman" w:hAnsi="Times New Roman" w:cs="Times New Roman"/>
          <w:sz w:val="24"/>
          <w:szCs w:val="24"/>
        </w:rPr>
        <w:t>INTRODUCTION</w:t>
      </w:r>
    </w:p>
    <w:p w14:paraId="208A01B2" w14:textId="74BD1F05" w:rsidR="00F4787D" w:rsidRPr="004239B9" w:rsidRDefault="00F4787D" w:rsidP="00F4787D">
      <w:pPr>
        <w:pStyle w:val="NormalWeb"/>
        <w:shd w:val="clear" w:color="auto" w:fill="FFFFFF"/>
        <w:spacing w:before="0" w:beforeAutospacing="0" w:line="360" w:lineRule="auto"/>
        <w:jc w:val="both"/>
      </w:pPr>
      <w:r w:rsidRPr="004239B9">
        <w:rPr>
          <w:shd w:val="clear" w:color="auto" w:fill="FFFFFF"/>
        </w:rPr>
        <w:t>Inflammation is a part of the body's defense mechanism. The process by which the immune system recognizes and removes harmful and foreign stimuli begins the healing process</w:t>
      </w:r>
      <w:r>
        <w:rPr>
          <w:shd w:val="clear" w:color="auto" w:fill="FFFFFF"/>
        </w:rPr>
        <w:t xml:space="preserve"> </w:t>
      </w:r>
      <w:r w:rsidRPr="004239B9">
        <w:t xml:space="preserve">(Zhang </w:t>
      </w:r>
      <w:r w:rsidRPr="004239B9">
        <w:rPr>
          <w:i/>
          <w:iCs/>
        </w:rPr>
        <w:t>et al</w:t>
      </w:r>
      <w:r>
        <w:t>, 2019)</w:t>
      </w:r>
      <w:r w:rsidRPr="004239B9">
        <w:rPr>
          <w:shd w:val="clear" w:color="auto" w:fill="FFFFFF"/>
        </w:rPr>
        <w:t>. Inflammation</w:t>
      </w:r>
      <w:r>
        <w:rPr>
          <w:shd w:val="clear" w:color="auto" w:fill="FFFFFF"/>
        </w:rPr>
        <w:t xml:space="preserve"> can be acute or chronic; A</w:t>
      </w:r>
      <w:r w:rsidRPr="004239B9">
        <w:t>cute</w:t>
      </w:r>
      <w:r>
        <w:t xml:space="preserve"> </w:t>
      </w:r>
      <w:r w:rsidRPr="004239B9">
        <w:rPr>
          <w:shd w:val="clear" w:color="auto" w:fill="FFFFFF"/>
        </w:rPr>
        <w:t>Inflammation</w:t>
      </w:r>
      <w:r>
        <w:t xml:space="preserve"> can be</w:t>
      </w:r>
      <w:r w:rsidRPr="004239B9">
        <w:rPr>
          <w:shd w:val="clear" w:color="auto" w:fill="FFFFFF"/>
        </w:rPr>
        <w:t xml:space="preserve"> induced by</w:t>
      </w:r>
      <w:r>
        <w:rPr>
          <w:shd w:val="clear" w:color="auto" w:fill="FFFFFF"/>
        </w:rPr>
        <w:t xml:space="preserve"> tissue damage caused by</w:t>
      </w:r>
      <w:r w:rsidRPr="004239B9">
        <w:rPr>
          <w:shd w:val="clear" w:color="auto" w:fill="FFFFFF"/>
        </w:rPr>
        <w:t xml:space="preserve"> trauma or microbial invasion. It starts rapidly</w:t>
      </w:r>
      <w:r>
        <w:rPr>
          <w:shd w:val="clear" w:color="auto" w:fill="FFFFFF"/>
        </w:rPr>
        <w:t xml:space="preserve"> and becomes</w:t>
      </w:r>
      <w:r w:rsidRPr="004239B9">
        <w:rPr>
          <w:shd w:val="clear" w:color="auto" w:fill="FFFFFF"/>
        </w:rPr>
        <w:t xml:space="preserve"> severe in a short time, and symptoms may last for a few days, for example cellulitis or acute pneumonia (Pahwa </w:t>
      </w:r>
      <w:r w:rsidRPr="004239B9">
        <w:rPr>
          <w:i/>
          <w:iCs/>
          <w:shd w:val="clear" w:color="auto" w:fill="FFFFFF"/>
        </w:rPr>
        <w:t>et al</w:t>
      </w:r>
      <w:r w:rsidRPr="004239B9">
        <w:rPr>
          <w:shd w:val="clear" w:color="auto" w:fill="FFFFFF"/>
        </w:rPr>
        <w:t>, 2023). Chronic inflammation, on the other hand,</w:t>
      </w:r>
      <w:r w:rsidRPr="004239B9">
        <w:t xml:space="preserve"> occurs when this response lingers, leaving the body in a constant state of alert. </w:t>
      </w:r>
      <w:r>
        <w:t>Chronic</w:t>
      </w:r>
      <w:r w:rsidRPr="004239B9">
        <w:t xml:space="preserve"> inflammation may have a negative impact on tissues and organs</w:t>
      </w:r>
      <w:r>
        <w:t xml:space="preserve"> </w:t>
      </w:r>
      <w:r w:rsidRPr="004239B9">
        <w:rPr>
          <w:shd w:val="clear" w:color="auto" w:fill="FFFFFF"/>
        </w:rPr>
        <w:t xml:space="preserve">(Pahwa </w:t>
      </w:r>
      <w:r w:rsidRPr="004239B9">
        <w:rPr>
          <w:i/>
          <w:iCs/>
          <w:shd w:val="clear" w:color="auto" w:fill="FFFFFF"/>
        </w:rPr>
        <w:t>et al</w:t>
      </w:r>
      <w:r>
        <w:rPr>
          <w:shd w:val="clear" w:color="auto" w:fill="FFFFFF"/>
        </w:rPr>
        <w:t>, 2023)</w:t>
      </w:r>
      <w:r w:rsidRPr="004239B9">
        <w:t>.</w:t>
      </w:r>
    </w:p>
    <w:p w14:paraId="696FDE7B" w14:textId="4F5B9BDD" w:rsidR="00F4787D" w:rsidRPr="004239B9" w:rsidRDefault="00F4787D" w:rsidP="00F4787D">
      <w:pPr>
        <w:pStyle w:val="NormalWeb"/>
        <w:shd w:val="clear" w:color="auto" w:fill="FFFFFF"/>
        <w:spacing w:before="0" w:beforeAutospacing="0" w:line="360" w:lineRule="auto"/>
        <w:jc w:val="both"/>
        <w:rPr>
          <w:shd w:val="clear" w:color="auto" w:fill="FFFFFF"/>
        </w:rPr>
      </w:pPr>
      <w:r w:rsidRPr="004239B9">
        <w:t> </w:t>
      </w:r>
      <w:r w:rsidRPr="004239B9">
        <w:rPr>
          <w:shd w:val="clear" w:color="auto" w:fill="FFFFFF"/>
        </w:rPr>
        <w:t>Malaria is a highly inflammatory disease. In response to the presence of the parasite, the host’s immune system produces proinflammatory cytokines, including IL-6, IL-8, IFN-</w:t>
      </w:r>
      <w:r w:rsidRPr="004239B9">
        <w:rPr>
          <w:rStyle w:val="Emphasis"/>
          <w:rFonts w:eastAsiaTheme="majorEastAsia"/>
          <w:shd w:val="clear" w:color="auto" w:fill="FFFFFF"/>
        </w:rPr>
        <w:t>γ</w:t>
      </w:r>
      <w:r w:rsidRPr="004239B9">
        <w:rPr>
          <w:shd w:val="clear" w:color="auto" w:fill="FFFFFF"/>
        </w:rPr>
        <w:t>, and TNF, which play a pivotal role in controlling the growth of the parasite and its elimination. Regulatory cytokines such as transforming growth factor- (TGF) </w:t>
      </w:r>
      <w:r w:rsidRPr="004239B9">
        <w:rPr>
          <w:rStyle w:val="Emphasis"/>
          <w:rFonts w:eastAsiaTheme="majorEastAsia"/>
          <w:shd w:val="clear" w:color="auto" w:fill="FFFFFF"/>
        </w:rPr>
        <w:t>β</w:t>
      </w:r>
      <w:r w:rsidRPr="004239B9">
        <w:rPr>
          <w:shd w:val="clear" w:color="auto" w:fill="FFFFFF"/>
        </w:rPr>
        <w:t> and IL-10 maintain the balance between pro- and anti-inflammatory responses (</w:t>
      </w:r>
      <w:r w:rsidRPr="003002A9">
        <w:rPr>
          <w:color w:val="212121"/>
        </w:rPr>
        <w:t xml:space="preserve">Shomyseh, </w:t>
      </w:r>
      <w:r>
        <w:rPr>
          <w:color w:val="212121"/>
        </w:rPr>
        <w:t>et, al</w:t>
      </w:r>
      <w:r w:rsidRPr="003002A9">
        <w:rPr>
          <w:color w:val="212121"/>
        </w:rPr>
        <w:t xml:space="preserve">., </w:t>
      </w:r>
      <w:r>
        <w:rPr>
          <w:color w:val="212121"/>
        </w:rPr>
        <w:t>2010</w:t>
      </w:r>
      <w:r w:rsidRPr="004239B9">
        <w:rPr>
          <w:shd w:val="clear" w:color="auto" w:fill="FFFFFF"/>
        </w:rPr>
        <w:t xml:space="preserve">). Some studies argue that due to the effects of inflammatory cytokines on mitochondria, there is an inability to use available oxygen, leading to ATP deficiency in malaria (Clark </w:t>
      </w:r>
      <w:r w:rsidRPr="004239B9">
        <w:rPr>
          <w:i/>
          <w:iCs/>
          <w:shd w:val="clear" w:color="auto" w:fill="FFFFFF"/>
        </w:rPr>
        <w:t>et al</w:t>
      </w:r>
      <w:r w:rsidRPr="004239B9">
        <w:rPr>
          <w:shd w:val="clear" w:color="auto" w:fill="FFFFFF"/>
        </w:rPr>
        <w:t>, 2006).</w:t>
      </w:r>
    </w:p>
    <w:p w14:paraId="03B70634" w14:textId="022D9136" w:rsidR="00F4787D" w:rsidRPr="0008663A" w:rsidRDefault="00F4787D" w:rsidP="00F4787D">
      <w:pPr>
        <w:pStyle w:val="NormalWeb"/>
        <w:shd w:val="clear" w:color="auto" w:fill="FFFFFF"/>
        <w:spacing w:before="0" w:beforeAutospacing="0" w:line="360" w:lineRule="auto"/>
        <w:jc w:val="both"/>
        <w:rPr>
          <w:shd w:val="clear" w:color="auto" w:fill="FFFFFF"/>
        </w:rPr>
      </w:pPr>
      <w:r w:rsidRPr="004239B9">
        <w:rPr>
          <w:shd w:val="clear" w:color="auto" w:fill="FFFFFF"/>
        </w:rPr>
        <w:t xml:space="preserve">Acute-phase protein is a nonspecific protein released during infection, tissue damage, tissue injury, and inflammation. C-reactive protein (CRP), which is one of the acute-phase proteins, is a classic marker for inflammation and is synthesized by liver cells. Previous studies showed that C-reactive </w:t>
      </w:r>
      <w:r w:rsidRPr="004239B9">
        <w:rPr>
          <w:shd w:val="clear" w:color="auto" w:fill="FFFFFF"/>
        </w:rPr>
        <w:lastRenderedPageBreak/>
        <w:t xml:space="preserve">protein </w:t>
      </w:r>
      <w:r>
        <w:rPr>
          <w:shd w:val="clear" w:color="auto" w:fill="FFFFFF"/>
        </w:rPr>
        <w:t>(</w:t>
      </w:r>
      <w:r w:rsidRPr="004239B9">
        <w:rPr>
          <w:shd w:val="clear" w:color="auto" w:fill="FFFFFF"/>
        </w:rPr>
        <w:t>CRP</w:t>
      </w:r>
      <w:r>
        <w:rPr>
          <w:shd w:val="clear" w:color="auto" w:fill="FFFFFF"/>
        </w:rPr>
        <w:t>)</w:t>
      </w:r>
      <w:r w:rsidRPr="004239B9">
        <w:rPr>
          <w:shd w:val="clear" w:color="auto" w:fill="FFFFFF"/>
        </w:rPr>
        <w:t xml:space="preserve"> could be used as a predictor of chronic diseases, including diabetes and cancer (Yousuf, </w:t>
      </w:r>
      <w:r w:rsidRPr="004239B9">
        <w:rPr>
          <w:i/>
          <w:iCs/>
          <w:shd w:val="clear" w:color="auto" w:fill="FFFFFF"/>
        </w:rPr>
        <w:t>et al,</w:t>
      </w:r>
      <w:r w:rsidRPr="004239B9">
        <w:rPr>
          <w:shd w:val="clear" w:color="auto" w:fill="FFFFFF"/>
        </w:rPr>
        <w:t xml:space="preserve"> 2013</w:t>
      </w:r>
      <w:r w:rsidRPr="004239B9">
        <w:rPr>
          <w:i/>
          <w:iCs/>
          <w:shd w:val="clear" w:color="auto" w:fill="FFFFFF"/>
        </w:rPr>
        <w:t>)</w:t>
      </w:r>
      <w:r w:rsidRPr="004239B9">
        <w:rPr>
          <w:shd w:val="clear" w:color="auto" w:fill="FFFFFF"/>
        </w:rPr>
        <w:t xml:space="preserve">. C-reactive protein </w:t>
      </w:r>
      <w:r>
        <w:rPr>
          <w:shd w:val="clear" w:color="auto" w:fill="FFFFFF"/>
        </w:rPr>
        <w:t>(</w:t>
      </w:r>
      <w:r w:rsidRPr="004239B9">
        <w:rPr>
          <w:shd w:val="clear" w:color="auto" w:fill="FFFFFF"/>
        </w:rPr>
        <w:t>CRP</w:t>
      </w:r>
      <w:r>
        <w:rPr>
          <w:shd w:val="clear" w:color="auto" w:fill="FFFFFF"/>
        </w:rPr>
        <w:t>)</w:t>
      </w:r>
      <w:r w:rsidRPr="004239B9">
        <w:rPr>
          <w:shd w:val="clear" w:color="auto" w:fill="FFFFFF"/>
        </w:rPr>
        <w:t xml:space="preserve"> has also been used as a biomarker for neonatal sepsis and bacterial pneumonia, which helps in differentiating malaria from bacterial infection (Diez </w:t>
      </w:r>
      <w:r w:rsidRPr="004239B9">
        <w:rPr>
          <w:i/>
          <w:iCs/>
          <w:shd w:val="clear" w:color="auto" w:fill="FFFFFF"/>
        </w:rPr>
        <w:t>et al, 2010)</w:t>
      </w:r>
      <w:r>
        <w:rPr>
          <w:shd w:val="clear" w:color="auto" w:fill="FFFFFF"/>
        </w:rPr>
        <w:t>.</w:t>
      </w:r>
      <w:r w:rsidRPr="004239B9">
        <w:rPr>
          <w:shd w:val="clear" w:color="auto" w:fill="FFFFFF"/>
        </w:rPr>
        <w:t> A study by Taylor suggested that the detection of increased levels of circulating acute-phase proteins may act as a useful surrogate marker</w:t>
      </w:r>
      <w:r>
        <w:rPr>
          <w:shd w:val="clear" w:color="auto" w:fill="FFFFFF"/>
        </w:rPr>
        <w:t xml:space="preserve"> of high-level parasitemia (</w:t>
      </w:r>
      <w:r w:rsidRPr="001973DD">
        <w:rPr>
          <w:shd w:val="clear" w:color="auto" w:fill="FFFFFF"/>
        </w:rPr>
        <w:t>Taylor-Robinson</w:t>
      </w:r>
      <w:r w:rsidRPr="004239B9">
        <w:rPr>
          <w:shd w:val="clear" w:color="auto" w:fill="FFFFFF"/>
        </w:rPr>
        <w:t xml:space="preserve">, 2000). Studies have also demonstrated the strong binding of C-reactive protein </w:t>
      </w:r>
      <w:r>
        <w:rPr>
          <w:shd w:val="clear" w:color="auto" w:fill="FFFFFF"/>
        </w:rPr>
        <w:t>(</w:t>
      </w:r>
      <w:r w:rsidRPr="004239B9">
        <w:rPr>
          <w:shd w:val="clear" w:color="auto" w:fill="FFFFFF"/>
        </w:rPr>
        <w:t>CRP</w:t>
      </w:r>
      <w:r>
        <w:rPr>
          <w:shd w:val="clear" w:color="auto" w:fill="FFFFFF"/>
        </w:rPr>
        <w:t>)</w:t>
      </w:r>
      <w:r w:rsidRPr="004239B9">
        <w:rPr>
          <w:shd w:val="clear" w:color="auto" w:fill="FFFFFF"/>
        </w:rPr>
        <w:t xml:space="preserve"> to infected erythrocytes, which activates the complement pathway leading to erythrocyte clearance and hemolysis, which is the causative factor of anemia, one of the severe manifestations of malaria (Ansar </w:t>
      </w:r>
      <w:r w:rsidRPr="004239B9">
        <w:rPr>
          <w:i/>
          <w:iCs/>
          <w:shd w:val="clear" w:color="auto" w:fill="FFFFFF"/>
        </w:rPr>
        <w:t>et al,</w:t>
      </w:r>
      <w:r w:rsidRPr="004239B9">
        <w:rPr>
          <w:shd w:val="clear" w:color="auto" w:fill="FFFFFF"/>
        </w:rPr>
        <w:t xml:space="preserve"> 2006).</w:t>
      </w:r>
      <w:r>
        <w:rPr>
          <w:shd w:val="clear" w:color="auto" w:fill="FFFFFF"/>
        </w:rPr>
        <w:t xml:space="preserve"> </w:t>
      </w:r>
      <w:r w:rsidRPr="004239B9">
        <w:t xml:space="preserve">Inflammation is one of the body’s immune responses to internal or external stimuli. </w:t>
      </w:r>
    </w:p>
    <w:p w14:paraId="1F75B37D" w14:textId="1959D36D" w:rsidR="00F4787D" w:rsidRPr="00904D55" w:rsidRDefault="00F4787D" w:rsidP="00F4787D">
      <w:pPr>
        <w:spacing w:before="100" w:beforeAutospacing="1"/>
        <w:ind w:left="0" w:right="0"/>
        <w:rPr>
          <w:rFonts w:ascii="Times New Roman" w:hAnsi="Times New Roman" w:cs="Times New Roman"/>
          <w:sz w:val="24"/>
          <w:szCs w:val="24"/>
        </w:rPr>
      </w:pPr>
      <w:bookmarkStart w:id="0" w:name="_Hlk158018555"/>
      <w:r w:rsidRPr="004239B9">
        <w:rPr>
          <w:rFonts w:ascii="Times New Roman" w:hAnsi="Times New Roman" w:cs="Times New Roman"/>
          <w:sz w:val="24"/>
          <w:szCs w:val="24"/>
        </w:rPr>
        <w:t xml:space="preserve">Pregnancy malaria (PM) is linked to a proinflammatory immune response characterized by elevated levels of cytokines and chemokines, such as C-reactive protein (CRP), tumor necrosis factor (TNF–α) and interferon-γ (Fried and Misore, 1998). </w:t>
      </w:r>
      <w:bookmarkEnd w:id="0"/>
      <w:r>
        <w:rPr>
          <w:rFonts w:ascii="Times New Roman" w:hAnsi="Times New Roman" w:cs="Times New Roman"/>
          <w:sz w:val="24"/>
          <w:szCs w:val="24"/>
          <w:shd w:val="clear" w:color="auto" w:fill="FFFFFF"/>
        </w:rPr>
        <w:t>CRP</w:t>
      </w:r>
      <w:r w:rsidRPr="004239B9">
        <w:rPr>
          <w:rFonts w:ascii="Times New Roman" w:hAnsi="Times New Roman" w:cs="Times New Roman"/>
          <w:sz w:val="24"/>
          <w:szCs w:val="24"/>
          <w:shd w:val="clear" w:color="auto" w:fill="FFFFFF"/>
        </w:rPr>
        <w:t xml:space="preserve"> is an acute phase</w:t>
      </w:r>
      <w:r w:rsidRPr="004239B9">
        <w:rPr>
          <w:rFonts w:ascii="Times New Roman" w:hAnsi="Times New Roman" w:cs="Times New Roman"/>
          <w:sz w:val="24"/>
          <w:szCs w:val="24"/>
        </w:rPr>
        <w:t xml:space="preserve"> protein produced by the liver. It is involved in the process of immune activation in infected red blood cells by binding infected erythrocytes and helping to clear the infection. Usually, the blood </w:t>
      </w:r>
      <w:r>
        <w:rPr>
          <w:rFonts w:ascii="Times New Roman" w:hAnsi="Times New Roman" w:cs="Times New Roman"/>
          <w:sz w:val="24"/>
          <w:szCs w:val="24"/>
        </w:rPr>
        <w:t xml:space="preserve">containing </w:t>
      </w:r>
      <w:r w:rsidRPr="005F6265">
        <w:rPr>
          <w:rFonts w:ascii="Times New Roman" w:hAnsi="Times New Roman" w:cs="Times New Roman"/>
          <w:sz w:val="24"/>
          <w:shd w:val="clear" w:color="auto" w:fill="FFFFFF"/>
        </w:rPr>
        <w:t>C-reactive protein</w:t>
      </w:r>
      <w:r w:rsidRPr="005F6265">
        <w:rPr>
          <w:sz w:val="24"/>
          <w:shd w:val="clear" w:color="auto" w:fill="FFFFFF"/>
        </w:rPr>
        <w:t xml:space="preserve"> </w:t>
      </w:r>
      <w:r>
        <w:rPr>
          <w:shd w:val="clear" w:color="auto" w:fill="FFFFFF"/>
        </w:rPr>
        <w:t>(</w:t>
      </w:r>
      <w:r w:rsidRPr="004239B9">
        <w:rPr>
          <w:rFonts w:ascii="Times New Roman" w:hAnsi="Times New Roman" w:cs="Times New Roman"/>
          <w:sz w:val="24"/>
          <w:szCs w:val="24"/>
        </w:rPr>
        <w:t>CRP</w:t>
      </w:r>
      <w:r>
        <w:rPr>
          <w:rFonts w:ascii="Times New Roman" w:hAnsi="Times New Roman" w:cs="Times New Roman"/>
          <w:sz w:val="24"/>
          <w:szCs w:val="24"/>
        </w:rPr>
        <w:t>)</w:t>
      </w:r>
      <w:r w:rsidRPr="004239B9">
        <w:rPr>
          <w:rFonts w:ascii="Times New Roman" w:hAnsi="Times New Roman" w:cs="Times New Roman"/>
          <w:sz w:val="24"/>
          <w:szCs w:val="24"/>
        </w:rPr>
        <w:t xml:space="preserve"> level is not elevated except when inflammation occurs. </w:t>
      </w:r>
      <w:r w:rsidRPr="004239B9">
        <w:rPr>
          <w:rFonts w:ascii="Times New Roman" w:hAnsi="Times New Roman" w:cs="Times New Roman"/>
          <w:sz w:val="24"/>
          <w:szCs w:val="24"/>
          <w:shd w:val="clear" w:color="auto" w:fill="FFFFFF"/>
        </w:rPr>
        <w:t xml:space="preserve">Studies have shown that </w:t>
      </w:r>
      <w:r w:rsidRPr="005F6265">
        <w:rPr>
          <w:rFonts w:ascii="Times New Roman" w:hAnsi="Times New Roman" w:cs="Times New Roman"/>
          <w:sz w:val="24"/>
          <w:shd w:val="clear" w:color="auto" w:fill="FFFFFF"/>
        </w:rPr>
        <w:t>C-reactive protein</w:t>
      </w:r>
      <w:r w:rsidRPr="005F6265">
        <w:rPr>
          <w:sz w:val="24"/>
          <w:shd w:val="clear" w:color="auto" w:fill="FFFFFF"/>
        </w:rPr>
        <w:t xml:space="preserve"> </w:t>
      </w:r>
      <w:r>
        <w:rPr>
          <w:shd w:val="clear" w:color="auto" w:fill="FFFFFF"/>
        </w:rPr>
        <w:t>(</w:t>
      </w:r>
      <w:r w:rsidRPr="004239B9">
        <w:rPr>
          <w:rFonts w:ascii="Times New Roman" w:hAnsi="Times New Roman" w:cs="Times New Roman"/>
          <w:sz w:val="24"/>
          <w:szCs w:val="24"/>
        </w:rPr>
        <w:t>CRP</w:t>
      </w:r>
      <w:r>
        <w:rPr>
          <w:rFonts w:ascii="Times New Roman" w:hAnsi="Times New Roman" w:cs="Times New Roman"/>
          <w:sz w:val="24"/>
          <w:szCs w:val="24"/>
        </w:rPr>
        <w:t>)</w:t>
      </w:r>
      <w:r w:rsidRPr="004239B9">
        <w:rPr>
          <w:rFonts w:ascii="Times New Roman" w:hAnsi="Times New Roman" w:cs="Times New Roman"/>
          <w:sz w:val="24"/>
          <w:szCs w:val="24"/>
        </w:rPr>
        <w:t xml:space="preserve"> </w:t>
      </w:r>
      <w:r w:rsidRPr="004239B9">
        <w:rPr>
          <w:rFonts w:ascii="Times New Roman" w:hAnsi="Times New Roman" w:cs="Times New Roman"/>
          <w:sz w:val="24"/>
          <w:szCs w:val="24"/>
          <w:shd w:val="clear" w:color="auto" w:fill="FFFFFF"/>
        </w:rPr>
        <w:t>is an effective biomarker for</w:t>
      </w:r>
      <w:r>
        <w:rPr>
          <w:rFonts w:ascii="Times New Roman" w:hAnsi="Times New Roman" w:cs="Times New Roman"/>
          <w:sz w:val="24"/>
          <w:szCs w:val="24"/>
          <w:shd w:val="clear" w:color="auto" w:fill="FFFFFF"/>
        </w:rPr>
        <w:t xml:space="preserve"> assessing malaria severity.  In</w:t>
      </w:r>
      <w:r w:rsidRPr="004239B9">
        <w:rPr>
          <w:rFonts w:ascii="Times New Roman" w:hAnsi="Times New Roman" w:cs="Times New Roman"/>
          <w:sz w:val="24"/>
          <w:szCs w:val="24"/>
          <w:shd w:val="clear" w:color="auto" w:fill="FFFFFF"/>
        </w:rPr>
        <w:t xml:space="preserve"> highly endemic regions where usual disease symptoms like fever may be absent, even in patients with high parasite loads (</w:t>
      </w:r>
      <w:r w:rsidRPr="005122EE">
        <w:rPr>
          <w:rFonts w:ascii="Times New Roman" w:hAnsi="Times New Roman" w:cs="Times New Roman"/>
          <w:sz w:val="24"/>
          <w:szCs w:val="24"/>
          <w:shd w:val="clear" w:color="auto" w:fill="FFFFFF"/>
        </w:rPr>
        <w:t>Rudrajit</w:t>
      </w:r>
      <w:r>
        <w:rPr>
          <w:rFonts w:ascii="Times New Roman" w:hAnsi="Times New Roman" w:cs="Times New Roman"/>
          <w:sz w:val="24"/>
          <w:szCs w:val="24"/>
          <w:shd w:val="clear" w:color="auto" w:fill="FFFFFF"/>
        </w:rPr>
        <w:t>,</w:t>
      </w:r>
      <w:r w:rsidRPr="005122EE">
        <w:rPr>
          <w:rFonts w:ascii="Times New Roman" w:hAnsi="Times New Roman" w:cs="Times New Roman"/>
          <w:sz w:val="24"/>
          <w:szCs w:val="24"/>
          <w:shd w:val="clear" w:color="auto" w:fill="FFFFFF"/>
        </w:rPr>
        <w:t xml:space="preserve"> </w:t>
      </w:r>
      <w:r w:rsidRPr="004239B9">
        <w:rPr>
          <w:rFonts w:ascii="Times New Roman" w:hAnsi="Times New Roman" w:cs="Times New Roman"/>
          <w:sz w:val="24"/>
          <w:szCs w:val="24"/>
          <w:shd w:val="clear" w:color="auto" w:fill="FFFFFF"/>
        </w:rPr>
        <w:t>et</w:t>
      </w:r>
      <w:r>
        <w:rPr>
          <w:rFonts w:ascii="Times New Roman" w:hAnsi="Times New Roman" w:cs="Times New Roman"/>
          <w:sz w:val="24"/>
          <w:szCs w:val="24"/>
          <w:shd w:val="clear" w:color="auto" w:fill="FFFFFF"/>
        </w:rPr>
        <w:t xml:space="preserve">, </w:t>
      </w:r>
      <w:r w:rsidRPr="004239B9">
        <w:rPr>
          <w:rFonts w:ascii="Times New Roman" w:hAnsi="Times New Roman" w:cs="Times New Roman"/>
          <w:sz w:val="24"/>
          <w:szCs w:val="24"/>
          <w:shd w:val="clear" w:color="auto" w:fill="FFFFFF"/>
        </w:rPr>
        <w:t>al</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 xml:space="preserve"> 2012)</w:t>
      </w:r>
      <w:r>
        <w:rPr>
          <w:rFonts w:ascii="Times New Roman" w:hAnsi="Times New Roman" w:cs="Times New Roman"/>
          <w:sz w:val="24"/>
          <w:szCs w:val="24"/>
        </w:rPr>
        <w:t xml:space="preserve">. </w:t>
      </w:r>
      <w:r w:rsidRPr="004239B9">
        <w:rPr>
          <w:rFonts w:ascii="Times New Roman" w:hAnsi="Times New Roman" w:cs="Times New Roman"/>
          <w:sz w:val="24"/>
          <w:szCs w:val="24"/>
        </w:rPr>
        <w:t xml:space="preserve">It has long been acknowledged that populations living in malaria-endemic areas generally live under socioeconomic conditions that lead to poor nutritional status. The groups at the highest risk of the adverse effects of malaria, (children, and pregnant women) are also most affected by poor nutrition. Although it has been suspected that nutrition may influence susceptibility to disease or alter its course, (Shankar 2000, Genton </w:t>
      </w:r>
      <w:r w:rsidRPr="004239B9">
        <w:rPr>
          <w:rFonts w:ascii="Times New Roman" w:hAnsi="Times New Roman" w:cs="Times New Roman"/>
          <w:i/>
          <w:iCs/>
          <w:sz w:val="24"/>
          <w:szCs w:val="24"/>
        </w:rPr>
        <w:t>et al</w:t>
      </w:r>
      <w:r w:rsidRPr="004239B9">
        <w:rPr>
          <w:rFonts w:ascii="Times New Roman" w:hAnsi="Times New Roman" w:cs="Times New Roman"/>
          <w:sz w:val="24"/>
          <w:szCs w:val="24"/>
        </w:rPr>
        <w:t xml:space="preserve"> 1998)</w:t>
      </w:r>
      <w:r>
        <w:rPr>
          <w:rFonts w:ascii="Times New Roman" w:hAnsi="Times New Roman" w:cs="Times New Roman"/>
          <w:sz w:val="24"/>
          <w:szCs w:val="24"/>
        </w:rPr>
        <w:t xml:space="preserve">. </w:t>
      </w:r>
      <w:r w:rsidRPr="004239B9">
        <w:rPr>
          <w:rStyle w:val="hgkelc"/>
          <w:rFonts w:ascii="Times New Roman" w:hAnsi="Times New Roman" w:cs="Times New Roman"/>
          <w:sz w:val="24"/>
          <w:szCs w:val="24"/>
        </w:rPr>
        <w:t xml:space="preserve">Therefore, in </w:t>
      </w:r>
      <w:r>
        <w:rPr>
          <w:rStyle w:val="hgkelc"/>
          <w:rFonts w:ascii="Times New Roman" w:hAnsi="Times New Roman" w:cs="Times New Roman"/>
          <w:sz w:val="24"/>
          <w:szCs w:val="24"/>
        </w:rPr>
        <w:t xml:space="preserve">regard to the crucial </w:t>
      </w:r>
      <w:r w:rsidRPr="004239B9">
        <w:rPr>
          <w:rStyle w:val="hgkelc"/>
          <w:rFonts w:ascii="Times New Roman" w:hAnsi="Times New Roman" w:cs="Times New Roman"/>
          <w:sz w:val="24"/>
          <w:szCs w:val="24"/>
        </w:rPr>
        <w:t xml:space="preserve">role of nutrition in pregnancy, </w:t>
      </w:r>
      <w:r>
        <w:rPr>
          <w:rStyle w:val="hgkelc"/>
          <w:rFonts w:ascii="Times New Roman" w:hAnsi="Times New Roman" w:cs="Times New Roman"/>
          <w:sz w:val="24"/>
          <w:szCs w:val="24"/>
        </w:rPr>
        <w:t>there is a need to study the relationship between inflammation</w:t>
      </w:r>
      <w:r w:rsidRPr="004239B9">
        <w:rPr>
          <w:rStyle w:val="hgkelc"/>
          <w:rFonts w:ascii="Times New Roman" w:hAnsi="Times New Roman" w:cs="Times New Roman"/>
          <w:sz w:val="24"/>
          <w:szCs w:val="24"/>
        </w:rPr>
        <w:t xml:space="preserve"> and malaria infection </w:t>
      </w:r>
      <w:r>
        <w:rPr>
          <w:rStyle w:val="hgkelc"/>
          <w:rFonts w:ascii="Times New Roman" w:hAnsi="Times New Roman" w:cs="Times New Roman"/>
          <w:sz w:val="24"/>
          <w:szCs w:val="24"/>
        </w:rPr>
        <w:t>in pregnant women</w:t>
      </w:r>
      <w:r w:rsidRPr="004239B9">
        <w:rPr>
          <w:rStyle w:val="hgkelc"/>
          <w:rFonts w:ascii="Times New Roman" w:hAnsi="Times New Roman" w:cs="Times New Roman"/>
          <w:sz w:val="24"/>
          <w:szCs w:val="24"/>
        </w:rPr>
        <w:t>.</w:t>
      </w:r>
    </w:p>
    <w:p w14:paraId="0173778A" w14:textId="77777777" w:rsidR="00F4787D" w:rsidRPr="004239B9" w:rsidRDefault="00F4787D" w:rsidP="00F4787D">
      <w:pPr>
        <w:spacing w:line="480" w:lineRule="auto"/>
        <w:ind w:left="0" w:right="0"/>
        <w:rPr>
          <w:rFonts w:ascii="Times New Roman" w:hAnsi="Times New Roman" w:cs="Times New Roman"/>
          <w:b/>
          <w:bCs/>
          <w:sz w:val="24"/>
          <w:szCs w:val="24"/>
        </w:rPr>
      </w:pPr>
      <w:r w:rsidRPr="004239B9">
        <w:rPr>
          <w:rFonts w:ascii="Times New Roman" w:hAnsi="Times New Roman" w:cs="Times New Roman"/>
          <w:b/>
          <w:bCs/>
          <w:sz w:val="24"/>
          <w:szCs w:val="24"/>
        </w:rPr>
        <w:t xml:space="preserve">MATERIALS AND METHOD </w:t>
      </w:r>
    </w:p>
    <w:p w14:paraId="45BD944B" w14:textId="177B8C27" w:rsidR="00F4787D" w:rsidRPr="004239B9" w:rsidRDefault="00F4787D" w:rsidP="00F4787D">
      <w:pPr>
        <w:tabs>
          <w:tab w:val="left" w:pos="3175"/>
        </w:tabs>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This was a cross-sectional study</w:t>
      </w:r>
      <w:r>
        <w:rPr>
          <w:rFonts w:ascii="Times New Roman" w:hAnsi="Times New Roman" w:cs="Times New Roman"/>
          <w:sz w:val="24"/>
          <w:szCs w:val="24"/>
        </w:rPr>
        <w:t xml:space="preserve"> designed in which the subject is recruited and samples were collected at a certain time</w:t>
      </w:r>
      <w:r w:rsidRPr="004239B9">
        <w:rPr>
          <w:rFonts w:ascii="Times New Roman" w:hAnsi="Times New Roman" w:cs="Times New Roman"/>
          <w:sz w:val="24"/>
          <w:szCs w:val="24"/>
        </w:rPr>
        <w:t xml:space="preserve">. Data were collected during antenatal visits from pregnant women who </w:t>
      </w:r>
      <w:r w:rsidRPr="004239B9">
        <w:rPr>
          <w:rFonts w:ascii="Times New Roman" w:hAnsi="Times New Roman" w:cs="Times New Roman"/>
          <w:sz w:val="24"/>
          <w:szCs w:val="24"/>
        </w:rPr>
        <w:lastRenderedPageBreak/>
        <w:t xml:space="preserve">gave their consent to participate in the research. Screening was conducted to determine the eligibility of participants based on the inclusion criteria for the study. </w:t>
      </w:r>
      <w:r>
        <w:rPr>
          <w:rFonts w:ascii="Times New Roman" w:hAnsi="Times New Roman" w:cs="Times New Roman"/>
          <w:sz w:val="24"/>
          <w:szCs w:val="24"/>
        </w:rPr>
        <w:t xml:space="preserve">The participants were sensitized to the purpose of the study and its importance </w:t>
      </w:r>
      <w:r w:rsidRPr="004239B9">
        <w:rPr>
          <w:rFonts w:ascii="Times New Roman" w:hAnsi="Times New Roman" w:cs="Times New Roman"/>
          <w:sz w:val="24"/>
          <w:szCs w:val="24"/>
        </w:rPr>
        <w:t>by nursing staff at antenatal</w:t>
      </w:r>
      <w:r>
        <w:rPr>
          <w:rFonts w:ascii="Times New Roman" w:hAnsi="Times New Roman" w:cs="Times New Roman"/>
          <w:sz w:val="24"/>
          <w:szCs w:val="24"/>
        </w:rPr>
        <w:t xml:space="preserve"> care (</w:t>
      </w:r>
      <w:r w:rsidRPr="004239B9">
        <w:rPr>
          <w:rFonts w:ascii="Times New Roman" w:hAnsi="Times New Roman" w:cs="Times New Roman"/>
          <w:sz w:val="24"/>
          <w:szCs w:val="24"/>
        </w:rPr>
        <w:t>ANC</w:t>
      </w:r>
      <w:r>
        <w:rPr>
          <w:rFonts w:ascii="Times New Roman" w:hAnsi="Times New Roman" w:cs="Times New Roman"/>
          <w:sz w:val="24"/>
          <w:szCs w:val="24"/>
        </w:rPr>
        <w:t>)</w:t>
      </w:r>
      <w:r w:rsidRPr="004239B9">
        <w:rPr>
          <w:rFonts w:ascii="Times New Roman" w:hAnsi="Times New Roman" w:cs="Times New Roman"/>
          <w:sz w:val="24"/>
          <w:szCs w:val="24"/>
        </w:rPr>
        <w:t xml:space="preserve">. Data were collected from 263 pregnant women with malaria.  Materials used in this study included MUAC tape, a centrifuge machine, a spectrophotometer, and a microtiter plate reader. </w:t>
      </w:r>
    </w:p>
    <w:p w14:paraId="14EECCB4" w14:textId="77777777" w:rsidR="00F4787D" w:rsidRPr="00575A8F" w:rsidRDefault="00F4787D" w:rsidP="00F4787D">
      <w:pPr>
        <w:tabs>
          <w:tab w:val="left" w:pos="3175"/>
        </w:tabs>
        <w:spacing w:line="480" w:lineRule="auto"/>
        <w:ind w:left="0" w:right="0"/>
        <w:rPr>
          <w:rFonts w:ascii="Times New Roman" w:hAnsi="Times New Roman" w:cs="Times New Roman"/>
          <w:b/>
          <w:sz w:val="24"/>
          <w:szCs w:val="24"/>
        </w:rPr>
      </w:pPr>
      <w:r w:rsidRPr="00575A8F">
        <w:rPr>
          <w:rFonts w:ascii="Times New Roman" w:hAnsi="Times New Roman" w:cs="Times New Roman"/>
          <w:b/>
          <w:sz w:val="24"/>
          <w:szCs w:val="24"/>
        </w:rPr>
        <w:t>Blood Samples Collection</w:t>
      </w:r>
    </w:p>
    <w:p w14:paraId="282FD0F6" w14:textId="6073FEB6" w:rsidR="00F4787D" w:rsidRPr="004239B9" w:rsidRDefault="00F4787D" w:rsidP="00F4787D">
      <w:pPr>
        <w:tabs>
          <w:tab w:val="left" w:pos="3175"/>
        </w:tabs>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Blood samples were collected using standard procedures as described by the World Health Organization (WHO, 2010). 5mls of blood was collected by certified laboratory technicians working in the hospital facility. The blood sample was transferred into an ethylenediaminetetracetic acid (EDTA</w:t>
      </w:r>
      <w:r>
        <w:rPr>
          <w:rFonts w:ascii="Times New Roman" w:hAnsi="Times New Roman" w:cs="Times New Roman"/>
          <w:sz w:val="24"/>
          <w:szCs w:val="24"/>
        </w:rPr>
        <w:t xml:space="preserve"> bottles</w:t>
      </w:r>
      <w:r w:rsidRPr="004239B9">
        <w:rPr>
          <w:rFonts w:ascii="Times New Roman" w:hAnsi="Times New Roman" w:cs="Times New Roman"/>
          <w:sz w:val="24"/>
          <w:szCs w:val="24"/>
        </w:rPr>
        <w:t>). 3.5mls of each sample was taken for analysis of malaria infection, while the remaining portion was centrifuged at 3000 rpm for 5 min, plasma was removed and stored at -10</w:t>
      </w:r>
      <w:r w:rsidRPr="004239B9">
        <w:rPr>
          <w:rFonts w:ascii="Times New Roman" w:hAnsi="Times New Roman" w:cs="Times New Roman"/>
          <w:sz w:val="24"/>
          <w:szCs w:val="24"/>
          <w:vertAlign w:val="superscript"/>
        </w:rPr>
        <w:t>o</w:t>
      </w:r>
      <w:r w:rsidRPr="004239B9">
        <w:rPr>
          <w:rFonts w:ascii="Times New Roman" w:hAnsi="Times New Roman" w:cs="Times New Roman"/>
          <w:sz w:val="24"/>
          <w:szCs w:val="24"/>
        </w:rPr>
        <w:t xml:space="preserve">C in a plane bottle until </w:t>
      </w:r>
      <w:r>
        <w:rPr>
          <w:rFonts w:ascii="Times New Roman" w:hAnsi="Times New Roman" w:cs="Times New Roman"/>
          <w:sz w:val="24"/>
          <w:szCs w:val="24"/>
        </w:rPr>
        <w:t>analysis</w:t>
      </w:r>
      <w:r w:rsidRPr="004239B9">
        <w:rPr>
          <w:rFonts w:ascii="Times New Roman" w:hAnsi="Times New Roman" w:cs="Times New Roman"/>
          <w:sz w:val="24"/>
          <w:szCs w:val="24"/>
        </w:rPr>
        <w:t>.</w:t>
      </w:r>
    </w:p>
    <w:p w14:paraId="4D70305A" w14:textId="4D41F650" w:rsidR="00F4787D" w:rsidRPr="004239B9" w:rsidRDefault="00F4787D" w:rsidP="00F4787D">
      <w:pPr>
        <w:autoSpaceDE w:val="0"/>
        <w:autoSpaceDN w:val="0"/>
        <w:adjustRightInd w:val="0"/>
        <w:spacing w:after="0" w:line="480" w:lineRule="auto"/>
        <w:ind w:left="0" w:right="0"/>
        <w:rPr>
          <w:rFonts w:ascii="Times New Roman" w:hAnsi="Times New Roman" w:cs="Times New Roman"/>
          <w:sz w:val="24"/>
          <w:szCs w:val="24"/>
        </w:rPr>
      </w:pPr>
      <w:r w:rsidRPr="004239B9">
        <w:rPr>
          <w:rFonts w:ascii="Times New Roman" w:hAnsi="Times New Roman" w:cs="Times New Roman"/>
          <w:b/>
          <w:bCs/>
          <w:sz w:val="24"/>
          <w:szCs w:val="24"/>
        </w:rPr>
        <w:t xml:space="preserve">Determination of </w:t>
      </w:r>
      <w:r>
        <w:rPr>
          <w:rFonts w:ascii="Times New Roman" w:hAnsi="Times New Roman" w:cs="Times New Roman"/>
          <w:b/>
          <w:sz w:val="24"/>
          <w:szCs w:val="24"/>
        </w:rPr>
        <w:t>C-reactive protein</w:t>
      </w:r>
      <w:r w:rsidRPr="004239B9">
        <w:rPr>
          <w:rFonts w:ascii="Times New Roman" w:hAnsi="Times New Roman" w:cs="Times New Roman"/>
          <w:b/>
          <w:bCs/>
          <w:sz w:val="24"/>
          <w:szCs w:val="24"/>
        </w:rPr>
        <w:t xml:space="preserve"> </w:t>
      </w:r>
      <w:r>
        <w:rPr>
          <w:rFonts w:ascii="Times New Roman" w:hAnsi="Times New Roman" w:cs="Times New Roman"/>
          <w:b/>
          <w:bCs/>
          <w:sz w:val="24"/>
          <w:szCs w:val="24"/>
        </w:rPr>
        <w:t>(</w:t>
      </w:r>
      <w:r w:rsidRPr="004239B9">
        <w:rPr>
          <w:rFonts w:ascii="Times New Roman" w:hAnsi="Times New Roman" w:cs="Times New Roman"/>
          <w:b/>
          <w:bCs/>
          <w:sz w:val="24"/>
          <w:szCs w:val="24"/>
        </w:rPr>
        <w:t>CRP</w:t>
      </w:r>
      <w:r>
        <w:rPr>
          <w:rFonts w:ascii="Times New Roman" w:hAnsi="Times New Roman" w:cs="Times New Roman"/>
          <w:b/>
          <w:bCs/>
          <w:sz w:val="24"/>
          <w:szCs w:val="24"/>
        </w:rPr>
        <w:t>)</w:t>
      </w:r>
      <w:r w:rsidRPr="004239B9">
        <w:rPr>
          <w:rFonts w:ascii="Times New Roman" w:hAnsi="Times New Roman" w:cs="Times New Roman"/>
          <w:b/>
          <w:bCs/>
          <w:sz w:val="24"/>
          <w:szCs w:val="24"/>
        </w:rPr>
        <w:t xml:space="preserve"> levels</w:t>
      </w:r>
    </w:p>
    <w:p w14:paraId="63FBD55E" w14:textId="7696A101" w:rsidR="00F4787D" w:rsidRPr="004239B9" w:rsidRDefault="00F4787D" w:rsidP="00F4787D">
      <w:pPr>
        <w:tabs>
          <w:tab w:val="left" w:pos="3175"/>
        </w:tabs>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 xml:space="preserve">An enzyme-linked immunosorbent assay was used for the quantitative detection of human C-reactive protein in </w:t>
      </w:r>
      <w:bookmarkStart w:id="1" w:name="_Hlk161417142"/>
      <w:r w:rsidRPr="004239B9">
        <w:rPr>
          <w:rFonts w:ascii="Times New Roman" w:hAnsi="Times New Roman" w:cs="Times New Roman"/>
          <w:sz w:val="24"/>
          <w:szCs w:val="24"/>
        </w:rPr>
        <w:t xml:space="preserve">pregnant women infected with malaria. The human C-reactive protein sandwich ELISA was designed to measure the amount of target bound between matched antibody pairs. A target-specific antibody was pre-coated in the wells of the supplied microplate. Samples of serum were added to the wells and bound to the immobilized antibody. The sandwich was formed by the addition of a second (detector) antibody, and a substrate solution was added that reacted with the enzyme-antibody-target complex, which produced color change. The intensity of this color change was directly proportional to the concentration of the malaria parasite present in the serum. Data </w:t>
      </w:r>
      <w:r w:rsidRPr="004239B9">
        <w:rPr>
          <w:rFonts w:ascii="Times New Roman" w:hAnsi="Times New Roman" w:cs="Times New Roman"/>
          <w:sz w:val="24"/>
          <w:szCs w:val="24"/>
        </w:rPr>
        <w:lastRenderedPageBreak/>
        <w:t>collected from this study were analyzed using SPSS BM software version 21. Assays were analyzed, and data were represented as mean ± standard deviation. Descriptive statistics were used to summarize data appropriately. Chi</w:t>
      </w:r>
      <w:r>
        <w:rPr>
          <w:rFonts w:ascii="Times New Roman" w:hAnsi="Times New Roman" w:cs="Times New Roman"/>
          <w:sz w:val="24"/>
          <w:szCs w:val="24"/>
        </w:rPr>
        <w:t>-square test</w:t>
      </w:r>
      <w:r w:rsidRPr="004239B9">
        <w:rPr>
          <w:rFonts w:ascii="Times New Roman" w:hAnsi="Times New Roman" w:cs="Times New Roman"/>
          <w:sz w:val="24"/>
          <w:szCs w:val="24"/>
        </w:rPr>
        <w:t xml:space="preserve"> was used to establish relationships between</w:t>
      </w:r>
      <w:r>
        <w:rPr>
          <w:rFonts w:ascii="Times New Roman" w:hAnsi="Times New Roman" w:cs="Times New Roman"/>
          <w:sz w:val="24"/>
          <w:szCs w:val="24"/>
        </w:rPr>
        <w:t xml:space="preserve"> MUAC, PCV, hemoglobin, </w:t>
      </w:r>
      <w:r w:rsidRPr="004239B9">
        <w:rPr>
          <w:rFonts w:ascii="Times New Roman" w:hAnsi="Times New Roman" w:cs="Times New Roman"/>
          <w:sz w:val="24"/>
          <w:szCs w:val="24"/>
        </w:rPr>
        <w:t>malaria infection, and CRP levels. A P-value of ‹0.05 was consid</w:t>
      </w:r>
      <w:r>
        <w:rPr>
          <w:rFonts w:ascii="Times New Roman" w:hAnsi="Times New Roman" w:cs="Times New Roman"/>
          <w:sz w:val="24"/>
          <w:szCs w:val="24"/>
        </w:rPr>
        <w:t>ered statistically</w:t>
      </w:r>
      <w:r w:rsidRPr="004239B9">
        <w:rPr>
          <w:rFonts w:ascii="Times New Roman" w:hAnsi="Times New Roman" w:cs="Times New Roman"/>
          <w:sz w:val="24"/>
          <w:szCs w:val="24"/>
        </w:rPr>
        <w:t xml:space="preserve"> significant.</w:t>
      </w:r>
    </w:p>
    <w:bookmarkEnd w:id="1"/>
    <w:p w14:paraId="4F356DD6" w14:textId="77777777" w:rsidR="00F4787D" w:rsidRPr="004239B9" w:rsidRDefault="00F4787D" w:rsidP="00F4787D">
      <w:pPr>
        <w:tabs>
          <w:tab w:val="left" w:pos="3175"/>
        </w:tabs>
        <w:spacing w:line="480" w:lineRule="auto"/>
        <w:ind w:left="0" w:right="0"/>
        <w:rPr>
          <w:rFonts w:ascii="Times New Roman" w:hAnsi="Times New Roman" w:cs="Times New Roman"/>
          <w:b/>
          <w:sz w:val="24"/>
          <w:szCs w:val="24"/>
        </w:rPr>
      </w:pPr>
      <w:r w:rsidRPr="004239B9">
        <w:rPr>
          <w:rFonts w:ascii="Times New Roman" w:hAnsi="Times New Roman" w:cs="Times New Roman"/>
          <w:b/>
          <w:sz w:val="24"/>
          <w:szCs w:val="24"/>
        </w:rPr>
        <w:t>RESULTS</w:t>
      </w:r>
    </w:p>
    <w:p w14:paraId="4FC379CA" w14:textId="5FA4DEFB" w:rsidR="00F4787D" w:rsidRPr="004239B9" w:rsidRDefault="00F4787D" w:rsidP="00F4787D">
      <w:pPr>
        <w:spacing w:before="120"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 xml:space="preserve">The results of the nutritional status and inflammatory infections in pregnant women who were receiving antenatal care </w:t>
      </w:r>
      <w:r>
        <w:rPr>
          <w:rFonts w:ascii="Times New Roman" w:hAnsi="Times New Roman" w:cs="Times New Roman"/>
          <w:sz w:val="24"/>
          <w:szCs w:val="24"/>
        </w:rPr>
        <w:t>at the</w:t>
      </w:r>
      <w:r w:rsidRPr="004239B9">
        <w:rPr>
          <w:rFonts w:ascii="Times New Roman" w:hAnsi="Times New Roman" w:cs="Times New Roman"/>
          <w:sz w:val="24"/>
          <w:szCs w:val="24"/>
        </w:rPr>
        <w:t xml:space="preserve"> Yariman Bakura Specialist Hospital in Gusau, Zamfara, are presented as followed.</w:t>
      </w:r>
    </w:p>
    <w:p w14:paraId="19242C6D" w14:textId="77777777" w:rsidR="00F4787D" w:rsidRPr="004239B9" w:rsidRDefault="00F4787D" w:rsidP="00F4787D">
      <w:pPr>
        <w:keepNext/>
        <w:spacing w:line="480" w:lineRule="auto"/>
        <w:ind w:left="0" w:right="0"/>
        <w:rPr>
          <w:rFonts w:ascii="Times New Roman" w:hAnsi="Times New Roman" w:cs="Times New Roman"/>
          <w:sz w:val="24"/>
          <w:szCs w:val="24"/>
        </w:rPr>
      </w:pPr>
      <w:r w:rsidRPr="004239B9">
        <w:rPr>
          <w:rFonts w:ascii="Times New Roman" w:hAnsi="Times New Roman" w:cs="Times New Roman"/>
          <w:noProof/>
          <w:sz w:val="24"/>
          <w:szCs w:val="24"/>
        </w:rPr>
        <w:drawing>
          <wp:inline distT="0" distB="0" distL="0" distR="0" wp14:anchorId="2C5CBA14" wp14:editId="7C5B5359">
            <wp:extent cx="5314951" cy="3171825"/>
            <wp:effectExtent l="0" t="0" r="0" b="0"/>
            <wp:docPr id="2053411788" name="Chart 2053411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C9169C" w14:textId="6F959C1F" w:rsidR="00F4787D" w:rsidRPr="004239B9" w:rsidRDefault="00F4787D" w:rsidP="00F4787D">
      <w:pPr>
        <w:pStyle w:val="Caption"/>
        <w:spacing w:line="480" w:lineRule="auto"/>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Figure 4. </w:t>
      </w:r>
      <w:r w:rsidRPr="004239B9">
        <w:rPr>
          <w:rFonts w:ascii="Times New Roman" w:hAnsi="Times New Roman" w:cs="Times New Roman"/>
          <w:b w:val="0"/>
          <w:color w:val="auto"/>
          <w:sz w:val="24"/>
          <w:szCs w:val="24"/>
        </w:rPr>
        <w:fldChar w:fldCharType="begin"/>
      </w:r>
      <w:r w:rsidRPr="004239B9">
        <w:rPr>
          <w:rFonts w:ascii="Times New Roman" w:hAnsi="Times New Roman" w:cs="Times New Roman"/>
          <w:b w:val="0"/>
          <w:color w:val="auto"/>
          <w:sz w:val="24"/>
          <w:szCs w:val="24"/>
        </w:rPr>
        <w:instrText xml:space="preserve"> SEQ Figure_4. \* ARABIC </w:instrText>
      </w:r>
      <w:r w:rsidRPr="004239B9">
        <w:rPr>
          <w:rFonts w:ascii="Times New Roman" w:hAnsi="Times New Roman" w:cs="Times New Roman"/>
          <w:b w:val="0"/>
          <w:color w:val="auto"/>
          <w:sz w:val="24"/>
          <w:szCs w:val="24"/>
        </w:rPr>
        <w:fldChar w:fldCharType="separate"/>
      </w:r>
      <w:r w:rsidRPr="004239B9">
        <w:rPr>
          <w:rFonts w:ascii="Times New Roman" w:hAnsi="Times New Roman" w:cs="Times New Roman"/>
          <w:b w:val="0"/>
          <w:noProof/>
          <w:color w:val="auto"/>
          <w:sz w:val="24"/>
          <w:szCs w:val="24"/>
        </w:rPr>
        <w:t>3</w:t>
      </w:r>
      <w:r w:rsidRPr="004239B9">
        <w:rPr>
          <w:rFonts w:ascii="Times New Roman" w:hAnsi="Times New Roman" w:cs="Times New Roman"/>
          <w:b w:val="0"/>
          <w:color w:val="auto"/>
          <w:sz w:val="24"/>
          <w:szCs w:val="24"/>
        </w:rPr>
        <w:fldChar w:fldCharType="end"/>
      </w:r>
      <w:r w:rsidRPr="004239B9">
        <w:rPr>
          <w:rFonts w:ascii="Times New Roman" w:hAnsi="Times New Roman" w:cs="Times New Roman"/>
          <w:b w:val="0"/>
          <w:color w:val="auto"/>
          <w:sz w:val="24"/>
          <w:szCs w:val="24"/>
        </w:rPr>
        <w:t xml:space="preserve">: Nutritional Status (MUAC) of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(n=239)</w:t>
      </w:r>
    </w:p>
    <w:p w14:paraId="0C751D51" w14:textId="77777777" w:rsidR="00F4787D" w:rsidRPr="004239B9" w:rsidRDefault="00F4787D" w:rsidP="00F4787D">
      <w:pPr>
        <w:tabs>
          <w:tab w:val="left" w:pos="3175"/>
        </w:tabs>
        <w:spacing w:line="480" w:lineRule="auto"/>
        <w:ind w:left="0" w:right="0"/>
        <w:rPr>
          <w:rFonts w:ascii="Times New Roman" w:hAnsi="Times New Roman" w:cs="Times New Roman"/>
          <w:sz w:val="24"/>
          <w:szCs w:val="24"/>
        </w:rPr>
      </w:pPr>
    </w:p>
    <w:p w14:paraId="03F25A36" w14:textId="77777777" w:rsidR="00F4787D" w:rsidRPr="004239B9" w:rsidRDefault="00F4787D" w:rsidP="00F4787D">
      <w:pPr>
        <w:keepNext/>
        <w:spacing w:line="480" w:lineRule="auto"/>
        <w:ind w:left="0" w:right="0"/>
        <w:rPr>
          <w:rFonts w:ascii="Times New Roman" w:hAnsi="Times New Roman" w:cs="Times New Roman"/>
          <w:sz w:val="24"/>
          <w:szCs w:val="24"/>
        </w:rPr>
      </w:pPr>
      <w:r w:rsidRPr="004239B9">
        <w:rPr>
          <w:rFonts w:ascii="Times New Roman" w:hAnsi="Times New Roman" w:cs="Times New Roman"/>
          <w:noProof/>
          <w:sz w:val="24"/>
          <w:szCs w:val="24"/>
        </w:rPr>
        <w:lastRenderedPageBreak/>
        <w:drawing>
          <wp:inline distT="0" distB="0" distL="0" distR="0" wp14:anchorId="5699857A" wp14:editId="5AA274CE">
            <wp:extent cx="5724525" cy="3476625"/>
            <wp:effectExtent l="0" t="0" r="0" b="0"/>
            <wp:docPr id="2040551149" name="Chart 2040551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7B7C6C" w14:textId="00AC7662" w:rsidR="00F4787D" w:rsidRPr="004239B9" w:rsidRDefault="00F4787D" w:rsidP="00F4787D">
      <w:pPr>
        <w:pStyle w:val="Caption"/>
        <w:spacing w:line="480" w:lineRule="auto"/>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Figure 4.4: Prevalence of malaria in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(n=239)</w:t>
      </w:r>
      <w:r w:rsidRPr="004239B9">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2567FAB9" wp14:editId="210A56A9">
                <wp:simplePos x="0" y="0"/>
                <wp:positionH relativeFrom="column">
                  <wp:posOffset>56515</wp:posOffset>
                </wp:positionH>
                <wp:positionV relativeFrom="paragraph">
                  <wp:posOffset>1090386</wp:posOffset>
                </wp:positionV>
                <wp:extent cx="5080000" cy="3279775"/>
                <wp:effectExtent l="0" t="0" r="25400" b="15875"/>
                <wp:wrapNone/>
                <wp:docPr id="22" name="Text Box 22"/>
                <wp:cNvGraphicFramePr/>
                <a:graphic xmlns:a="http://schemas.openxmlformats.org/drawingml/2006/main">
                  <a:graphicData uri="http://schemas.microsoft.com/office/word/2010/wordprocessingShape">
                    <wps:wsp>
                      <wps:cNvSpPr txBox="1"/>
                      <wps:spPr>
                        <a:xfrm>
                          <a:off x="0" y="0"/>
                          <a:ext cx="5080000" cy="3279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816B39" w14:textId="77777777" w:rsidR="00F4787D" w:rsidRDefault="00F4787D" w:rsidP="00F4787D">
                            <w:r w:rsidRPr="00C0662F">
                              <w:rPr>
                                <w:rFonts w:ascii="Times New Roman" w:hAnsi="Times New Roman" w:cs="Times New Roman"/>
                                <w:noProof/>
                                <w:sz w:val="24"/>
                                <w:szCs w:val="24"/>
                              </w:rPr>
                              <w:drawing>
                                <wp:inline distT="0" distB="0" distL="0" distR="0" wp14:anchorId="4FE8A988" wp14:editId="2BBCAE55">
                                  <wp:extent cx="5305425" cy="2181225"/>
                                  <wp:effectExtent l="0" t="0" r="0" b="0"/>
                                  <wp:docPr id="250983009" name="Chart 8698110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567FAB9" id="_x0000_t202" coordsize="21600,21600" o:spt="202" path="m,l,21600r21600,l21600,xe">
                <v:stroke joinstyle="miter"/>
                <v:path gradientshapeok="t" o:connecttype="rect"/>
              </v:shapetype>
              <v:shape id="Text Box 22" o:spid="_x0000_s1026" type="#_x0000_t202" style="position:absolute;left:0;text-align:left;margin-left:4.45pt;margin-top:85.85pt;width:400pt;height:258.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" fillcolor="white [3201]" strokecolor="white [3212]" strokeweight=".5pt">
                <v:textbox>
                  <w:txbxContent>
                    <w:p w14:paraId="64816B39" w14:textId="77777777" w:rsidR="00F4787D" w:rsidRDefault="00F4787D" w:rsidP="00F4787D">
                      <w:r w:rsidRPr="00C0662F">
                        <w:rPr>
                          <w:rFonts w:ascii="Times New Roman" w:hAnsi="Times New Roman" w:cs="Times New Roman"/>
                          <w:noProof/>
                          <w:sz w:val="24"/>
                          <w:szCs w:val="24"/>
                        </w:rPr>
                        <w:drawing>
                          <wp:inline distT="0" distB="0" distL="0" distR="0" wp14:anchorId="4FE8A988" wp14:editId="2BBCAE55">
                            <wp:extent cx="5305425" cy="2181225"/>
                            <wp:effectExtent l="0" t="0" r="0" b="0"/>
                            <wp:docPr id="250983009" name="Chart 8698110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14:paraId="3360F48E" w14:textId="77777777" w:rsidR="00F4787D" w:rsidRPr="004239B9" w:rsidRDefault="00F4787D" w:rsidP="00F4787D">
      <w:pPr>
        <w:keepNext/>
        <w:spacing w:line="480" w:lineRule="auto"/>
        <w:ind w:left="0" w:right="0"/>
        <w:rPr>
          <w:rFonts w:ascii="Times New Roman" w:hAnsi="Times New Roman" w:cs="Times New Roman"/>
          <w:noProof/>
          <w:sz w:val="24"/>
          <w:szCs w:val="24"/>
        </w:rPr>
      </w:pPr>
    </w:p>
    <w:p w14:paraId="2992C3B4" w14:textId="77777777" w:rsidR="00F4787D" w:rsidRPr="004239B9" w:rsidRDefault="00F4787D" w:rsidP="00F4787D">
      <w:pPr>
        <w:keepNext/>
        <w:spacing w:line="480" w:lineRule="auto"/>
        <w:ind w:left="0" w:right="0"/>
        <w:rPr>
          <w:rFonts w:ascii="Times New Roman" w:hAnsi="Times New Roman" w:cs="Times New Roman"/>
          <w:noProof/>
          <w:sz w:val="24"/>
          <w:szCs w:val="24"/>
        </w:rPr>
      </w:pPr>
    </w:p>
    <w:p w14:paraId="7E6A9B3E" w14:textId="77777777" w:rsidR="00F4787D" w:rsidRPr="004239B9" w:rsidRDefault="00F4787D" w:rsidP="00F4787D">
      <w:pPr>
        <w:keepNext/>
        <w:spacing w:line="480" w:lineRule="auto"/>
        <w:ind w:left="0" w:right="0"/>
        <w:rPr>
          <w:rFonts w:ascii="Times New Roman" w:hAnsi="Times New Roman" w:cs="Times New Roman"/>
          <w:noProof/>
          <w:sz w:val="24"/>
          <w:szCs w:val="24"/>
        </w:rPr>
      </w:pPr>
    </w:p>
    <w:p w14:paraId="5AD284F8" w14:textId="77777777" w:rsidR="00F4787D" w:rsidRPr="004239B9" w:rsidRDefault="00F4787D" w:rsidP="00F4787D">
      <w:pPr>
        <w:keepNext/>
        <w:spacing w:line="480" w:lineRule="auto"/>
        <w:ind w:left="0" w:right="0"/>
        <w:rPr>
          <w:rFonts w:ascii="Times New Roman" w:hAnsi="Times New Roman" w:cs="Times New Roman"/>
          <w:noProof/>
          <w:sz w:val="24"/>
          <w:szCs w:val="24"/>
        </w:rPr>
      </w:pPr>
    </w:p>
    <w:p w14:paraId="59440A37" w14:textId="77777777" w:rsidR="00F4787D" w:rsidRPr="004239B9" w:rsidRDefault="00F4787D" w:rsidP="00F4787D">
      <w:pPr>
        <w:keepNext/>
        <w:spacing w:line="480" w:lineRule="auto"/>
        <w:ind w:left="0" w:right="0"/>
        <w:rPr>
          <w:rFonts w:ascii="Times New Roman" w:hAnsi="Times New Roman" w:cs="Times New Roman"/>
          <w:noProof/>
          <w:sz w:val="24"/>
          <w:szCs w:val="24"/>
        </w:rPr>
      </w:pPr>
    </w:p>
    <w:p w14:paraId="2248BDF1" w14:textId="39ED4584" w:rsidR="00F4787D" w:rsidRPr="004239B9" w:rsidRDefault="00F4787D" w:rsidP="00F4787D">
      <w:pPr>
        <w:pStyle w:val="Caption"/>
        <w:spacing w:line="480" w:lineRule="auto"/>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Figure 4.5: Anemia makers (PCV and Hb) of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(n=239)</w:t>
      </w:r>
    </w:p>
    <w:p w14:paraId="5BAB97D9" w14:textId="77777777" w:rsidR="00F4787D" w:rsidRPr="004239B9" w:rsidRDefault="00F4787D" w:rsidP="00F4787D">
      <w:pPr>
        <w:pStyle w:val="Caption"/>
        <w:spacing w:line="480" w:lineRule="auto"/>
        <w:jc w:val="both"/>
        <w:rPr>
          <w:rFonts w:ascii="Times New Roman" w:hAnsi="Times New Roman" w:cs="Times New Roman"/>
          <w:b w:val="0"/>
          <w:color w:val="auto"/>
          <w:sz w:val="24"/>
          <w:szCs w:val="24"/>
        </w:rPr>
      </w:pPr>
    </w:p>
    <w:p w14:paraId="60ED3CBE" w14:textId="6DB263BD" w:rsidR="00F4787D" w:rsidRPr="004239B9" w:rsidRDefault="00F4787D" w:rsidP="00F4787D">
      <w:pPr>
        <w:pStyle w:val="Caption"/>
        <w:keepNext/>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Table  4.10: Association between Anemia makers (PCV and Hb) and Nutritional status of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(n=239)</w:t>
      </w:r>
    </w:p>
    <w:tbl>
      <w:tblPr>
        <w:tblpPr w:leftFromText="180" w:rightFromText="180" w:vertAnchor="text" w:horzAnchor="margin" w:tblpX="-720" w:tblpY="228"/>
        <w:tblW w:w="9946" w:type="pct"/>
        <w:tblLayout w:type="fixed"/>
        <w:tblLook w:val="04A0" w:firstRow="1" w:lastRow="0" w:firstColumn="1" w:lastColumn="0" w:noHBand="0" w:noVBand="1"/>
      </w:tblPr>
      <w:tblGrid>
        <w:gridCol w:w="2611"/>
        <w:gridCol w:w="2521"/>
        <w:gridCol w:w="2517"/>
        <w:gridCol w:w="2342"/>
        <w:gridCol w:w="3787"/>
        <w:gridCol w:w="2476"/>
        <w:gridCol w:w="2365"/>
      </w:tblGrid>
      <w:tr w:rsidR="00F4787D" w14:paraId="6F77163F" w14:textId="77777777" w:rsidTr="00C80B2D">
        <w:trPr>
          <w:trHeight w:val="324"/>
        </w:trPr>
        <w:tc>
          <w:tcPr>
            <w:tcW w:w="701" w:type="pct"/>
            <w:vMerge w:val="restart"/>
            <w:tcBorders>
              <w:top w:val="single" w:sz="4" w:space="0" w:color="auto"/>
              <w:left w:val="nil"/>
              <w:bottom w:val="single" w:sz="4" w:space="0" w:color="000000"/>
              <w:right w:val="nil"/>
            </w:tcBorders>
            <w:shd w:val="clear" w:color="auto" w:fill="auto"/>
            <w:hideMark/>
          </w:tcPr>
          <w:p w14:paraId="084027DC" w14:textId="77777777" w:rsidR="00F4787D" w:rsidRPr="004239B9" w:rsidRDefault="00F4787D" w:rsidP="00C80B2D">
            <w:pPr>
              <w:spacing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Variables</w:t>
            </w:r>
          </w:p>
        </w:tc>
        <w:tc>
          <w:tcPr>
            <w:tcW w:w="1982" w:type="pct"/>
            <w:gridSpan w:val="3"/>
            <w:tcBorders>
              <w:top w:val="single" w:sz="4" w:space="0" w:color="auto"/>
              <w:left w:val="nil"/>
              <w:bottom w:val="single" w:sz="4" w:space="0" w:color="000000"/>
              <w:right w:val="nil"/>
            </w:tcBorders>
            <w:shd w:val="clear" w:color="auto" w:fill="auto"/>
            <w:hideMark/>
          </w:tcPr>
          <w:p w14:paraId="2045C671" w14:textId="77777777" w:rsidR="00F4787D" w:rsidRPr="004239B9" w:rsidRDefault="00F4787D" w:rsidP="00C80B2D">
            <w:pPr>
              <w:spacing w:line="240" w:lineRule="auto"/>
              <w:ind w:left="0" w:right="0"/>
              <w:rPr>
                <w:rFonts w:ascii="Times New Roman" w:hAnsi="Times New Roman" w:cs="Times New Roman"/>
                <w:sz w:val="24"/>
                <w:szCs w:val="24"/>
              </w:rPr>
            </w:pPr>
            <w:r w:rsidRPr="004239B9">
              <w:rPr>
                <w:rFonts w:ascii="Times New Roman" w:hAnsi="Times New Roman" w:cs="Times New Roman"/>
                <w:sz w:val="24"/>
                <w:szCs w:val="24"/>
              </w:rPr>
              <w:t>PCV (%)</w:t>
            </w:r>
          </w:p>
        </w:tc>
        <w:tc>
          <w:tcPr>
            <w:tcW w:w="2317" w:type="pct"/>
            <w:gridSpan w:val="3"/>
            <w:tcBorders>
              <w:top w:val="single" w:sz="4" w:space="0" w:color="auto"/>
              <w:left w:val="nil"/>
              <w:bottom w:val="nil"/>
              <w:right w:val="nil"/>
            </w:tcBorders>
            <w:shd w:val="clear" w:color="auto" w:fill="auto"/>
            <w:hideMark/>
          </w:tcPr>
          <w:p w14:paraId="2FDA944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Hb(mg/dL)</w:t>
            </w:r>
          </w:p>
        </w:tc>
      </w:tr>
      <w:tr w:rsidR="00F4787D" w14:paraId="77B6BE84" w14:textId="77777777" w:rsidTr="00C80B2D">
        <w:trPr>
          <w:trHeight w:val="324"/>
        </w:trPr>
        <w:tc>
          <w:tcPr>
            <w:tcW w:w="701" w:type="pct"/>
            <w:vMerge/>
            <w:tcBorders>
              <w:top w:val="single" w:sz="4" w:space="0" w:color="auto"/>
              <w:left w:val="nil"/>
              <w:bottom w:val="single" w:sz="4" w:space="0" w:color="000000"/>
              <w:right w:val="nil"/>
            </w:tcBorders>
            <w:vAlign w:val="center"/>
            <w:hideMark/>
          </w:tcPr>
          <w:p w14:paraId="469D606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77" w:type="pct"/>
            <w:tcBorders>
              <w:top w:val="nil"/>
              <w:left w:val="nil"/>
              <w:bottom w:val="single" w:sz="4" w:space="0" w:color="auto"/>
              <w:right w:val="nil"/>
            </w:tcBorders>
            <w:shd w:val="clear" w:color="auto" w:fill="auto"/>
            <w:hideMark/>
          </w:tcPr>
          <w:p w14:paraId="1E88307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676" w:type="pct"/>
            <w:tcBorders>
              <w:top w:val="nil"/>
              <w:left w:val="nil"/>
              <w:bottom w:val="single" w:sz="4" w:space="0" w:color="auto"/>
              <w:right w:val="nil"/>
            </w:tcBorders>
            <w:shd w:val="clear" w:color="auto" w:fill="auto"/>
            <w:hideMark/>
          </w:tcPr>
          <w:p w14:paraId="69B78E3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629" w:type="pct"/>
            <w:tcBorders>
              <w:top w:val="single" w:sz="4" w:space="0" w:color="auto"/>
              <w:left w:val="nil"/>
              <w:bottom w:val="single" w:sz="4" w:space="0" w:color="auto"/>
              <w:right w:val="nil"/>
            </w:tcBorders>
            <w:shd w:val="clear" w:color="auto" w:fill="auto"/>
            <w:noWrap/>
            <w:hideMark/>
          </w:tcPr>
          <w:p w14:paraId="41D8613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p-value</w:t>
            </w:r>
          </w:p>
        </w:tc>
        <w:tc>
          <w:tcPr>
            <w:tcW w:w="1017" w:type="pct"/>
            <w:tcBorders>
              <w:top w:val="single" w:sz="4" w:space="0" w:color="000000"/>
              <w:left w:val="nil"/>
              <w:bottom w:val="single" w:sz="4" w:space="0" w:color="auto"/>
              <w:right w:val="nil"/>
            </w:tcBorders>
            <w:shd w:val="clear" w:color="auto" w:fill="auto"/>
            <w:hideMark/>
          </w:tcPr>
          <w:p w14:paraId="2515AD5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665" w:type="pct"/>
            <w:tcBorders>
              <w:top w:val="single" w:sz="4" w:space="0" w:color="auto"/>
              <w:left w:val="nil"/>
              <w:bottom w:val="single" w:sz="4" w:space="0" w:color="auto"/>
              <w:right w:val="nil"/>
            </w:tcBorders>
            <w:shd w:val="clear" w:color="auto" w:fill="auto"/>
            <w:hideMark/>
          </w:tcPr>
          <w:p w14:paraId="4BA84F0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635" w:type="pct"/>
            <w:tcBorders>
              <w:top w:val="single" w:sz="4" w:space="0" w:color="auto"/>
              <w:left w:val="nil"/>
              <w:bottom w:val="single" w:sz="4" w:space="0" w:color="auto"/>
              <w:right w:val="nil"/>
            </w:tcBorders>
            <w:shd w:val="clear" w:color="auto" w:fill="auto"/>
            <w:noWrap/>
            <w:hideMark/>
          </w:tcPr>
          <w:p w14:paraId="12EBB62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p-value</w:t>
            </w:r>
          </w:p>
        </w:tc>
      </w:tr>
      <w:tr w:rsidR="00F4787D" w14:paraId="130802A5" w14:textId="77777777" w:rsidTr="00C80B2D">
        <w:trPr>
          <w:trHeight w:val="324"/>
        </w:trPr>
        <w:tc>
          <w:tcPr>
            <w:tcW w:w="701" w:type="pct"/>
            <w:tcBorders>
              <w:top w:val="nil"/>
              <w:left w:val="nil"/>
              <w:bottom w:val="nil"/>
              <w:right w:val="nil"/>
            </w:tcBorders>
            <w:shd w:val="clear" w:color="auto" w:fill="auto"/>
            <w:hideMark/>
          </w:tcPr>
          <w:p w14:paraId="38B7C670" w14:textId="77777777" w:rsidR="00F4787D" w:rsidRPr="004239B9" w:rsidRDefault="00F4787D" w:rsidP="00C80B2D">
            <w:pPr>
              <w:spacing w:after="0" w:line="240" w:lineRule="auto"/>
              <w:ind w:left="0" w:right="0"/>
              <w:rPr>
                <w:rFonts w:ascii="Times New Roman" w:eastAsia="Times New Roman" w:hAnsi="Times New Roman" w:cs="Times New Roman"/>
                <w:b/>
                <w:sz w:val="24"/>
                <w:szCs w:val="24"/>
              </w:rPr>
            </w:pPr>
            <w:r w:rsidRPr="004239B9">
              <w:rPr>
                <w:rFonts w:ascii="Times New Roman" w:eastAsia="Times New Roman" w:hAnsi="Times New Roman" w:cs="Times New Roman"/>
                <w:b/>
                <w:sz w:val="24"/>
                <w:szCs w:val="24"/>
              </w:rPr>
              <w:t>Dietary Diversity</w:t>
            </w:r>
          </w:p>
        </w:tc>
        <w:tc>
          <w:tcPr>
            <w:tcW w:w="677" w:type="pct"/>
            <w:tcBorders>
              <w:top w:val="nil"/>
              <w:left w:val="nil"/>
              <w:bottom w:val="nil"/>
              <w:right w:val="nil"/>
            </w:tcBorders>
            <w:shd w:val="clear" w:color="auto" w:fill="auto"/>
            <w:hideMark/>
          </w:tcPr>
          <w:p w14:paraId="7D449385" w14:textId="77777777" w:rsidR="00F4787D" w:rsidRPr="004239B9" w:rsidRDefault="00F4787D" w:rsidP="00C80B2D">
            <w:pPr>
              <w:tabs>
                <w:tab w:val="left" w:pos="855"/>
              </w:tabs>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ab/>
            </w:r>
          </w:p>
        </w:tc>
        <w:tc>
          <w:tcPr>
            <w:tcW w:w="676" w:type="pct"/>
            <w:tcBorders>
              <w:top w:val="nil"/>
              <w:left w:val="nil"/>
              <w:bottom w:val="nil"/>
              <w:right w:val="nil"/>
            </w:tcBorders>
            <w:shd w:val="clear" w:color="auto" w:fill="auto"/>
            <w:hideMark/>
          </w:tcPr>
          <w:p w14:paraId="4ADC578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29" w:type="pct"/>
            <w:tcBorders>
              <w:top w:val="nil"/>
              <w:left w:val="nil"/>
              <w:bottom w:val="nil"/>
              <w:right w:val="nil"/>
            </w:tcBorders>
            <w:shd w:val="clear" w:color="auto" w:fill="auto"/>
            <w:noWrap/>
            <w:hideMark/>
          </w:tcPr>
          <w:p w14:paraId="02173DA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017" w:type="pct"/>
            <w:tcBorders>
              <w:top w:val="nil"/>
              <w:left w:val="nil"/>
              <w:bottom w:val="nil"/>
              <w:right w:val="nil"/>
            </w:tcBorders>
            <w:shd w:val="clear" w:color="auto" w:fill="auto"/>
            <w:hideMark/>
          </w:tcPr>
          <w:p w14:paraId="50A4CE1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65" w:type="pct"/>
            <w:tcBorders>
              <w:top w:val="nil"/>
              <w:left w:val="nil"/>
              <w:bottom w:val="nil"/>
              <w:right w:val="nil"/>
            </w:tcBorders>
            <w:shd w:val="clear" w:color="auto" w:fill="auto"/>
            <w:hideMark/>
          </w:tcPr>
          <w:p w14:paraId="5D83187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35" w:type="pct"/>
            <w:tcBorders>
              <w:top w:val="nil"/>
              <w:left w:val="nil"/>
              <w:bottom w:val="nil"/>
              <w:right w:val="nil"/>
            </w:tcBorders>
            <w:shd w:val="clear" w:color="auto" w:fill="auto"/>
            <w:noWrap/>
            <w:hideMark/>
          </w:tcPr>
          <w:p w14:paraId="094E11A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5514CA92" w14:textId="77777777" w:rsidTr="00C80B2D">
        <w:trPr>
          <w:trHeight w:val="324"/>
        </w:trPr>
        <w:tc>
          <w:tcPr>
            <w:tcW w:w="701" w:type="pct"/>
            <w:tcBorders>
              <w:top w:val="nil"/>
              <w:left w:val="nil"/>
              <w:bottom w:val="nil"/>
              <w:right w:val="nil"/>
            </w:tcBorders>
            <w:shd w:val="clear" w:color="auto" w:fill="auto"/>
            <w:hideMark/>
          </w:tcPr>
          <w:p w14:paraId="355A38A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Diversified</w:t>
            </w:r>
          </w:p>
        </w:tc>
        <w:tc>
          <w:tcPr>
            <w:tcW w:w="677" w:type="pct"/>
            <w:tcBorders>
              <w:top w:val="nil"/>
              <w:left w:val="nil"/>
              <w:bottom w:val="nil"/>
              <w:right w:val="nil"/>
            </w:tcBorders>
            <w:shd w:val="clear" w:color="auto" w:fill="auto"/>
            <w:noWrap/>
            <w:hideMark/>
          </w:tcPr>
          <w:p w14:paraId="613C27C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26(49.1)</w:t>
            </w:r>
          </w:p>
        </w:tc>
        <w:tc>
          <w:tcPr>
            <w:tcW w:w="676" w:type="pct"/>
            <w:tcBorders>
              <w:top w:val="nil"/>
              <w:left w:val="nil"/>
              <w:bottom w:val="nil"/>
              <w:right w:val="nil"/>
            </w:tcBorders>
            <w:shd w:val="clear" w:color="auto" w:fill="auto"/>
            <w:hideMark/>
          </w:tcPr>
          <w:p w14:paraId="5BCFA1B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27(50.9)</w:t>
            </w:r>
          </w:p>
        </w:tc>
        <w:tc>
          <w:tcPr>
            <w:tcW w:w="629" w:type="pct"/>
            <w:tcBorders>
              <w:top w:val="nil"/>
              <w:left w:val="nil"/>
              <w:bottom w:val="nil"/>
              <w:right w:val="nil"/>
            </w:tcBorders>
            <w:shd w:val="clear" w:color="auto" w:fill="auto"/>
            <w:hideMark/>
          </w:tcPr>
          <w:p w14:paraId="477CA75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0.021*</w:t>
            </w:r>
          </w:p>
        </w:tc>
        <w:tc>
          <w:tcPr>
            <w:tcW w:w="1017" w:type="pct"/>
            <w:tcBorders>
              <w:top w:val="nil"/>
              <w:left w:val="nil"/>
              <w:bottom w:val="nil"/>
              <w:right w:val="nil"/>
            </w:tcBorders>
            <w:shd w:val="clear" w:color="auto" w:fill="auto"/>
            <w:noWrap/>
            <w:hideMark/>
          </w:tcPr>
          <w:p w14:paraId="142C08E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34(64.2)</w:t>
            </w:r>
          </w:p>
        </w:tc>
        <w:tc>
          <w:tcPr>
            <w:tcW w:w="665" w:type="pct"/>
            <w:tcBorders>
              <w:top w:val="nil"/>
              <w:left w:val="nil"/>
              <w:bottom w:val="nil"/>
              <w:right w:val="nil"/>
            </w:tcBorders>
            <w:shd w:val="clear" w:color="auto" w:fill="auto"/>
            <w:hideMark/>
          </w:tcPr>
          <w:p w14:paraId="785F238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19(35.8)</w:t>
            </w:r>
          </w:p>
        </w:tc>
        <w:tc>
          <w:tcPr>
            <w:tcW w:w="635" w:type="pct"/>
            <w:tcBorders>
              <w:top w:val="nil"/>
              <w:left w:val="nil"/>
              <w:bottom w:val="nil"/>
              <w:right w:val="nil"/>
            </w:tcBorders>
            <w:shd w:val="clear" w:color="auto" w:fill="auto"/>
            <w:noWrap/>
            <w:hideMark/>
          </w:tcPr>
          <w:p w14:paraId="74E3753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0.049*</w:t>
            </w:r>
          </w:p>
        </w:tc>
      </w:tr>
      <w:tr w:rsidR="00F4787D" w14:paraId="62969E8B" w14:textId="77777777" w:rsidTr="00C80B2D">
        <w:trPr>
          <w:trHeight w:val="324"/>
        </w:trPr>
        <w:tc>
          <w:tcPr>
            <w:tcW w:w="701" w:type="pct"/>
            <w:tcBorders>
              <w:top w:val="nil"/>
              <w:left w:val="nil"/>
              <w:bottom w:val="nil"/>
              <w:right w:val="nil"/>
            </w:tcBorders>
            <w:shd w:val="clear" w:color="auto" w:fill="auto"/>
            <w:hideMark/>
          </w:tcPr>
          <w:p w14:paraId="19AC2C2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Not diversified</w:t>
            </w:r>
          </w:p>
        </w:tc>
        <w:tc>
          <w:tcPr>
            <w:tcW w:w="677" w:type="pct"/>
            <w:tcBorders>
              <w:top w:val="nil"/>
              <w:left w:val="nil"/>
              <w:bottom w:val="nil"/>
              <w:right w:val="nil"/>
            </w:tcBorders>
            <w:shd w:val="clear" w:color="auto" w:fill="auto"/>
            <w:noWrap/>
            <w:hideMark/>
          </w:tcPr>
          <w:p w14:paraId="7D271B0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17(48.6)</w:t>
            </w:r>
          </w:p>
        </w:tc>
        <w:tc>
          <w:tcPr>
            <w:tcW w:w="676" w:type="pct"/>
            <w:tcBorders>
              <w:top w:val="nil"/>
              <w:left w:val="nil"/>
              <w:bottom w:val="nil"/>
              <w:right w:val="nil"/>
            </w:tcBorders>
            <w:shd w:val="clear" w:color="auto" w:fill="auto"/>
            <w:hideMark/>
          </w:tcPr>
          <w:p w14:paraId="6044B83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18(51.4)</w:t>
            </w:r>
          </w:p>
        </w:tc>
        <w:tc>
          <w:tcPr>
            <w:tcW w:w="629" w:type="pct"/>
            <w:tcBorders>
              <w:top w:val="nil"/>
              <w:left w:val="nil"/>
              <w:bottom w:val="nil"/>
              <w:right w:val="nil"/>
            </w:tcBorders>
            <w:shd w:val="clear" w:color="auto" w:fill="auto"/>
            <w:hideMark/>
          </w:tcPr>
          <w:p w14:paraId="475C7D6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017" w:type="pct"/>
            <w:tcBorders>
              <w:top w:val="nil"/>
              <w:left w:val="nil"/>
              <w:bottom w:val="nil"/>
              <w:right w:val="nil"/>
            </w:tcBorders>
            <w:shd w:val="clear" w:color="auto" w:fill="auto"/>
            <w:hideMark/>
          </w:tcPr>
          <w:p w14:paraId="4244E88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14(40.0)</w:t>
            </w:r>
          </w:p>
        </w:tc>
        <w:tc>
          <w:tcPr>
            <w:tcW w:w="665" w:type="pct"/>
            <w:tcBorders>
              <w:top w:val="nil"/>
              <w:left w:val="nil"/>
              <w:bottom w:val="nil"/>
              <w:right w:val="nil"/>
            </w:tcBorders>
            <w:shd w:val="clear" w:color="auto" w:fill="auto"/>
            <w:noWrap/>
            <w:hideMark/>
          </w:tcPr>
          <w:p w14:paraId="6899A81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21(60.0)</w:t>
            </w:r>
          </w:p>
        </w:tc>
        <w:tc>
          <w:tcPr>
            <w:tcW w:w="635" w:type="pct"/>
            <w:tcBorders>
              <w:top w:val="nil"/>
              <w:left w:val="nil"/>
              <w:bottom w:val="nil"/>
              <w:right w:val="nil"/>
            </w:tcBorders>
            <w:shd w:val="clear" w:color="auto" w:fill="auto"/>
            <w:noWrap/>
            <w:hideMark/>
          </w:tcPr>
          <w:p w14:paraId="69D319E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5587AA6F" w14:textId="77777777" w:rsidTr="00C80B2D">
        <w:trPr>
          <w:trHeight w:val="324"/>
        </w:trPr>
        <w:tc>
          <w:tcPr>
            <w:tcW w:w="701" w:type="pct"/>
            <w:tcBorders>
              <w:top w:val="nil"/>
              <w:left w:val="nil"/>
              <w:bottom w:val="nil"/>
              <w:right w:val="nil"/>
            </w:tcBorders>
            <w:shd w:val="clear" w:color="auto" w:fill="auto"/>
            <w:hideMark/>
          </w:tcPr>
          <w:p w14:paraId="474D2797" w14:textId="77777777" w:rsidR="00F4787D" w:rsidRPr="004239B9" w:rsidRDefault="00F4787D" w:rsidP="00C80B2D">
            <w:pPr>
              <w:spacing w:after="0" w:line="240" w:lineRule="auto"/>
              <w:ind w:left="0" w:right="0"/>
              <w:rPr>
                <w:rFonts w:ascii="Times New Roman" w:eastAsia="Times New Roman" w:hAnsi="Times New Roman" w:cs="Times New Roman"/>
                <w:b/>
                <w:sz w:val="24"/>
                <w:szCs w:val="24"/>
              </w:rPr>
            </w:pPr>
            <w:r w:rsidRPr="004239B9">
              <w:rPr>
                <w:rFonts w:ascii="Times New Roman" w:eastAsia="Times New Roman" w:hAnsi="Times New Roman" w:cs="Times New Roman"/>
                <w:b/>
                <w:sz w:val="24"/>
                <w:szCs w:val="24"/>
              </w:rPr>
              <w:t>MUAC</w:t>
            </w:r>
          </w:p>
        </w:tc>
        <w:tc>
          <w:tcPr>
            <w:tcW w:w="677" w:type="pct"/>
            <w:tcBorders>
              <w:top w:val="nil"/>
              <w:left w:val="nil"/>
              <w:bottom w:val="nil"/>
              <w:right w:val="nil"/>
            </w:tcBorders>
            <w:shd w:val="clear" w:color="auto" w:fill="auto"/>
            <w:noWrap/>
            <w:hideMark/>
          </w:tcPr>
          <w:p w14:paraId="75F4B7A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76" w:type="pct"/>
            <w:tcBorders>
              <w:top w:val="nil"/>
              <w:left w:val="nil"/>
              <w:bottom w:val="nil"/>
              <w:right w:val="nil"/>
            </w:tcBorders>
            <w:shd w:val="clear" w:color="auto" w:fill="auto"/>
            <w:hideMark/>
          </w:tcPr>
          <w:p w14:paraId="4837504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29" w:type="pct"/>
            <w:tcBorders>
              <w:top w:val="nil"/>
              <w:left w:val="nil"/>
              <w:bottom w:val="nil"/>
              <w:right w:val="nil"/>
            </w:tcBorders>
            <w:shd w:val="clear" w:color="auto" w:fill="auto"/>
            <w:hideMark/>
          </w:tcPr>
          <w:p w14:paraId="0D10558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017" w:type="pct"/>
            <w:tcBorders>
              <w:top w:val="nil"/>
              <w:left w:val="nil"/>
              <w:bottom w:val="nil"/>
              <w:right w:val="nil"/>
            </w:tcBorders>
            <w:shd w:val="clear" w:color="auto" w:fill="auto"/>
            <w:hideMark/>
          </w:tcPr>
          <w:p w14:paraId="46AE787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65" w:type="pct"/>
            <w:tcBorders>
              <w:top w:val="nil"/>
              <w:left w:val="nil"/>
              <w:bottom w:val="nil"/>
              <w:right w:val="nil"/>
            </w:tcBorders>
            <w:shd w:val="clear" w:color="auto" w:fill="auto"/>
            <w:noWrap/>
            <w:hideMark/>
          </w:tcPr>
          <w:p w14:paraId="2E50EF5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635" w:type="pct"/>
            <w:tcBorders>
              <w:top w:val="nil"/>
              <w:left w:val="nil"/>
              <w:bottom w:val="nil"/>
              <w:right w:val="nil"/>
            </w:tcBorders>
            <w:shd w:val="clear" w:color="auto" w:fill="auto"/>
            <w:noWrap/>
            <w:hideMark/>
          </w:tcPr>
          <w:p w14:paraId="71FB6CB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5DE5EF4E" w14:textId="77777777" w:rsidTr="00C80B2D">
        <w:trPr>
          <w:trHeight w:val="649"/>
        </w:trPr>
        <w:tc>
          <w:tcPr>
            <w:tcW w:w="701" w:type="pct"/>
            <w:tcBorders>
              <w:top w:val="nil"/>
              <w:left w:val="nil"/>
              <w:bottom w:val="nil"/>
              <w:right w:val="nil"/>
            </w:tcBorders>
            <w:shd w:val="clear" w:color="auto" w:fill="auto"/>
            <w:hideMark/>
          </w:tcPr>
          <w:p w14:paraId="50A2567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Severe Malnourishment</w:t>
            </w:r>
          </w:p>
        </w:tc>
        <w:tc>
          <w:tcPr>
            <w:tcW w:w="677" w:type="pct"/>
            <w:tcBorders>
              <w:top w:val="nil"/>
              <w:left w:val="nil"/>
              <w:bottom w:val="nil"/>
              <w:right w:val="nil"/>
            </w:tcBorders>
            <w:shd w:val="clear" w:color="auto" w:fill="auto"/>
            <w:noWrap/>
            <w:hideMark/>
          </w:tcPr>
          <w:p w14:paraId="7EDAF90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0(0.0)</w:t>
            </w:r>
          </w:p>
        </w:tc>
        <w:tc>
          <w:tcPr>
            <w:tcW w:w="676" w:type="pct"/>
            <w:tcBorders>
              <w:top w:val="nil"/>
              <w:left w:val="nil"/>
              <w:bottom w:val="nil"/>
              <w:right w:val="nil"/>
            </w:tcBorders>
            <w:shd w:val="clear" w:color="auto" w:fill="auto"/>
            <w:hideMark/>
          </w:tcPr>
          <w:p w14:paraId="3190626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2(100)</w:t>
            </w:r>
          </w:p>
        </w:tc>
        <w:tc>
          <w:tcPr>
            <w:tcW w:w="629" w:type="pct"/>
            <w:tcBorders>
              <w:top w:val="nil"/>
              <w:left w:val="nil"/>
              <w:bottom w:val="nil"/>
              <w:right w:val="nil"/>
            </w:tcBorders>
            <w:shd w:val="clear" w:color="auto" w:fill="auto"/>
            <w:hideMark/>
          </w:tcPr>
          <w:p w14:paraId="0B1CC43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0.001*</w:t>
            </w:r>
          </w:p>
        </w:tc>
        <w:tc>
          <w:tcPr>
            <w:tcW w:w="1017" w:type="pct"/>
            <w:tcBorders>
              <w:top w:val="nil"/>
              <w:left w:val="nil"/>
              <w:bottom w:val="nil"/>
              <w:right w:val="nil"/>
            </w:tcBorders>
            <w:shd w:val="clear" w:color="auto" w:fill="auto"/>
            <w:noWrap/>
            <w:hideMark/>
          </w:tcPr>
          <w:p w14:paraId="699F686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2(100)</w:t>
            </w:r>
          </w:p>
        </w:tc>
        <w:tc>
          <w:tcPr>
            <w:tcW w:w="665" w:type="pct"/>
            <w:tcBorders>
              <w:top w:val="nil"/>
              <w:left w:val="nil"/>
              <w:bottom w:val="nil"/>
              <w:right w:val="nil"/>
            </w:tcBorders>
            <w:shd w:val="clear" w:color="auto" w:fill="auto"/>
            <w:hideMark/>
          </w:tcPr>
          <w:p w14:paraId="2375717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0(0.0)</w:t>
            </w:r>
          </w:p>
        </w:tc>
        <w:tc>
          <w:tcPr>
            <w:tcW w:w="635" w:type="pct"/>
            <w:tcBorders>
              <w:top w:val="nil"/>
              <w:left w:val="nil"/>
              <w:bottom w:val="nil"/>
              <w:right w:val="nil"/>
            </w:tcBorders>
            <w:shd w:val="clear" w:color="auto" w:fill="auto"/>
            <w:noWrap/>
            <w:hideMark/>
          </w:tcPr>
          <w:p w14:paraId="6B8EBC9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0.061</w:t>
            </w:r>
          </w:p>
        </w:tc>
      </w:tr>
      <w:tr w:rsidR="00F4787D" w14:paraId="5CD31DCA" w14:textId="77777777" w:rsidTr="00C80B2D">
        <w:trPr>
          <w:trHeight w:val="649"/>
        </w:trPr>
        <w:tc>
          <w:tcPr>
            <w:tcW w:w="701" w:type="pct"/>
            <w:tcBorders>
              <w:top w:val="nil"/>
              <w:left w:val="nil"/>
              <w:bottom w:val="nil"/>
              <w:right w:val="nil"/>
            </w:tcBorders>
            <w:shd w:val="clear" w:color="auto" w:fill="auto"/>
            <w:hideMark/>
          </w:tcPr>
          <w:p w14:paraId="591A665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Moderate Malnourishment</w:t>
            </w:r>
          </w:p>
        </w:tc>
        <w:tc>
          <w:tcPr>
            <w:tcW w:w="677" w:type="pct"/>
            <w:tcBorders>
              <w:top w:val="nil"/>
              <w:left w:val="nil"/>
              <w:bottom w:val="nil"/>
              <w:right w:val="nil"/>
            </w:tcBorders>
            <w:shd w:val="clear" w:color="auto" w:fill="auto"/>
            <w:noWrap/>
            <w:hideMark/>
          </w:tcPr>
          <w:p w14:paraId="64D4093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2(20.0)</w:t>
            </w:r>
          </w:p>
        </w:tc>
        <w:tc>
          <w:tcPr>
            <w:tcW w:w="676" w:type="pct"/>
            <w:tcBorders>
              <w:top w:val="nil"/>
              <w:left w:val="nil"/>
              <w:bottom w:val="nil"/>
              <w:right w:val="nil"/>
            </w:tcBorders>
            <w:shd w:val="clear" w:color="auto" w:fill="auto"/>
            <w:hideMark/>
          </w:tcPr>
          <w:p w14:paraId="357364D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2(80.0)</w:t>
            </w:r>
          </w:p>
        </w:tc>
        <w:tc>
          <w:tcPr>
            <w:tcW w:w="629" w:type="pct"/>
            <w:tcBorders>
              <w:top w:val="nil"/>
              <w:left w:val="nil"/>
              <w:bottom w:val="nil"/>
              <w:right w:val="nil"/>
            </w:tcBorders>
            <w:shd w:val="clear" w:color="auto" w:fill="auto"/>
            <w:hideMark/>
          </w:tcPr>
          <w:p w14:paraId="26F16E3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017" w:type="pct"/>
            <w:tcBorders>
              <w:top w:val="nil"/>
              <w:left w:val="nil"/>
              <w:bottom w:val="nil"/>
              <w:right w:val="nil"/>
            </w:tcBorders>
            <w:shd w:val="clear" w:color="auto" w:fill="auto"/>
            <w:noWrap/>
            <w:hideMark/>
          </w:tcPr>
          <w:p w14:paraId="171E1E7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6(60.8)</w:t>
            </w:r>
          </w:p>
        </w:tc>
        <w:tc>
          <w:tcPr>
            <w:tcW w:w="665" w:type="pct"/>
            <w:tcBorders>
              <w:top w:val="nil"/>
              <w:left w:val="nil"/>
              <w:bottom w:val="nil"/>
              <w:right w:val="nil"/>
            </w:tcBorders>
            <w:shd w:val="clear" w:color="auto" w:fill="auto"/>
            <w:hideMark/>
          </w:tcPr>
          <w:p w14:paraId="7983263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4(40.0)</w:t>
            </w:r>
          </w:p>
        </w:tc>
        <w:tc>
          <w:tcPr>
            <w:tcW w:w="635" w:type="pct"/>
            <w:tcBorders>
              <w:top w:val="nil"/>
              <w:left w:val="nil"/>
              <w:bottom w:val="nil"/>
              <w:right w:val="nil"/>
            </w:tcBorders>
            <w:shd w:val="clear" w:color="auto" w:fill="auto"/>
            <w:noWrap/>
            <w:hideMark/>
          </w:tcPr>
          <w:p w14:paraId="375F447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198412CF" w14:textId="77777777" w:rsidTr="00C80B2D">
        <w:trPr>
          <w:trHeight w:val="1755"/>
        </w:trPr>
        <w:tc>
          <w:tcPr>
            <w:tcW w:w="701" w:type="pct"/>
            <w:tcBorders>
              <w:top w:val="nil"/>
              <w:left w:val="nil"/>
              <w:bottom w:val="single" w:sz="4" w:space="0" w:color="auto"/>
              <w:right w:val="nil"/>
            </w:tcBorders>
            <w:shd w:val="clear" w:color="auto" w:fill="auto"/>
            <w:hideMark/>
          </w:tcPr>
          <w:p w14:paraId="2A2AB8E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677" w:type="pct"/>
            <w:tcBorders>
              <w:top w:val="nil"/>
              <w:left w:val="nil"/>
              <w:bottom w:val="single" w:sz="4" w:space="0" w:color="auto"/>
              <w:right w:val="nil"/>
            </w:tcBorders>
            <w:shd w:val="clear" w:color="auto" w:fill="auto"/>
            <w:noWrap/>
            <w:hideMark/>
          </w:tcPr>
          <w:p w14:paraId="4405678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32(49.2)</w:t>
            </w:r>
          </w:p>
        </w:tc>
        <w:tc>
          <w:tcPr>
            <w:tcW w:w="676" w:type="pct"/>
            <w:tcBorders>
              <w:top w:val="nil"/>
              <w:left w:val="nil"/>
              <w:bottom w:val="single" w:sz="4" w:space="0" w:color="auto"/>
              <w:right w:val="nil"/>
            </w:tcBorders>
            <w:shd w:val="clear" w:color="auto" w:fill="auto"/>
            <w:hideMark/>
          </w:tcPr>
          <w:p w14:paraId="1E61F43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33(50.8)</w:t>
            </w:r>
          </w:p>
        </w:tc>
        <w:tc>
          <w:tcPr>
            <w:tcW w:w="629" w:type="pct"/>
            <w:tcBorders>
              <w:top w:val="nil"/>
              <w:left w:val="nil"/>
              <w:bottom w:val="single" w:sz="4" w:space="0" w:color="auto"/>
              <w:right w:val="nil"/>
            </w:tcBorders>
            <w:shd w:val="clear" w:color="auto" w:fill="auto"/>
            <w:hideMark/>
          </w:tcPr>
          <w:p w14:paraId="2EE3E9E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 </w:t>
            </w:r>
          </w:p>
        </w:tc>
        <w:tc>
          <w:tcPr>
            <w:tcW w:w="1017" w:type="pct"/>
            <w:tcBorders>
              <w:top w:val="nil"/>
              <w:left w:val="nil"/>
              <w:bottom w:val="single" w:sz="4" w:space="0" w:color="auto"/>
              <w:right w:val="nil"/>
            </w:tcBorders>
            <w:shd w:val="clear" w:color="auto" w:fill="auto"/>
            <w:noWrap/>
            <w:hideMark/>
          </w:tcPr>
          <w:p w14:paraId="78922F8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38(58.5)</w:t>
            </w:r>
          </w:p>
        </w:tc>
        <w:tc>
          <w:tcPr>
            <w:tcW w:w="665" w:type="pct"/>
            <w:tcBorders>
              <w:top w:val="nil"/>
              <w:left w:val="nil"/>
              <w:bottom w:val="single" w:sz="4" w:space="0" w:color="auto"/>
              <w:right w:val="nil"/>
            </w:tcBorders>
            <w:shd w:val="clear" w:color="auto" w:fill="auto"/>
            <w:hideMark/>
          </w:tcPr>
          <w:p w14:paraId="1B35D5E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27(41.5)</w:t>
            </w:r>
          </w:p>
        </w:tc>
        <w:tc>
          <w:tcPr>
            <w:tcW w:w="635" w:type="pct"/>
            <w:tcBorders>
              <w:top w:val="nil"/>
              <w:left w:val="nil"/>
              <w:bottom w:val="single" w:sz="4" w:space="0" w:color="auto"/>
              <w:right w:val="nil"/>
            </w:tcBorders>
            <w:shd w:val="clear" w:color="auto" w:fill="auto"/>
            <w:noWrap/>
            <w:hideMark/>
          </w:tcPr>
          <w:p w14:paraId="7B5C285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 </w:t>
            </w:r>
          </w:p>
        </w:tc>
      </w:tr>
    </w:tbl>
    <w:p w14:paraId="7AD23F13" w14:textId="77777777" w:rsidR="00F4787D" w:rsidRPr="004239B9" w:rsidRDefault="00F4787D" w:rsidP="00F4787D">
      <w:pPr>
        <w:pStyle w:val="Caption"/>
        <w:keepNext/>
        <w:jc w:val="both"/>
        <w:rPr>
          <w:rFonts w:ascii="Times New Roman" w:hAnsi="Times New Roman" w:cs="Times New Roman"/>
          <w:b w:val="0"/>
          <w:color w:val="auto"/>
          <w:sz w:val="24"/>
          <w:szCs w:val="24"/>
        </w:rPr>
      </w:pPr>
    </w:p>
    <w:p w14:paraId="6ECABEBA" w14:textId="27B37570" w:rsidR="00F4787D" w:rsidRPr="004239B9" w:rsidRDefault="00F4787D" w:rsidP="00F4787D">
      <w:pPr>
        <w:pStyle w:val="Caption"/>
        <w:keepNext/>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Table 4:11: pHLD and CRP levels of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(n=54)</w:t>
      </w:r>
    </w:p>
    <w:tbl>
      <w:tblPr>
        <w:tblW w:w="9564" w:type="dxa"/>
        <w:tblInd w:w="93" w:type="dxa"/>
        <w:tblLook w:val="04A0" w:firstRow="1" w:lastRow="0" w:firstColumn="1" w:lastColumn="0" w:noHBand="0" w:noVBand="1"/>
      </w:tblPr>
      <w:tblGrid>
        <w:gridCol w:w="3864"/>
        <w:gridCol w:w="2575"/>
        <w:gridCol w:w="3125"/>
      </w:tblGrid>
      <w:tr w:rsidR="00F4787D" w14:paraId="1B4619E6" w14:textId="77777777" w:rsidTr="00C80B2D">
        <w:trPr>
          <w:trHeight w:val="319"/>
        </w:trPr>
        <w:tc>
          <w:tcPr>
            <w:tcW w:w="3864" w:type="dxa"/>
            <w:tcBorders>
              <w:top w:val="single" w:sz="4" w:space="0" w:color="000000"/>
              <w:left w:val="nil"/>
              <w:bottom w:val="single" w:sz="4" w:space="0" w:color="000000"/>
              <w:right w:val="nil"/>
            </w:tcBorders>
            <w:shd w:val="clear" w:color="auto" w:fill="auto"/>
            <w:hideMark/>
          </w:tcPr>
          <w:p w14:paraId="7303C51A" w14:textId="77777777" w:rsidR="00F4787D" w:rsidRPr="004239B9" w:rsidRDefault="00F4787D" w:rsidP="00C80B2D">
            <w:pPr>
              <w:spacing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Variables</w:t>
            </w:r>
          </w:p>
        </w:tc>
        <w:tc>
          <w:tcPr>
            <w:tcW w:w="2575" w:type="dxa"/>
            <w:tcBorders>
              <w:top w:val="single" w:sz="4" w:space="0" w:color="000000"/>
              <w:left w:val="nil"/>
              <w:bottom w:val="single" w:sz="4" w:space="0" w:color="000000"/>
              <w:right w:val="nil"/>
            </w:tcBorders>
            <w:shd w:val="clear" w:color="auto" w:fill="auto"/>
            <w:hideMark/>
          </w:tcPr>
          <w:p w14:paraId="72AD670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Frequency</w:t>
            </w:r>
          </w:p>
        </w:tc>
        <w:tc>
          <w:tcPr>
            <w:tcW w:w="3125" w:type="dxa"/>
            <w:tcBorders>
              <w:top w:val="single" w:sz="4" w:space="0" w:color="000000"/>
              <w:left w:val="nil"/>
              <w:bottom w:val="single" w:sz="4" w:space="0" w:color="000000"/>
              <w:right w:val="nil"/>
            </w:tcBorders>
            <w:shd w:val="clear" w:color="auto" w:fill="auto"/>
            <w:hideMark/>
          </w:tcPr>
          <w:p w14:paraId="0157AAF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Percentage (%)</w:t>
            </w:r>
          </w:p>
        </w:tc>
      </w:tr>
      <w:tr w:rsidR="00F4787D" w14:paraId="5152BF10" w14:textId="77777777" w:rsidTr="00C80B2D">
        <w:trPr>
          <w:trHeight w:val="319"/>
        </w:trPr>
        <w:tc>
          <w:tcPr>
            <w:tcW w:w="9564" w:type="dxa"/>
            <w:gridSpan w:val="3"/>
            <w:tcBorders>
              <w:top w:val="single" w:sz="4" w:space="0" w:color="000000"/>
              <w:left w:val="nil"/>
              <w:bottom w:val="nil"/>
              <w:right w:val="nil"/>
            </w:tcBorders>
            <w:shd w:val="clear" w:color="auto" w:fill="auto"/>
            <w:hideMark/>
          </w:tcPr>
          <w:p w14:paraId="6B5C5C6D" w14:textId="77777777" w:rsidR="00F4787D" w:rsidRPr="004239B9" w:rsidRDefault="00F4787D" w:rsidP="00C80B2D">
            <w:pPr>
              <w:spacing w:after="0" w:line="240" w:lineRule="auto"/>
              <w:ind w:left="0" w:right="0"/>
              <w:rPr>
                <w:rFonts w:ascii="Times New Roman" w:eastAsia="Times New Roman" w:hAnsi="Times New Roman" w:cs="Times New Roman"/>
                <w:b/>
                <w:bCs/>
                <w:sz w:val="24"/>
                <w:szCs w:val="24"/>
              </w:rPr>
            </w:pPr>
            <w:r w:rsidRPr="004239B9">
              <w:rPr>
                <w:rFonts w:ascii="Times New Roman" w:eastAsia="Times New Roman" w:hAnsi="Times New Roman" w:cs="Times New Roman"/>
                <w:b/>
                <w:bCs/>
                <w:sz w:val="24"/>
                <w:szCs w:val="24"/>
              </w:rPr>
              <w:t>pHLD(mg/dL)</w:t>
            </w:r>
          </w:p>
        </w:tc>
      </w:tr>
      <w:tr w:rsidR="00F4787D" w14:paraId="7C01C565" w14:textId="77777777" w:rsidTr="00C80B2D">
        <w:trPr>
          <w:trHeight w:val="319"/>
        </w:trPr>
        <w:tc>
          <w:tcPr>
            <w:tcW w:w="3864" w:type="dxa"/>
            <w:tcBorders>
              <w:top w:val="nil"/>
              <w:left w:val="nil"/>
              <w:bottom w:val="nil"/>
              <w:right w:val="nil"/>
            </w:tcBorders>
            <w:shd w:val="clear" w:color="auto" w:fill="auto"/>
            <w:hideMark/>
          </w:tcPr>
          <w:p w14:paraId="6E78BBF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2575" w:type="dxa"/>
            <w:tcBorders>
              <w:top w:val="nil"/>
              <w:left w:val="nil"/>
              <w:bottom w:val="nil"/>
              <w:right w:val="nil"/>
            </w:tcBorders>
            <w:shd w:val="clear" w:color="auto" w:fill="auto"/>
            <w:noWrap/>
            <w:hideMark/>
          </w:tcPr>
          <w:p w14:paraId="28D046A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15</w:t>
            </w:r>
          </w:p>
        </w:tc>
        <w:tc>
          <w:tcPr>
            <w:tcW w:w="3125" w:type="dxa"/>
            <w:tcBorders>
              <w:top w:val="nil"/>
              <w:left w:val="nil"/>
              <w:bottom w:val="nil"/>
              <w:right w:val="nil"/>
            </w:tcBorders>
            <w:shd w:val="clear" w:color="auto" w:fill="auto"/>
            <w:hideMark/>
          </w:tcPr>
          <w:p w14:paraId="59325C0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28.6</w:t>
            </w:r>
          </w:p>
        </w:tc>
      </w:tr>
      <w:tr w:rsidR="00F4787D" w14:paraId="3F82A7E0" w14:textId="77777777" w:rsidTr="00C80B2D">
        <w:trPr>
          <w:trHeight w:val="319"/>
        </w:trPr>
        <w:tc>
          <w:tcPr>
            <w:tcW w:w="3864" w:type="dxa"/>
            <w:tcBorders>
              <w:top w:val="nil"/>
              <w:left w:val="nil"/>
              <w:bottom w:val="nil"/>
              <w:right w:val="nil"/>
            </w:tcBorders>
            <w:shd w:val="clear" w:color="auto" w:fill="auto"/>
            <w:hideMark/>
          </w:tcPr>
          <w:p w14:paraId="6AFEA4C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High</w:t>
            </w:r>
          </w:p>
        </w:tc>
        <w:tc>
          <w:tcPr>
            <w:tcW w:w="2575" w:type="dxa"/>
            <w:tcBorders>
              <w:top w:val="nil"/>
              <w:left w:val="nil"/>
              <w:bottom w:val="nil"/>
              <w:right w:val="nil"/>
            </w:tcBorders>
            <w:shd w:val="clear" w:color="auto" w:fill="auto"/>
            <w:noWrap/>
            <w:hideMark/>
          </w:tcPr>
          <w:p w14:paraId="4603841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39</w:t>
            </w:r>
          </w:p>
        </w:tc>
        <w:tc>
          <w:tcPr>
            <w:tcW w:w="3125" w:type="dxa"/>
            <w:tcBorders>
              <w:top w:val="nil"/>
              <w:left w:val="nil"/>
              <w:bottom w:val="nil"/>
              <w:right w:val="nil"/>
            </w:tcBorders>
            <w:shd w:val="clear" w:color="auto" w:fill="auto"/>
            <w:hideMark/>
          </w:tcPr>
          <w:p w14:paraId="0FEE2EB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71.4</w:t>
            </w:r>
          </w:p>
        </w:tc>
      </w:tr>
      <w:tr w:rsidR="00F4787D" w14:paraId="337D24AF" w14:textId="77777777" w:rsidTr="00C80B2D">
        <w:trPr>
          <w:trHeight w:val="319"/>
        </w:trPr>
        <w:tc>
          <w:tcPr>
            <w:tcW w:w="3864" w:type="dxa"/>
            <w:tcBorders>
              <w:top w:val="nil"/>
              <w:left w:val="nil"/>
              <w:bottom w:val="nil"/>
              <w:right w:val="nil"/>
            </w:tcBorders>
            <w:shd w:val="clear" w:color="auto" w:fill="auto"/>
            <w:hideMark/>
          </w:tcPr>
          <w:p w14:paraId="126F1937" w14:textId="77777777" w:rsidR="00F4787D" w:rsidRPr="004239B9" w:rsidRDefault="00F4787D" w:rsidP="00C80B2D">
            <w:pPr>
              <w:spacing w:after="0" w:line="240" w:lineRule="auto"/>
              <w:ind w:left="0" w:right="0"/>
              <w:rPr>
                <w:rFonts w:ascii="Times New Roman" w:eastAsia="Times New Roman" w:hAnsi="Times New Roman" w:cs="Times New Roman"/>
                <w:i/>
                <w:iCs/>
                <w:sz w:val="24"/>
                <w:szCs w:val="24"/>
              </w:rPr>
            </w:pPr>
            <w:r w:rsidRPr="004239B9">
              <w:rPr>
                <w:rFonts w:ascii="Times New Roman" w:eastAsia="Times New Roman" w:hAnsi="Times New Roman" w:cs="Times New Roman"/>
                <w:i/>
                <w:iCs/>
                <w:sz w:val="24"/>
                <w:szCs w:val="24"/>
              </w:rPr>
              <w:t>Mean</w:t>
            </w:r>
          </w:p>
        </w:tc>
        <w:tc>
          <w:tcPr>
            <w:tcW w:w="5700" w:type="dxa"/>
            <w:gridSpan w:val="2"/>
            <w:tcBorders>
              <w:top w:val="nil"/>
              <w:left w:val="nil"/>
              <w:bottom w:val="nil"/>
              <w:right w:val="nil"/>
            </w:tcBorders>
            <w:shd w:val="clear" w:color="auto" w:fill="auto"/>
            <w:noWrap/>
            <w:hideMark/>
          </w:tcPr>
          <w:p w14:paraId="4B27087B" w14:textId="77777777" w:rsidR="00F4787D" w:rsidRPr="004239B9" w:rsidRDefault="00F4787D" w:rsidP="00C80B2D">
            <w:pPr>
              <w:spacing w:after="0" w:line="240" w:lineRule="auto"/>
              <w:ind w:left="0" w:right="0"/>
              <w:rPr>
                <w:rFonts w:ascii="Times New Roman" w:eastAsia="Times New Roman" w:hAnsi="Times New Roman" w:cs="Times New Roman"/>
                <w:i/>
                <w:iCs/>
                <w:sz w:val="24"/>
                <w:szCs w:val="24"/>
              </w:rPr>
            </w:pPr>
            <w:r w:rsidRPr="004239B9">
              <w:rPr>
                <w:rFonts w:ascii="Times New Roman" w:eastAsia="Times New Roman" w:hAnsi="Times New Roman" w:cs="Times New Roman"/>
                <w:i/>
                <w:iCs/>
                <w:sz w:val="24"/>
                <w:szCs w:val="24"/>
              </w:rPr>
              <w:t>3.6±1.9</w:t>
            </w:r>
          </w:p>
        </w:tc>
      </w:tr>
      <w:tr w:rsidR="00F4787D" w14:paraId="7277395B" w14:textId="77777777" w:rsidTr="00C80B2D">
        <w:trPr>
          <w:trHeight w:val="319"/>
        </w:trPr>
        <w:tc>
          <w:tcPr>
            <w:tcW w:w="9564" w:type="dxa"/>
            <w:gridSpan w:val="3"/>
            <w:tcBorders>
              <w:top w:val="nil"/>
              <w:left w:val="nil"/>
              <w:bottom w:val="nil"/>
              <w:right w:val="nil"/>
            </w:tcBorders>
            <w:shd w:val="clear" w:color="auto" w:fill="auto"/>
            <w:hideMark/>
          </w:tcPr>
          <w:p w14:paraId="62F52AC9" w14:textId="77777777" w:rsidR="00F4787D" w:rsidRPr="004239B9" w:rsidRDefault="00F4787D" w:rsidP="00C80B2D">
            <w:pPr>
              <w:spacing w:after="0" w:line="240" w:lineRule="auto"/>
              <w:ind w:left="0" w:right="0"/>
              <w:rPr>
                <w:rFonts w:ascii="Times New Roman" w:eastAsia="Times New Roman" w:hAnsi="Times New Roman" w:cs="Times New Roman"/>
                <w:b/>
                <w:bCs/>
                <w:sz w:val="24"/>
                <w:szCs w:val="24"/>
              </w:rPr>
            </w:pPr>
            <w:r w:rsidRPr="004239B9">
              <w:rPr>
                <w:rFonts w:ascii="Times New Roman" w:eastAsia="Times New Roman" w:hAnsi="Times New Roman" w:cs="Times New Roman"/>
                <w:b/>
                <w:bCs/>
                <w:sz w:val="24"/>
                <w:szCs w:val="24"/>
              </w:rPr>
              <w:t>CRP (mg/dL)</w:t>
            </w:r>
          </w:p>
        </w:tc>
      </w:tr>
      <w:tr w:rsidR="00F4787D" w14:paraId="4DD5E0B5" w14:textId="77777777" w:rsidTr="00C80B2D">
        <w:trPr>
          <w:trHeight w:val="319"/>
        </w:trPr>
        <w:tc>
          <w:tcPr>
            <w:tcW w:w="3864" w:type="dxa"/>
            <w:tcBorders>
              <w:top w:val="nil"/>
              <w:left w:val="nil"/>
              <w:bottom w:val="nil"/>
              <w:right w:val="nil"/>
            </w:tcBorders>
            <w:shd w:val="clear" w:color="auto" w:fill="auto"/>
            <w:hideMark/>
          </w:tcPr>
          <w:p w14:paraId="62E05E2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2575" w:type="dxa"/>
            <w:tcBorders>
              <w:top w:val="nil"/>
              <w:left w:val="nil"/>
              <w:bottom w:val="nil"/>
              <w:right w:val="nil"/>
            </w:tcBorders>
            <w:shd w:val="clear" w:color="auto" w:fill="auto"/>
            <w:noWrap/>
            <w:hideMark/>
          </w:tcPr>
          <w:p w14:paraId="5489E9F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10</w:t>
            </w:r>
          </w:p>
        </w:tc>
        <w:tc>
          <w:tcPr>
            <w:tcW w:w="3125" w:type="dxa"/>
            <w:tcBorders>
              <w:top w:val="nil"/>
              <w:left w:val="nil"/>
              <w:bottom w:val="nil"/>
              <w:right w:val="nil"/>
            </w:tcBorders>
            <w:shd w:val="clear" w:color="auto" w:fill="auto"/>
            <w:hideMark/>
          </w:tcPr>
          <w:p w14:paraId="49E0BD9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18.5</w:t>
            </w:r>
          </w:p>
        </w:tc>
      </w:tr>
      <w:tr w:rsidR="00F4787D" w14:paraId="2E13F523" w14:textId="77777777" w:rsidTr="00C80B2D">
        <w:trPr>
          <w:trHeight w:val="319"/>
        </w:trPr>
        <w:tc>
          <w:tcPr>
            <w:tcW w:w="3864" w:type="dxa"/>
            <w:tcBorders>
              <w:top w:val="nil"/>
              <w:left w:val="nil"/>
              <w:bottom w:val="nil"/>
              <w:right w:val="nil"/>
            </w:tcBorders>
            <w:shd w:val="clear" w:color="auto" w:fill="auto"/>
            <w:hideMark/>
          </w:tcPr>
          <w:p w14:paraId="211A68F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Minor Elevation</w:t>
            </w:r>
          </w:p>
        </w:tc>
        <w:tc>
          <w:tcPr>
            <w:tcW w:w="2575" w:type="dxa"/>
            <w:tcBorders>
              <w:top w:val="nil"/>
              <w:left w:val="nil"/>
              <w:bottom w:val="nil"/>
              <w:right w:val="nil"/>
            </w:tcBorders>
            <w:shd w:val="clear" w:color="auto" w:fill="auto"/>
            <w:noWrap/>
            <w:hideMark/>
          </w:tcPr>
          <w:p w14:paraId="0D39336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w:t>
            </w:r>
          </w:p>
        </w:tc>
        <w:tc>
          <w:tcPr>
            <w:tcW w:w="3125" w:type="dxa"/>
            <w:tcBorders>
              <w:top w:val="nil"/>
              <w:left w:val="nil"/>
              <w:bottom w:val="nil"/>
              <w:right w:val="nil"/>
            </w:tcBorders>
            <w:shd w:val="clear" w:color="auto" w:fill="auto"/>
            <w:hideMark/>
          </w:tcPr>
          <w:p w14:paraId="6674E8C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13.0</w:t>
            </w:r>
          </w:p>
        </w:tc>
      </w:tr>
      <w:tr w:rsidR="00F4787D" w14:paraId="724CE81C" w14:textId="77777777" w:rsidTr="00C80B2D">
        <w:trPr>
          <w:trHeight w:val="319"/>
        </w:trPr>
        <w:tc>
          <w:tcPr>
            <w:tcW w:w="3864" w:type="dxa"/>
            <w:tcBorders>
              <w:top w:val="nil"/>
              <w:left w:val="nil"/>
              <w:bottom w:val="nil"/>
              <w:right w:val="nil"/>
            </w:tcBorders>
            <w:shd w:val="clear" w:color="auto" w:fill="auto"/>
            <w:hideMark/>
          </w:tcPr>
          <w:p w14:paraId="4EB0126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Moderate Elevation</w:t>
            </w:r>
          </w:p>
        </w:tc>
        <w:tc>
          <w:tcPr>
            <w:tcW w:w="2575" w:type="dxa"/>
            <w:tcBorders>
              <w:top w:val="nil"/>
              <w:left w:val="nil"/>
              <w:bottom w:val="nil"/>
              <w:right w:val="nil"/>
            </w:tcBorders>
            <w:shd w:val="clear" w:color="auto" w:fill="auto"/>
            <w:noWrap/>
            <w:hideMark/>
          </w:tcPr>
          <w:p w14:paraId="53C01A8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17</w:t>
            </w:r>
          </w:p>
        </w:tc>
        <w:tc>
          <w:tcPr>
            <w:tcW w:w="3125" w:type="dxa"/>
            <w:tcBorders>
              <w:top w:val="nil"/>
              <w:left w:val="nil"/>
              <w:bottom w:val="nil"/>
              <w:right w:val="nil"/>
            </w:tcBorders>
            <w:shd w:val="clear" w:color="auto" w:fill="auto"/>
            <w:hideMark/>
          </w:tcPr>
          <w:p w14:paraId="0BC727C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31.5</w:t>
            </w:r>
          </w:p>
        </w:tc>
      </w:tr>
      <w:tr w:rsidR="00F4787D" w14:paraId="5073EC5C" w14:textId="77777777" w:rsidTr="00C80B2D">
        <w:trPr>
          <w:trHeight w:val="319"/>
        </w:trPr>
        <w:tc>
          <w:tcPr>
            <w:tcW w:w="3864" w:type="dxa"/>
            <w:tcBorders>
              <w:top w:val="nil"/>
              <w:left w:val="nil"/>
              <w:bottom w:val="nil"/>
              <w:right w:val="nil"/>
            </w:tcBorders>
            <w:shd w:val="clear" w:color="auto" w:fill="auto"/>
            <w:hideMark/>
          </w:tcPr>
          <w:p w14:paraId="0B71619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Marked Elevation</w:t>
            </w:r>
          </w:p>
        </w:tc>
        <w:tc>
          <w:tcPr>
            <w:tcW w:w="2575" w:type="dxa"/>
            <w:tcBorders>
              <w:top w:val="nil"/>
              <w:left w:val="nil"/>
              <w:bottom w:val="nil"/>
              <w:right w:val="nil"/>
            </w:tcBorders>
            <w:shd w:val="clear" w:color="auto" w:fill="auto"/>
            <w:noWrap/>
            <w:hideMark/>
          </w:tcPr>
          <w:p w14:paraId="17B9115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13</w:t>
            </w:r>
          </w:p>
        </w:tc>
        <w:tc>
          <w:tcPr>
            <w:tcW w:w="3125" w:type="dxa"/>
            <w:tcBorders>
              <w:top w:val="nil"/>
              <w:left w:val="nil"/>
              <w:bottom w:val="nil"/>
              <w:right w:val="nil"/>
            </w:tcBorders>
            <w:shd w:val="clear" w:color="auto" w:fill="auto"/>
            <w:hideMark/>
          </w:tcPr>
          <w:p w14:paraId="31DB987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24.1</w:t>
            </w:r>
          </w:p>
        </w:tc>
      </w:tr>
      <w:tr w:rsidR="00F4787D" w14:paraId="51BE41BC" w14:textId="77777777" w:rsidTr="00C80B2D">
        <w:trPr>
          <w:trHeight w:val="319"/>
        </w:trPr>
        <w:tc>
          <w:tcPr>
            <w:tcW w:w="3864" w:type="dxa"/>
            <w:tcBorders>
              <w:top w:val="nil"/>
              <w:left w:val="nil"/>
              <w:bottom w:val="nil"/>
              <w:right w:val="nil"/>
            </w:tcBorders>
            <w:shd w:val="clear" w:color="auto" w:fill="auto"/>
            <w:hideMark/>
          </w:tcPr>
          <w:p w14:paraId="0A3F5FF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Severe Elevation</w:t>
            </w:r>
          </w:p>
        </w:tc>
        <w:tc>
          <w:tcPr>
            <w:tcW w:w="2575" w:type="dxa"/>
            <w:tcBorders>
              <w:top w:val="nil"/>
              <w:left w:val="nil"/>
              <w:bottom w:val="nil"/>
              <w:right w:val="nil"/>
            </w:tcBorders>
            <w:shd w:val="clear" w:color="auto" w:fill="auto"/>
            <w:noWrap/>
            <w:hideMark/>
          </w:tcPr>
          <w:p w14:paraId="3C503DD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w:t>
            </w:r>
          </w:p>
        </w:tc>
        <w:tc>
          <w:tcPr>
            <w:tcW w:w="3125" w:type="dxa"/>
            <w:tcBorders>
              <w:top w:val="nil"/>
              <w:left w:val="nil"/>
              <w:bottom w:val="nil"/>
              <w:right w:val="nil"/>
            </w:tcBorders>
            <w:shd w:val="clear" w:color="auto" w:fill="auto"/>
            <w:hideMark/>
          </w:tcPr>
          <w:p w14:paraId="6D61887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13.0</w:t>
            </w:r>
          </w:p>
        </w:tc>
      </w:tr>
      <w:tr w:rsidR="00F4787D" w14:paraId="4D39F112" w14:textId="77777777" w:rsidTr="00C80B2D">
        <w:trPr>
          <w:trHeight w:val="319"/>
        </w:trPr>
        <w:tc>
          <w:tcPr>
            <w:tcW w:w="3864" w:type="dxa"/>
            <w:tcBorders>
              <w:top w:val="nil"/>
              <w:left w:val="nil"/>
              <w:bottom w:val="single" w:sz="4" w:space="0" w:color="auto"/>
              <w:right w:val="nil"/>
            </w:tcBorders>
            <w:shd w:val="clear" w:color="auto" w:fill="auto"/>
            <w:hideMark/>
          </w:tcPr>
          <w:p w14:paraId="0AEC9BCC" w14:textId="77777777" w:rsidR="00F4787D" w:rsidRPr="004239B9" w:rsidRDefault="00F4787D" w:rsidP="00C80B2D">
            <w:pPr>
              <w:spacing w:after="0" w:line="240" w:lineRule="auto"/>
              <w:ind w:left="0" w:right="0"/>
              <w:rPr>
                <w:rFonts w:ascii="Times New Roman" w:eastAsia="Times New Roman" w:hAnsi="Times New Roman" w:cs="Times New Roman"/>
                <w:i/>
                <w:iCs/>
                <w:sz w:val="24"/>
                <w:szCs w:val="24"/>
              </w:rPr>
            </w:pPr>
            <w:r w:rsidRPr="004239B9">
              <w:rPr>
                <w:rFonts w:ascii="Times New Roman" w:eastAsia="Times New Roman" w:hAnsi="Times New Roman" w:cs="Times New Roman"/>
                <w:i/>
                <w:iCs/>
                <w:sz w:val="24"/>
                <w:szCs w:val="24"/>
              </w:rPr>
              <w:t>Mean</w:t>
            </w:r>
          </w:p>
        </w:tc>
        <w:tc>
          <w:tcPr>
            <w:tcW w:w="5700" w:type="dxa"/>
            <w:gridSpan w:val="2"/>
            <w:tcBorders>
              <w:top w:val="nil"/>
              <w:left w:val="nil"/>
              <w:bottom w:val="single" w:sz="4" w:space="0" w:color="auto"/>
              <w:right w:val="nil"/>
            </w:tcBorders>
            <w:shd w:val="clear" w:color="auto" w:fill="auto"/>
            <w:noWrap/>
            <w:hideMark/>
          </w:tcPr>
          <w:p w14:paraId="32219410" w14:textId="77777777" w:rsidR="00F4787D" w:rsidRPr="004239B9" w:rsidRDefault="00F4787D" w:rsidP="00C80B2D">
            <w:pPr>
              <w:spacing w:after="0" w:line="240" w:lineRule="auto"/>
              <w:ind w:left="0" w:right="0"/>
              <w:rPr>
                <w:rFonts w:ascii="Times New Roman" w:eastAsia="Times New Roman" w:hAnsi="Times New Roman" w:cs="Times New Roman"/>
                <w:i/>
                <w:iCs/>
                <w:sz w:val="24"/>
                <w:szCs w:val="24"/>
              </w:rPr>
            </w:pPr>
            <w:r w:rsidRPr="004239B9">
              <w:rPr>
                <w:rFonts w:ascii="Times New Roman" w:eastAsia="Times New Roman" w:hAnsi="Times New Roman" w:cs="Times New Roman"/>
                <w:i/>
                <w:iCs/>
                <w:sz w:val="24"/>
                <w:szCs w:val="24"/>
              </w:rPr>
              <w:t>15.6±12.33</w:t>
            </w:r>
          </w:p>
        </w:tc>
      </w:tr>
    </w:tbl>
    <w:p w14:paraId="42E20F6A" w14:textId="77777777" w:rsidR="00F4787D" w:rsidRPr="004239B9" w:rsidRDefault="00F4787D" w:rsidP="00F4787D">
      <w:pPr>
        <w:pStyle w:val="Caption"/>
        <w:keepNext/>
        <w:jc w:val="both"/>
        <w:rPr>
          <w:rFonts w:ascii="Times New Roman" w:hAnsi="Times New Roman" w:cs="Times New Roman"/>
          <w:b w:val="0"/>
          <w:bCs w:val="0"/>
          <w:color w:val="auto"/>
          <w:sz w:val="24"/>
          <w:szCs w:val="24"/>
        </w:rPr>
      </w:pPr>
    </w:p>
    <w:p w14:paraId="7576211C" w14:textId="4ACF168A" w:rsidR="00F4787D" w:rsidRPr="004239B9" w:rsidRDefault="00F4787D" w:rsidP="00F4787D">
      <w:pPr>
        <w:pStyle w:val="Caption"/>
        <w:keepNext/>
        <w:jc w:val="both"/>
        <w:rPr>
          <w:rFonts w:ascii="Times New Roman" w:hAnsi="Times New Roman" w:cs="Times New Roman"/>
          <w:b w:val="0"/>
          <w:color w:val="auto"/>
          <w:sz w:val="24"/>
          <w:szCs w:val="24"/>
        </w:rPr>
      </w:pPr>
      <w:r w:rsidRPr="004239B9">
        <w:rPr>
          <w:rFonts w:ascii="Times New Roman" w:hAnsi="Times New Roman" w:cs="Times New Roman"/>
          <w:b w:val="0"/>
          <w:color w:val="auto"/>
          <w:sz w:val="24"/>
          <w:szCs w:val="24"/>
        </w:rPr>
        <w:t xml:space="preserve">Table 4:12: Association between pLDH and nutritional status of pregnant women receiving antenatal care </w:t>
      </w:r>
      <w:r>
        <w:rPr>
          <w:rFonts w:ascii="Times New Roman" w:hAnsi="Times New Roman" w:cs="Times New Roman"/>
          <w:b w:val="0"/>
          <w:color w:val="auto"/>
          <w:sz w:val="24"/>
          <w:szCs w:val="24"/>
        </w:rPr>
        <w:t>at</w:t>
      </w:r>
      <w:r w:rsidRPr="004239B9">
        <w:rPr>
          <w:rFonts w:ascii="Times New Roman" w:hAnsi="Times New Roman" w:cs="Times New Roman"/>
          <w:b w:val="0"/>
          <w:color w:val="auto"/>
          <w:sz w:val="24"/>
          <w:szCs w:val="24"/>
        </w:rPr>
        <w:t xml:space="preserve"> Yariman Bakura Specialist Hospital, Gusau, Zamfara state (n=54)</w:t>
      </w:r>
    </w:p>
    <w:tbl>
      <w:tblPr>
        <w:tblW w:w="9807" w:type="dxa"/>
        <w:tblInd w:w="93" w:type="dxa"/>
        <w:tblLook w:val="04A0" w:firstRow="1" w:lastRow="0" w:firstColumn="1" w:lastColumn="0" w:noHBand="0" w:noVBand="1"/>
      </w:tblPr>
      <w:tblGrid>
        <w:gridCol w:w="1928"/>
        <w:gridCol w:w="2328"/>
        <w:gridCol w:w="1733"/>
        <w:gridCol w:w="1597"/>
        <w:gridCol w:w="2221"/>
      </w:tblGrid>
      <w:tr w:rsidR="00F4787D" w14:paraId="363129D0" w14:textId="77777777" w:rsidTr="00C80B2D">
        <w:trPr>
          <w:trHeight w:val="315"/>
        </w:trPr>
        <w:tc>
          <w:tcPr>
            <w:tcW w:w="4256" w:type="dxa"/>
            <w:gridSpan w:val="2"/>
            <w:vMerge w:val="restart"/>
            <w:tcBorders>
              <w:top w:val="single" w:sz="4" w:space="0" w:color="000000"/>
              <w:left w:val="nil"/>
              <w:bottom w:val="single" w:sz="4" w:space="0" w:color="000000"/>
              <w:right w:val="nil"/>
            </w:tcBorders>
            <w:shd w:val="clear" w:color="auto" w:fill="auto"/>
            <w:hideMark/>
          </w:tcPr>
          <w:p w14:paraId="4FE1139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Variables</w:t>
            </w:r>
          </w:p>
        </w:tc>
        <w:tc>
          <w:tcPr>
            <w:tcW w:w="5551" w:type="dxa"/>
            <w:gridSpan w:val="3"/>
            <w:tcBorders>
              <w:top w:val="single" w:sz="4" w:space="0" w:color="auto"/>
              <w:left w:val="nil"/>
              <w:bottom w:val="single" w:sz="4" w:space="0" w:color="auto"/>
              <w:right w:val="nil"/>
            </w:tcBorders>
            <w:shd w:val="clear" w:color="auto" w:fill="auto"/>
            <w:hideMark/>
          </w:tcPr>
          <w:p w14:paraId="08B8D78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pLDH(mg/dL)</w:t>
            </w:r>
          </w:p>
        </w:tc>
      </w:tr>
      <w:tr w:rsidR="00F4787D" w14:paraId="2D52F5AE" w14:textId="77777777" w:rsidTr="00C80B2D">
        <w:trPr>
          <w:trHeight w:val="495"/>
        </w:trPr>
        <w:tc>
          <w:tcPr>
            <w:tcW w:w="4256" w:type="dxa"/>
            <w:gridSpan w:val="2"/>
            <w:vMerge/>
            <w:tcBorders>
              <w:top w:val="single" w:sz="4" w:space="0" w:color="000000"/>
              <w:left w:val="nil"/>
              <w:bottom w:val="single" w:sz="4" w:space="0" w:color="000000"/>
              <w:right w:val="nil"/>
            </w:tcBorders>
            <w:vAlign w:val="center"/>
            <w:hideMark/>
          </w:tcPr>
          <w:p w14:paraId="171DED4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733" w:type="dxa"/>
            <w:tcBorders>
              <w:top w:val="nil"/>
              <w:left w:val="nil"/>
              <w:bottom w:val="single" w:sz="4" w:space="0" w:color="auto"/>
              <w:right w:val="nil"/>
            </w:tcBorders>
            <w:shd w:val="clear" w:color="auto" w:fill="auto"/>
            <w:hideMark/>
          </w:tcPr>
          <w:p w14:paraId="72237E2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 (%)</w:t>
            </w:r>
          </w:p>
        </w:tc>
        <w:tc>
          <w:tcPr>
            <w:tcW w:w="1597" w:type="dxa"/>
            <w:tcBorders>
              <w:top w:val="nil"/>
              <w:left w:val="nil"/>
              <w:bottom w:val="single" w:sz="4" w:space="0" w:color="auto"/>
              <w:right w:val="nil"/>
            </w:tcBorders>
            <w:shd w:val="clear" w:color="auto" w:fill="auto"/>
            <w:hideMark/>
          </w:tcPr>
          <w:p w14:paraId="56AC5A9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High (%)</w:t>
            </w:r>
          </w:p>
        </w:tc>
        <w:tc>
          <w:tcPr>
            <w:tcW w:w="2221" w:type="dxa"/>
            <w:tcBorders>
              <w:top w:val="nil"/>
              <w:left w:val="nil"/>
              <w:bottom w:val="single" w:sz="4" w:space="0" w:color="auto"/>
              <w:right w:val="nil"/>
            </w:tcBorders>
            <w:shd w:val="clear" w:color="auto" w:fill="auto"/>
            <w:noWrap/>
            <w:hideMark/>
          </w:tcPr>
          <w:p w14:paraId="2D1C2F6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p-value</w:t>
            </w:r>
          </w:p>
        </w:tc>
      </w:tr>
      <w:tr w:rsidR="00F4787D" w14:paraId="283F173E" w14:textId="77777777" w:rsidTr="00C80B2D">
        <w:trPr>
          <w:trHeight w:val="480"/>
        </w:trPr>
        <w:tc>
          <w:tcPr>
            <w:tcW w:w="1928" w:type="dxa"/>
            <w:vMerge w:val="restart"/>
            <w:tcBorders>
              <w:top w:val="nil"/>
              <w:left w:val="nil"/>
              <w:bottom w:val="nil"/>
              <w:right w:val="nil"/>
            </w:tcBorders>
            <w:shd w:val="clear" w:color="auto" w:fill="auto"/>
            <w:hideMark/>
          </w:tcPr>
          <w:p w14:paraId="62A7F2B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Dietary Diversity</w:t>
            </w:r>
          </w:p>
        </w:tc>
        <w:tc>
          <w:tcPr>
            <w:tcW w:w="2328" w:type="dxa"/>
            <w:tcBorders>
              <w:top w:val="nil"/>
              <w:left w:val="nil"/>
              <w:bottom w:val="nil"/>
              <w:right w:val="nil"/>
            </w:tcBorders>
            <w:shd w:val="clear" w:color="auto" w:fill="auto"/>
            <w:hideMark/>
          </w:tcPr>
          <w:p w14:paraId="6016726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Diversified</w:t>
            </w:r>
          </w:p>
        </w:tc>
        <w:tc>
          <w:tcPr>
            <w:tcW w:w="1733" w:type="dxa"/>
            <w:tcBorders>
              <w:top w:val="nil"/>
              <w:left w:val="nil"/>
              <w:bottom w:val="nil"/>
              <w:right w:val="nil"/>
            </w:tcBorders>
            <w:shd w:val="clear" w:color="auto" w:fill="auto"/>
            <w:noWrap/>
            <w:hideMark/>
          </w:tcPr>
          <w:p w14:paraId="582EB34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27.3</w:t>
            </w:r>
          </w:p>
        </w:tc>
        <w:tc>
          <w:tcPr>
            <w:tcW w:w="1597" w:type="dxa"/>
            <w:tcBorders>
              <w:top w:val="nil"/>
              <w:left w:val="nil"/>
              <w:bottom w:val="nil"/>
              <w:right w:val="nil"/>
            </w:tcBorders>
            <w:shd w:val="clear" w:color="auto" w:fill="auto"/>
            <w:noWrap/>
            <w:hideMark/>
          </w:tcPr>
          <w:p w14:paraId="12A1766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72.7</w:t>
            </w:r>
          </w:p>
        </w:tc>
        <w:tc>
          <w:tcPr>
            <w:tcW w:w="2221" w:type="dxa"/>
            <w:tcBorders>
              <w:top w:val="nil"/>
              <w:left w:val="nil"/>
              <w:bottom w:val="nil"/>
              <w:right w:val="nil"/>
            </w:tcBorders>
            <w:shd w:val="clear" w:color="auto" w:fill="auto"/>
            <w:noWrap/>
            <w:hideMark/>
          </w:tcPr>
          <w:p w14:paraId="57490B3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0.349</w:t>
            </w:r>
          </w:p>
        </w:tc>
      </w:tr>
      <w:tr w:rsidR="00F4787D" w14:paraId="6A3D93E6" w14:textId="77777777" w:rsidTr="00C80B2D">
        <w:trPr>
          <w:trHeight w:val="315"/>
        </w:trPr>
        <w:tc>
          <w:tcPr>
            <w:tcW w:w="1928" w:type="dxa"/>
            <w:vMerge/>
            <w:tcBorders>
              <w:top w:val="nil"/>
              <w:left w:val="nil"/>
              <w:bottom w:val="nil"/>
              <w:right w:val="nil"/>
            </w:tcBorders>
            <w:vAlign w:val="center"/>
            <w:hideMark/>
          </w:tcPr>
          <w:p w14:paraId="176B611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2328" w:type="dxa"/>
            <w:tcBorders>
              <w:top w:val="nil"/>
              <w:left w:val="nil"/>
              <w:bottom w:val="nil"/>
              <w:right w:val="nil"/>
            </w:tcBorders>
            <w:shd w:val="clear" w:color="auto" w:fill="auto"/>
            <w:hideMark/>
          </w:tcPr>
          <w:p w14:paraId="0D7898B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Not diversified</w:t>
            </w:r>
          </w:p>
        </w:tc>
        <w:tc>
          <w:tcPr>
            <w:tcW w:w="1733" w:type="dxa"/>
            <w:tcBorders>
              <w:top w:val="nil"/>
              <w:left w:val="nil"/>
              <w:bottom w:val="nil"/>
              <w:right w:val="nil"/>
            </w:tcBorders>
            <w:shd w:val="clear" w:color="auto" w:fill="auto"/>
            <w:noWrap/>
            <w:hideMark/>
          </w:tcPr>
          <w:p w14:paraId="66871A1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50.0</w:t>
            </w:r>
          </w:p>
        </w:tc>
        <w:tc>
          <w:tcPr>
            <w:tcW w:w="1597" w:type="dxa"/>
            <w:tcBorders>
              <w:top w:val="nil"/>
              <w:left w:val="nil"/>
              <w:bottom w:val="nil"/>
              <w:right w:val="nil"/>
            </w:tcBorders>
            <w:shd w:val="clear" w:color="auto" w:fill="auto"/>
            <w:noWrap/>
            <w:hideMark/>
          </w:tcPr>
          <w:p w14:paraId="67FFCE7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50.0</w:t>
            </w:r>
          </w:p>
        </w:tc>
        <w:tc>
          <w:tcPr>
            <w:tcW w:w="2221" w:type="dxa"/>
            <w:tcBorders>
              <w:top w:val="nil"/>
              <w:left w:val="nil"/>
              <w:bottom w:val="nil"/>
              <w:right w:val="nil"/>
            </w:tcBorders>
            <w:shd w:val="clear" w:color="auto" w:fill="auto"/>
            <w:noWrap/>
            <w:hideMark/>
          </w:tcPr>
          <w:p w14:paraId="5BA1D38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3388BE5C" w14:textId="77777777" w:rsidTr="00C80B2D">
        <w:trPr>
          <w:trHeight w:val="630"/>
        </w:trPr>
        <w:tc>
          <w:tcPr>
            <w:tcW w:w="1928" w:type="dxa"/>
            <w:vMerge w:val="restart"/>
            <w:tcBorders>
              <w:top w:val="nil"/>
              <w:left w:val="nil"/>
              <w:bottom w:val="nil"/>
              <w:right w:val="nil"/>
            </w:tcBorders>
            <w:shd w:val="clear" w:color="auto" w:fill="auto"/>
            <w:hideMark/>
          </w:tcPr>
          <w:p w14:paraId="575FC9E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MUAC</w:t>
            </w:r>
          </w:p>
        </w:tc>
        <w:tc>
          <w:tcPr>
            <w:tcW w:w="2328" w:type="dxa"/>
            <w:tcBorders>
              <w:top w:val="nil"/>
              <w:left w:val="nil"/>
              <w:bottom w:val="nil"/>
              <w:right w:val="nil"/>
            </w:tcBorders>
            <w:shd w:val="clear" w:color="auto" w:fill="auto"/>
            <w:hideMark/>
          </w:tcPr>
          <w:p w14:paraId="10D26E1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Severe Malnourishment</w:t>
            </w:r>
          </w:p>
        </w:tc>
        <w:tc>
          <w:tcPr>
            <w:tcW w:w="1733" w:type="dxa"/>
            <w:tcBorders>
              <w:top w:val="nil"/>
              <w:left w:val="nil"/>
              <w:bottom w:val="nil"/>
              <w:right w:val="nil"/>
            </w:tcBorders>
            <w:shd w:val="clear" w:color="auto" w:fill="auto"/>
            <w:noWrap/>
            <w:hideMark/>
          </w:tcPr>
          <w:p w14:paraId="73D6AF9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1597" w:type="dxa"/>
            <w:tcBorders>
              <w:top w:val="nil"/>
              <w:left w:val="nil"/>
              <w:bottom w:val="nil"/>
              <w:right w:val="nil"/>
            </w:tcBorders>
            <w:shd w:val="clear" w:color="auto" w:fill="auto"/>
            <w:noWrap/>
            <w:hideMark/>
          </w:tcPr>
          <w:p w14:paraId="0E1B0D0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2221" w:type="dxa"/>
            <w:tcBorders>
              <w:top w:val="nil"/>
              <w:left w:val="nil"/>
              <w:bottom w:val="nil"/>
              <w:right w:val="nil"/>
            </w:tcBorders>
            <w:shd w:val="clear" w:color="auto" w:fill="auto"/>
            <w:noWrap/>
            <w:hideMark/>
          </w:tcPr>
          <w:p w14:paraId="3ECF58A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0.348</w:t>
            </w:r>
          </w:p>
        </w:tc>
      </w:tr>
      <w:tr w:rsidR="00F4787D" w14:paraId="2C59D709" w14:textId="77777777" w:rsidTr="00C80B2D">
        <w:trPr>
          <w:trHeight w:val="630"/>
        </w:trPr>
        <w:tc>
          <w:tcPr>
            <w:tcW w:w="1928" w:type="dxa"/>
            <w:vMerge/>
            <w:tcBorders>
              <w:top w:val="nil"/>
              <w:left w:val="nil"/>
              <w:bottom w:val="nil"/>
              <w:right w:val="nil"/>
            </w:tcBorders>
            <w:vAlign w:val="center"/>
            <w:hideMark/>
          </w:tcPr>
          <w:p w14:paraId="1FFB920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2328" w:type="dxa"/>
            <w:tcBorders>
              <w:top w:val="nil"/>
              <w:left w:val="nil"/>
              <w:bottom w:val="nil"/>
              <w:right w:val="nil"/>
            </w:tcBorders>
            <w:shd w:val="clear" w:color="auto" w:fill="auto"/>
            <w:hideMark/>
          </w:tcPr>
          <w:p w14:paraId="111E291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Moderate Malnourishment</w:t>
            </w:r>
          </w:p>
        </w:tc>
        <w:tc>
          <w:tcPr>
            <w:tcW w:w="1733" w:type="dxa"/>
            <w:tcBorders>
              <w:top w:val="nil"/>
              <w:left w:val="nil"/>
              <w:bottom w:val="nil"/>
              <w:right w:val="nil"/>
            </w:tcBorders>
            <w:shd w:val="clear" w:color="auto" w:fill="auto"/>
            <w:noWrap/>
            <w:hideMark/>
          </w:tcPr>
          <w:p w14:paraId="4D1BAF6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25.0</w:t>
            </w:r>
          </w:p>
        </w:tc>
        <w:tc>
          <w:tcPr>
            <w:tcW w:w="1597" w:type="dxa"/>
            <w:tcBorders>
              <w:top w:val="nil"/>
              <w:left w:val="nil"/>
              <w:bottom w:val="nil"/>
              <w:right w:val="nil"/>
            </w:tcBorders>
            <w:shd w:val="clear" w:color="auto" w:fill="auto"/>
            <w:noWrap/>
            <w:hideMark/>
          </w:tcPr>
          <w:p w14:paraId="3A23C30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75.0</w:t>
            </w:r>
          </w:p>
        </w:tc>
        <w:tc>
          <w:tcPr>
            <w:tcW w:w="2221" w:type="dxa"/>
            <w:tcBorders>
              <w:top w:val="nil"/>
              <w:left w:val="nil"/>
              <w:bottom w:val="nil"/>
              <w:right w:val="nil"/>
            </w:tcBorders>
            <w:shd w:val="clear" w:color="auto" w:fill="auto"/>
            <w:noWrap/>
            <w:hideMark/>
          </w:tcPr>
          <w:p w14:paraId="08FEA70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001E1AC3" w14:textId="77777777" w:rsidTr="00C80B2D">
        <w:trPr>
          <w:trHeight w:val="315"/>
        </w:trPr>
        <w:tc>
          <w:tcPr>
            <w:tcW w:w="1928" w:type="dxa"/>
            <w:vMerge/>
            <w:tcBorders>
              <w:top w:val="nil"/>
              <w:left w:val="nil"/>
              <w:bottom w:val="nil"/>
              <w:right w:val="nil"/>
            </w:tcBorders>
            <w:vAlign w:val="center"/>
            <w:hideMark/>
          </w:tcPr>
          <w:p w14:paraId="0D9B4FE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2328" w:type="dxa"/>
            <w:tcBorders>
              <w:top w:val="nil"/>
              <w:left w:val="nil"/>
              <w:bottom w:val="nil"/>
              <w:right w:val="nil"/>
            </w:tcBorders>
            <w:shd w:val="clear" w:color="auto" w:fill="auto"/>
            <w:hideMark/>
          </w:tcPr>
          <w:p w14:paraId="1A5556B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1733" w:type="dxa"/>
            <w:tcBorders>
              <w:top w:val="nil"/>
              <w:left w:val="nil"/>
              <w:bottom w:val="nil"/>
              <w:right w:val="nil"/>
            </w:tcBorders>
            <w:shd w:val="clear" w:color="auto" w:fill="auto"/>
            <w:noWrap/>
            <w:hideMark/>
          </w:tcPr>
          <w:p w14:paraId="56ED7A3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40.0</w:t>
            </w:r>
          </w:p>
        </w:tc>
        <w:tc>
          <w:tcPr>
            <w:tcW w:w="1597" w:type="dxa"/>
            <w:tcBorders>
              <w:top w:val="nil"/>
              <w:left w:val="nil"/>
              <w:bottom w:val="nil"/>
              <w:right w:val="nil"/>
            </w:tcBorders>
            <w:shd w:val="clear" w:color="auto" w:fill="auto"/>
            <w:noWrap/>
            <w:hideMark/>
          </w:tcPr>
          <w:p w14:paraId="6F77270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60.0</w:t>
            </w:r>
          </w:p>
        </w:tc>
        <w:tc>
          <w:tcPr>
            <w:tcW w:w="2221" w:type="dxa"/>
            <w:tcBorders>
              <w:top w:val="nil"/>
              <w:left w:val="nil"/>
              <w:bottom w:val="nil"/>
              <w:right w:val="nil"/>
            </w:tcBorders>
            <w:shd w:val="clear" w:color="auto" w:fill="auto"/>
            <w:noWrap/>
            <w:hideMark/>
          </w:tcPr>
          <w:p w14:paraId="4920886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6965F818" w14:textId="77777777" w:rsidTr="00C80B2D">
        <w:trPr>
          <w:trHeight w:val="315"/>
        </w:trPr>
        <w:tc>
          <w:tcPr>
            <w:tcW w:w="1928" w:type="dxa"/>
            <w:vMerge w:val="restart"/>
            <w:tcBorders>
              <w:top w:val="nil"/>
              <w:left w:val="nil"/>
              <w:bottom w:val="nil"/>
              <w:right w:val="nil"/>
            </w:tcBorders>
            <w:shd w:val="clear" w:color="auto" w:fill="auto"/>
            <w:hideMark/>
          </w:tcPr>
          <w:p w14:paraId="1DF54C8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PCV (%)</w:t>
            </w:r>
          </w:p>
        </w:tc>
        <w:tc>
          <w:tcPr>
            <w:tcW w:w="2328" w:type="dxa"/>
            <w:tcBorders>
              <w:top w:val="nil"/>
              <w:left w:val="nil"/>
              <w:bottom w:val="nil"/>
              <w:right w:val="nil"/>
            </w:tcBorders>
            <w:shd w:val="clear" w:color="auto" w:fill="auto"/>
            <w:hideMark/>
          </w:tcPr>
          <w:p w14:paraId="6686D9B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1733" w:type="dxa"/>
            <w:tcBorders>
              <w:top w:val="nil"/>
              <w:left w:val="nil"/>
              <w:bottom w:val="nil"/>
              <w:right w:val="nil"/>
            </w:tcBorders>
            <w:shd w:val="clear" w:color="auto" w:fill="auto"/>
            <w:noWrap/>
            <w:hideMark/>
          </w:tcPr>
          <w:p w14:paraId="5E5C6DC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66.7</w:t>
            </w:r>
          </w:p>
        </w:tc>
        <w:tc>
          <w:tcPr>
            <w:tcW w:w="1597" w:type="dxa"/>
            <w:tcBorders>
              <w:top w:val="nil"/>
              <w:left w:val="nil"/>
              <w:bottom w:val="nil"/>
              <w:right w:val="nil"/>
            </w:tcBorders>
            <w:shd w:val="clear" w:color="auto" w:fill="auto"/>
            <w:noWrap/>
            <w:hideMark/>
          </w:tcPr>
          <w:p w14:paraId="1AEC024C"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33.3</w:t>
            </w:r>
          </w:p>
        </w:tc>
        <w:tc>
          <w:tcPr>
            <w:tcW w:w="2221" w:type="dxa"/>
            <w:tcBorders>
              <w:top w:val="nil"/>
              <w:left w:val="nil"/>
              <w:bottom w:val="nil"/>
              <w:right w:val="nil"/>
            </w:tcBorders>
            <w:shd w:val="clear" w:color="auto" w:fill="auto"/>
            <w:noWrap/>
            <w:hideMark/>
          </w:tcPr>
          <w:p w14:paraId="6B20EE6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0.016*</w:t>
            </w:r>
          </w:p>
        </w:tc>
      </w:tr>
      <w:tr w:rsidR="00F4787D" w14:paraId="30C4E818" w14:textId="77777777" w:rsidTr="00C80B2D">
        <w:trPr>
          <w:trHeight w:val="480"/>
        </w:trPr>
        <w:tc>
          <w:tcPr>
            <w:tcW w:w="1928" w:type="dxa"/>
            <w:vMerge/>
            <w:tcBorders>
              <w:top w:val="nil"/>
              <w:left w:val="nil"/>
              <w:bottom w:val="nil"/>
              <w:right w:val="nil"/>
            </w:tcBorders>
            <w:vAlign w:val="center"/>
            <w:hideMark/>
          </w:tcPr>
          <w:p w14:paraId="07EBB07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2328" w:type="dxa"/>
            <w:tcBorders>
              <w:top w:val="nil"/>
              <w:left w:val="nil"/>
              <w:bottom w:val="nil"/>
              <w:right w:val="nil"/>
            </w:tcBorders>
            <w:shd w:val="clear" w:color="auto" w:fill="auto"/>
            <w:hideMark/>
          </w:tcPr>
          <w:p w14:paraId="77DDE02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1733" w:type="dxa"/>
            <w:tcBorders>
              <w:top w:val="nil"/>
              <w:left w:val="nil"/>
              <w:bottom w:val="nil"/>
              <w:right w:val="nil"/>
            </w:tcBorders>
            <w:shd w:val="clear" w:color="auto" w:fill="auto"/>
            <w:noWrap/>
            <w:hideMark/>
          </w:tcPr>
          <w:p w14:paraId="15EE36D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1597" w:type="dxa"/>
            <w:tcBorders>
              <w:top w:val="nil"/>
              <w:left w:val="nil"/>
              <w:bottom w:val="nil"/>
              <w:right w:val="nil"/>
            </w:tcBorders>
            <w:shd w:val="clear" w:color="auto" w:fill="auto"/>
            <w:noWrap/>
            <w:hideMark/>
          </w:tcPr>
          <w:p w14:paraId="6EBA2F1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100.0</w:t>
            </w:r>
          </w:p>
        </w:tc>
        <w:tc>
          <w:tcPr>
            <w:tcW w:w="2221" w:type="dxa"/>
            <w:tcBorders>
              <w:top w:val="nil"/>
              <w:left w:val="nil"/>
              <w:bottom w:val="nil"/>
              <w:right w:val="nil"/>
            </w:tcBorders>
            <w:shd w:val="clear" w:color="auto" w:fill="auto"/>
            <w:noWrap/>
            <w:hideMark/>
          </w:tcPr>
          <w:p w14:paraId="77AC870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1D716A92" w14:textId="77777777" w:rsidTr="00C80B2D">
        <w:trPr>
          <w:trHeight w:val="315"/>
        </w:trPr>
        <w:tc>
          <w:tcPr>
            <w:tcW w:w="1928" w:type="dxa"/>
            <w:vMerge w:val="restart"/>
            <w:tcBorders>
              <w:top w:val="nil"/>
              <w:left w:val="nil"/>
              <w:bottom w:val="single" w:sz="4" w:space="0" w:color="000000"/>
              <w:right w:val="nil"/>
            </w:tcBorders>
            <w:shd w:val="clear" w:color="auto" w:fill="auto"/>
            <w:hideMark/>
          </w:tcPr>
          <w:p w14:paraId="0D089E6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Hb(mg/dl)</w:t>
            </w:r>
          </w:p>
        </w:tc>
        <w:tc>
          <w:tcPr>
            <w:tcW w:w="2328" w:type="dxa"/>
            <w:tcBorders>
              <w:top w:val="nil"/>
              <w:left w:val="nil"/>
              <w:bottom w:val="nil"/>
              <w:right w:val="nil"/>
            </w:tcBorders>
            <w:shd w:val="clear" w:color="auto" w:fill="auto"/>
            <w:hideMark/>
          </w:tcPr>
          <w:p w14:paraId="1EB1024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1733" w:type="dxa"/>
            <w:tcBorders>
              <w:top w:val="nil"/>
              <w:left w:val="nil"/>
              <w:bottom w:val="nil"/>
              <w:right w:val="nil"/>
            </w:tcBorders>
            <w:shd w:val="clear" w:color="auto" w:fill="auto"/>
            <w:noWrap/>
            <w:hideMark/>
          </w:tcPr>
          <w:p w14:paraId="07B0134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66.7</w:t>
            </w:r>
          </w:p>
        </w:tc>
        <w:tc>
          <w:tcPr>
            <w:tcW w:w="1597" w:type="dxa"/>
            <w:tcBorders>
              <w:top w:val="nil"/>
              <w:left w:val="nil"/>
              <w:bottom w:val="nil"/>
              <w:right w:val="nil"/>
            </w:tcBorders>
            <w:shd w:val="clear" w:color="auto" w:fill="auto"/>
            <w:noWrap/>
            <w:hideMark/>
          </w:tcPr>
          <w:p w14:paraId="08DFCC2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33.3</w:t>
            </w:r>
          </w:p>
        </w:tc>
        <w:tc>
          <w:tcPr>
            <w:tcW w:w="2221" w:type="dxa"/>
            <w:tcBorders>
              <w:top w:val="nil"/>
              <w:left w:val="nil"/>
              <w:bottom w:val="nil"/>
              <w:right w:val="nil"/>
            </w:tcBorders>
            <w:shd w:val="clear" w:color="auto" w:fill="auto"/>
            <w:noWrap/>
            <w:hideMark/>
          </w:tcPr>
          <w:p w14:paraId="0CA7D3B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0.016*</w:t>
            </w:r>
          </w:p>
        </w:tc>
      </w:tr>
      <w:tr w:rsidR="00F4787D" w14:paraId="47EE07BA" w14:textId="77777777" w:rsidTr="00C80B2D">
        <w:trPr>
          <w:trHeight w:val="315"/>
        </w:trPr>
        <w:tc>
          <w:tcPr>
            <w:tcW w:w="1928" w:type="dxa"/>
            <w:vMerge/>
            <w:tcBorders>
              <w:top w:val="nil"/>
              <w:left w:val="nil"/>
              <w:bottom w:val="single" w:sz="4" w:space="0" w:color="000000"/>
              <w:right w:val="nil"/>
            </w:tcBorders>
            <w:vAlign w:val="center"/>
            <w:hideMark/>
          </w:tcPr>
          <w:p w14:paraId="2312362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2328" w:type="dxa"/>
            <w:tcBorders>
              <w:top w:val="nil"/>
              <w:left w:val="nil"/>
              <w:bottom w:val="single" w:sz="4" w:space="0" w:color="auto"/>
              <w:right w:val="nil"/>
            </w:tcBorders>
            <w:shd w:val="clear" w:color="auto" w:fill="auto"/>
            <w:hideMark/>
          </w:tcPr>
          <w:p w14:paraId="0CB3A10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1733" w:type="dxa"/>
            <w:tcBorders>
              <w:top w:val="nil"/>
              <w:left w:val="nil"/>
              <w:bottom w:val="single" w:sz="4" w:space="0" w:color="auto"/>
              <w:right w:val="nil"/>
            </w:tcBorders>
            <w:shd w:val="clear" w:color="auto" w:fill="auto"/>
            <w:noWrap/>
            <w:hideMark/>
          </w:tcPr>
          <w:p w14:paraId="62363C5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1597" w:type="dxa"/>
            <w:tcBorders>
              <w:top w:val="nil"/>
              <w:left w:val="nil"/>
              <w:bottom w:val="single" w:sz="4" w:space="0" w:color="auto"/>
              <w:right w:val="nil"/>
            </w:tcBorders>
            <w:shd w:val="clear" w:color="auto" w:fill="auto"/>
            <w:noWrap/>
            <w:hideMark/>
          </w:tcPr>
          <w:p w14:paraId="55B701B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100.0</w:t>
            </w:r>
          </w:p>
        </w:tc>
        <w:tc>
          <w:tcPr>
            <w:tcW w:w="2221" w:type="dxa"/>
            <w:tcBorders>
              <w:top w:val="nil"/>
              <w:left w:val="nil"/>
              <w:bottom w:val="single" w:sz="4" w:space="0" w:color="auto"/>
              <w:right w:val="nil"/>
            </w:tcBorders>
            <w:shd w:val="clear" w:color="auto" w:fill="auto"/>
            <w:noWrap/>
            <w:hideMark/>
          </w:tcPr>
          <w:p w14:paraId="68CAD22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 </w:t>
            </w:r>
          </w:p>
        </w:tc>
      </w:tr>
    </w:tbl>
    <w:p w14:paraId="11AB3C52" w14:textId="05A08DD8" w:rsidR="00F4787D" w:rsidRPr="004239B9" w:rsidRDefault="00F4787D" w:rsidP="00F4787D">
      <w:pPr>
        <w:spacing w:line="240" w:lineRule="auto"/>
        <w:ind w:left="0" w:right="0"/>
        <w:rPr>
          <w:rFonts w:ascii="Times New Roman" w:hAnsi="Times New Roman" w:cs="Times New Roman"/>
          <w:sz w:val="24"/>
          <w:szCs w:val="24"/>
        </w:rPr>
      </w:pPr>
      <w:r w:rsidRPr="004239B9">
        <w:rPr>
          <w:rFonts w:ascii="Times New Roman" w:hAnsi="Times New Roman" w:cs="Times New Roman"/>
          <w:sz w:val="24"/>
          <w:szCs w:val="24"/>
        </w:rPr>
        <w:t>* Chi-square statistics are significant at the .05 level.</w:t>
      </w:r>
    </w:p>
    <w:p w14:paraId="7135CFC8" w14:textId="77777777" w:rsidR="00F4787D" w:rsidRPr="004239B9" w:rsidRDefault="00F4787D" w:rsidP="00F4787D">
      <w:pPr>
        <w:spacing w:line="480" w:lineRule="auto"/>
        <w:ind w:left="0" w:right="0"/>
        <w:rPr>
          <w:rFonts w:ascii="Times New Roman" w:hAnsi="Times New Roman" w:cs="Times New Roman"/>
          <w:sz w:val="24"/>
          <w:szCs w:val="24"/>
        </w:rPr>
      </w:pPr>
    </w:p>
    <w:p w14:paraId="38711C20" w14:textId="77777777" w:rsidR="00F4787D" w:rsidRPr="004239B9" w:rsidRDefault="00F4787D" w:rsidP="00F4787D">
      <w:pPr>
        <w:spacing w:line="480" w:lineRule="auto"/>
        <w:ind w:left="0" w:right="0"/>
        <w:rPr>
          <w:rFonts w:ascii="Times New Roman" w:hAnsi="Times New Roman" w:cs="Times New Roman"/>
          <w:sz w:val="24"/>
          <w:szCs w:val="24"/>
        </w:rPr>
      </w:pPr>
    </w:p>
    <w:p w14:paraId="6650C3D3" w14:textId="77777777" w:rsidR="00F4787D" w:rsidRPr="004239B9" w:rsidRDefault="00F4787D" w:rsidP="00F4787D">
      <w:pPr>
        <w:spacing w:line="480" w:lineRule="auto"/>
        <w:ind w:left="0" w:right="0"/>
        <w:rPr>
          <w:rFonts w:ascii="Times New Roman" w:hAnsi="Times New Roman" w:cs="Times New Roman"/>
          <w:sz w:val="24"/>
          <w:szCs w:val="24"/>
        </w:rPr>
      </w:pPr>
    </w:p>
    <w:p w14:paraId="43756B71" w14:textId="77777777" w:rsidR="00F4787D" w:rsidRPr="004239B9" w:rsidRDefault="00F4787D" w:rsidP="00F4787D">
      <w:pPr>
        <w:spacing w:line="480" w:lineRule="auto"/>
        <w:ind w:left="0" w:right="0"/>
        <w:rPr>
          <w:rFonts w:ascii="Times New Roman" w:hAnsi="Times New Roman" w:cs="Times New Roman"/>
          <w:sz w:val="24"/>
          <w:szCs w:val="24"/>
        </w:rPr>
      </w:pPr>
    </w:p>
    <w:p w14:paraId="0AA79636" w14:textId="77777777" w:rsidR="00F4787D" w:rsidRPr="004239B9" w:rsidRDefault="00F4787D" w:rsidP="00F4787D">
      <w:pPr>
        <w:spacing w:line="480" w:lineRule="auto"/>
        <w:ind w:left="0" w:right="0"/>
        <w:rPr>
          <w:rFonts w:ascii="Times New Roman" w:hAnsi="Times New Roman" w:cs="Times New Roman"/>
          <w:sz w:val="24"/>
          <w:szCs w:val="24"/>
        </w:rPr>
      </w:pPr>
    </w:p>
    <w:p w14:paraId="5A3A4605" w14:textId="4D8246E7" w:rsidR="00F4787D" w:rsidRPr="004239B9" w:rsidRDefault="00F4787D" w:rsidP="00F4787D">
      <w:pPr>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 xml:space="preserve">Table 4:13: Association between CRP levels and nutritional status of pregnant women receiving antenatal care </w:t>
      </w:r>
      <w:r>
        <w:rPr>
          <w:rFonts w:ascii="Times New Roman" w:hAnsi="Times New Roman" w:cs="Times New Roman"/>
          <w:sz w:val="24"/>
          <w:szCs w:val="24"/>
        </w:rPr>
        <w:t>at</w:t>
      </w:r>
      <w:r w:rsidRPr="004239B9">
        <w:rPr>
          <w:rFonts w:ascii="Times New Roman" w:hAnsi="Times New Roman" w:cs="Times New Roman"/>
          <w:sz w:val="24"/>
          <w:szCs w:val="24"/>
        </w:rPr>
        <w:t xml:space="preserve"> Yariman Bakura Specialist Hospital, Gusau, Zamfara state (n=54)</w:t>
      </w:r>
    </w:p>
    <w:tbl>
      <w:tblPr>
        <w:tblW w:w="5288" w:type="pct"/>
        <w:tblLook w:val="04A0" w:firstRow="1" w:lastRow="0" w:firstColumn="1" w:lastColumn="0" w:noHBand="0" w:noVBand="1"/>
      </w:tblPr>
      <w:tblGrid>
        <w:gridCol w:w="1896"/>
        <w:gridCol w:w="2289"/>
        <w:gridCol w:w="1705"/>
        <w:gridCol w:w="1776"/>
        <w:gridCol w:w="2233"/>
      </w:tblGrid>
      <w:tr w:rsidR="00F4787D" w14:paraId="79FA90C1" w14:textId="77777777" w:rsidTr="00C80B2D">
        <w:trPr>
          <w:trHeight w:val="300"/>
        </w:trPr>
        <w:tc>
          <w:tcPr>
            <w:tcW w:w="2113" w:type="pct"/>
            <w:gridSpan w:val="2"/>
            <w:vMerge w:val="restart"/>
            <w:tcBorders>
              <w:top w:val="single" w:sz="4" w:space="0" w:color="auto"/>
              <w:left w:val="nil"/>
              <w:bottom w:val="single" w:sz="4" w:space="0" w:color="000000"/>
              <w:right w:val="nil"/>
            </w:tcBorders>
            <w:shd w:val="clear" w:color="auto" w:fill="auto"/>
            <w:hideMark/>
          </w:tcPr>
          <w:p w14:paraId="089D14B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Variables</w:t>
            </w:r>
          </w:p>
        </w:tc>
        <w:tc>
          <w:tcPr>
            <w:tcW w:w="2887" w:type="pct"/>
            <w:gridSpan w:val="3"/>
            <w:tcBorders>
              <w:top w:val="single" w:sz="4" w:space="0" w:color="auto"/>
              <w:left w:val="nil"/>
              <w:bottom w:val="single" w:sz="4" w:space="0" w:color="auto"/>
              <w:right w:val="nil"/>
            </w:tcBorders>
            <w:shd w:val="clear" w:color="auto" w:fill="auto"/>
            <w:hideMark/>
          </w:tcPr>
          <w:p w14:paraId="0D2FB33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CRP(mg/dL)</w:t>
            </w:r>
          </w:p>
        </w:tc>
      </w:tr>
      <w:tr w:rsidR="00F4787D" w14:paraId="4B6ECF36" w14:textId="77777777" w:rsidTr="00C80B2D">
        <w:trPr>
          <w:trHeight w:val="300"/>
        </w:trPr>
        <w:tc>
          <w:tcPr>
            <w:tcW w:w="2113" w:type="pct"/>
            <w:gridSpan w:val="2"/>
            <w:vMerge/>
            <w:tcBorders>
              <w:top w:val="single" w:sz="4" w:space="0" w:color="auto"/>
              <w:left w:val="nil"/>
              <w:bottom w:val="single" w:sz="4" w:space="0" w:color="000000"/>
              <w:right w:val="nil"/>
            </w:tcBorders>
            <w:vAlign w:val="center"/>
            <w:hideMark/>
          </w:tcPr>
          <w:p w14:paraId="1C90252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861" w:type="pct"/>
            <w:tcBorders>
              <w:top w:val="nil"/>
              <w:left w:val="nil"/>
              <w:bottom w:val="single" w:sz="4" w:space="0" w:color="auto"/>
              <w:right w:val="nil"/>
            </w:tcBorders>
            <w:shd w:val="clear" w:color="auto" w:fill="auto"/>
            <w:hideMark/>
          </w:tcPr>
          <w:p w14:paraId="60EE893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897" w:type="pct"/>
            <w:tcBorders>
              <w:top w:val="nil"/>
              <w:left w:val="nil"/>
              <w:bottom w:val="single" w:sz="4" w:space="0" w:color="auto"/>
              <w:right w:val="nil"/>
            </w:tcBorders>
            <w:shd w:val="clear" w:color="auto" w:fill="auto"/>
            <w:noWrap/>
            <w:hideMark/>
          </w:tcPr>
          <w:p w14:paraId="3A12A50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Elevated</w:t>
            </w:r>
          </w:p>
        </w:tc>
        <w:tc>
          <w:tcPr>
            <w:tcW w:w="1129" w:type="pct"/>
            <w:tcBorders>
              <w:top w:val="nil"/>
              <w:left w:val="nil"/>
              <w:bottom w:val="single" w:sz="4" w:space="0" w:color="auto"/>
              <w:right w:val="nil"/>
            </w:tcBorders>
            <w:shd w:val="clear" w:color="auto" w:fill="auto"/>
            <w:noWrap/>
            <w:hideMark/>
          </w:tcPr>
          <w:p w14:paraId="7850B64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p-value</w:t>
            </w:r>
          </w:p>
        </w:tc>
      </w:tr>
      <w:tr w:rsidR="00F4787D" w14:paraId="317AB585" w14:textId="77777777" w:rsidTr="00C80B2D">
        <w:trPr>
          <w:trHeight w:val="188"/>
        </w:trPr>
        <w:tc>
          <w:tcPr>
            <w:tcW w:w="958" w:type="pct"/>
            <w:vMerge w:val="restart"/>
            <w:tcBorders>
              <w:top w:val="nil"/>
              <w:left w:val="nil"/>
              <w:bottom w:val="nil"/>
              <w:right w:val="nil"/>
            </w:tcBorders>
            <w:shd w:val="clear" w:color="auto" w:fill="auto"/>
            <w:hideMark/>
          </w:tcPr>
          <w:p w14:paraId="751034A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Dietary Diversity</w:t>
            </w:r>
          </w:p>
        </w:tc>
        <w:tc>
          <w:tcPr>
            <w:tcW w:w="1156" w:type="pct"/>
            <w:tcBorders>
              <w:top w:val="nil"/>
              <w:left w:val="nil"/>
              <w:bottom w:val="nil"/>
              <w:right w:val="nil"/>
            </w:tcBorders>
            <w:shd w:val="clear" w:color="auto" w:fill="auto"/>
            <w:hideMark/>
          </w:tcPr>
          <w:p w14:paraId="09C0523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Diversified</w:t>
            </w:r>
          </w:p>
        </w:tc>
        <w:tc>
          <w:tcPr>
            <w:tcW w:w="861" w:type="pct"/>
            <w:tcBorders>
              <w:top w:val="nil"/>
              <w:left w:val="nil"/>
              <w:bottom w:val="nil"/>
              <w:right w:val="nil"/>
            </w:tcBorders>
            <w:shd w:val="clear" w:color="auto" w:fill="auto"/>
            <w:noWrap/>
            <w:hideMark/>
          </w:tcPr>
          <w:p w14:paraId="321FE64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14.3</w:t>
            </w:r>
          </w:p>
        </w:tc>
        <w:tc>
          <w:tcPr>
            <w:tcW w:w="897" w:type="pct"/>
            <w:tcBorders>
              <w:top w:val="nil"/>
              <w:left w:val="nil"/>
              <w:bottom w:val="nil"/>
              <w:right w:val="nil"/>
            </w:tcBorders>
            <w:shd w:val="clear" w:color="auto" w:fill="auto"/>
            <w:noWrap/>
            <w:hideMark/>
          </w:tcPr>
          <w:p w14:paraId="0CD1C56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48.5</w:t>
            </w:r>
          </w:p>
        </w:tc>
        <w:tc>
          <w:tcPr>
            <w:tcW w:w="1129" w:type="pct"/>
            <w:tcBorders>
              <w:top w:val="nil"/>
              <w:left w:val="nil"/>
              <w:bottom w:val="nil"/>
              <w:right w:val="nil"/>
            </w:tcBorders>
            <w:shd w:val="clear" w:color="auto" w:fill="auto"/>
            <w:noWrap/>
            <w:hideMark/>
          </w:tcPr>
          <w:p w14:paraId="668FB0B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0.021*</w:t>
            </w:r>
          </w:p>
        </w:tc>
      </w:tr>
      <w:tr w:rsidR="00F4787D" w14:paraId="3541ACBE" w14:textId="77777777" w:rsidTr="00C80B2D">
        <w:trPr>
          <w:trHeight w:val="945"/>
        </w:trPr>
        <w:tc>
          <w:tcPr>
            <w:tcW w:w="958" w:type="pct"/>
            <w:vMerge/>
            <w:tcBorders>
              <w:top w:val="nil"/>
              <w:left w:val="nil"/>
              <w:bottom w:val="nil"/>
              <w:right w:val="nil"/>
            </w:tcBorders>
            <w:vAlign w:val="center"/>
            <w:hideMark/>
          </w:tcPr>
          <w:p w14:paraId="4B9277C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156" w:type="pct"/>
            <w:tcBorders>
              <w:top w:val="nil"/>
              <w:left w:val="nil"/>
              <w:bottom w:val="nil"/>
              <w:right w:val="nil"/>
            </w:tcBorders>
            <w:shd w:val="clear" w:color="auto" w:fill="auto"/>
            <w:hideMark/>
          </w:tcPr>
          <w:p w14:paraId="4D09B33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Not diversified</w:t>
            </w:r>
          </w:p>
        </w:tc>
        <w:tc>
          <w:tcPr>
            <w:tcW w:w="861" w:type="pct"/>
            <w:tcBorders>
              <w:top w:val="nil"/>
              <w:left w:val="nil"/>
              <w:bottom w:val="nil"/>
              <w:right w:val="nil"/>
            </w:tcBorders>
            <w:shd w:val="clear" w:color="auto" w:fill="auto"/>
            <w:noWrap/>
            <w:hideMark/>
          </w:tcPr>
          <w:p w14:paraId="082CCEA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26.3</w:t>
            </w:r>
          </w:p>
        </w:tc>
        <w:tc>
          <w:tcPr>
            <w:tcW w:w="897" w:type="pct"/>
            <w:tcBorders>
              <w:top w:val="nil"/>
              <w:left w:val="nil"/>
              <w:bottom w:val="nil"/>
              <w:right w:val="nil"/>
            </w:tcBorders>
            <w:shd w:val="clear" w:color="auto" w:fill="auto"/>
            <w:noWrap/>
            <w:hideMark/>
          </w:tcPr>
          <w:p w14:paraId="3A007A5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73.7</w:t>
            </w:r>
          </w:p>
        </w:tc>
        <w:tc>
          <w:tcPr>
            <w:tcW w:w="1129" w:type="pct"/>
            <w:tcBorders>
              <w:top w:val="nil"/>
              <w:left w:val="nil"/>
              <w:bottom w:val="nil"/>
              <w:right w:val="nil"/>
            </w:tcBorders>
            <w:shd w:val="clear" w:color="auto" w:fill="auto"/>
            <w:noWrap/>
            <w:hideMark/>
          </w:tcPr>
          <w:p w14:paraId="3F6232B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48486C87" w14:textId="77777777" w:rsidTr="00C80B2D">
        <w:trPr>
          <w:trHeight w:val="450"/>
        </w:trPr>
        <w:tc>
          <w:tcPr>
            <w:tcW w:w="958" w:type="pct"/>
            <w:vMerge w:val="restart"/>
            <w:tcBorders>
              <w:top w:val="nil"/>
              <w:left w:val="nil"/>
              <w:bottom w:val="nil"/>
              <w:right w:val="nil"/>
            </w:tcBorders>
            <w:shd w:val="clear" w:color="auto" w:fill="auto"/>
            <w:hideMark/>
          </w:tcPr>
          <w:p w14:paraId="338CC95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MUAC</w:t>
            </w:r>
          </w:p>
        </w:tc>
        <w:tc>
          <w:tcPr>
            <w:tcW w:w="1156" w:type="pct"/>
            <w:tcBorders>
              <w:top w:val="nil"/>
              <w:left w:val="nil"/>
              <w:bottom w:val="nil"/>
              <w:right w:val="nil"/>
            </w:tcBorders>
            <w:shd w:val="clear" w:color="auto" w:fill="auto"/>
            <w:hideMark/>
          </w:tcPr>
          <w:p w14:paraId="3B140F8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Severe Malnourishment</w:t>
            </w:r>
          </w:p>
        </w:tc>
        <w:tc>
          <w:tcPr>
            <w:tcW w:w="861" w:type="pct"/>
            <w:tcBorders>
              <w:top w:val="nil"/>
              <w:left w:val="nil"/>
              <w:bottom w:val="nil"/>
              <w:right w:val="nil"/>
            </w:tcBorders>
            <w:shd w:val="clear" w:color="auto" w:fill="auto"/>
            <w:noWrap/>
            <w:hideMark/>
          </w:tcPr>
          <w:p w14:paraId="0BA4857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897" w:type="pct"/>
            <w:tcBorders>
              <w:top w:val="nil"/>
              <w:left w:val="nil"/>
              <w:bottom w:val="nil"/>
              <w:right w:val="nil"/>
            </w:tcBorders>
            <w:shd w:val="clear" w:color="auto" w:fill="auto"/>
            <w:noWrap/>
            <w:hideMark/>
          </w:tcPr>
          <w:p w14:paraId="41A1BEE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100</w:t>
            </w:r>
          </w:p>
        </w:tc>
        <w:tc>
          <w:tcPr>
            <w:tcW w:w="1129" w:type="pct"/>
            <w:tcBorders>
              <w:top w:val="nil"/>
              <w:left w:val="nil"/>
              <w:bottom w:val="nil"/>
              <w:right w:val="nil"/>
            </w:tcBorders>
            <w:shd w:val="clear" w:color="auto" w:fill="auto"/>
            <w:noWrap/>
            <w:hideMark/>
          </w:tcPr>
          <w:p w14:paraId="7525DAD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0.042*</w:t>
            </w:r>
          </w:p>
        </w:tc>
      </w:tr>
      <w:tr w:rsidR="00F4787D" w14:paraId="24DF4ED1" w14:textId="77777777" w:rsidTr="00C80B2D">
        <w:trPr>
          <w:trHeight w:val="612"/>
        </w:trPr>
        <w:tc>
          <w:tcPr>
            <w:tcW w:w="958" w:type="pct"/>
            <w:vMerge/>
            <w:tcBorders>
              <w:top w:val="nil"/>
              <w:left w:val="nil"/>
              <w:bottom w:val="nil"/>
              <w:right w:val="nil"/>
            </w:tcBorders>
            <w:vAlign w:val="center"/>
            <w:hideMark/>
          </w:tcPr>
          <w:p w14:paraId="1D78406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156" w:type="pct"/>
            <w:tcBorders>
              <w:top w:val="nil"/>
              <w:left w:val="nil"/>
              <w:bottom w:val="nil"/>
              <w:right w:val="nil"/>
            </w:tcBorders>
            <w:shd w:val="clear" w:color="auto" w:fill="auto"/>
            <w:hideMark/>
          </w:tcPr>
          <w:p w14:paraId="294B5C3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Moderate Malnourishment</w:t>
            </w:r>
          </w:p>
        </w:tc>
        <w:tc>
          <w:tcPr>
            <w:tcW w:w="861" w:type="pct"/>
            <w:tcBorders>
              <w:top w:val="nil"/>
              <w:left w:val="nil"/>
              <w:bottom w:val="nil"/>
              <w:right w:val="nil"/>
            </w:tcBorders>
            <w:shd w:val="clear" w:color="auto" w:fill="auto"/>
            <w:noWrap/>
            <w:hideMark/>
          </w:tcPr>
          <w:p w14:paraId="4B1DE85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w:t>
            </w:r>
          </w:p>
        </w:tc>
        <w:tc>
          <w:tcPr>
            <w:tcW w:w="897" w:type="pct"/>
            <w:tcBorders>
              <w:top w:val="nil"/>
              <w:left w:val="nil"/>
              <w:bottom w:val="nil"/>
              <w:right w:val="nil"/>
            </w:tcBorders>
            <w:shd w:val="clear" w:color="auto" w:fill="auto"/>
            <w:noWrap/>
            <w:hideMark/>
          </w:tcPr>
          <w:p w14:paraId="5568736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100</w:t>
            </w:r>
          </w:p>
        </w:tc>
        <w:tc>
          <w:tcPr>
            <w:tcW w:w="1129" w:type="pct"/>
            <w:tcBorders>
              <w:top w:val="nil"/>
              <w:left w:val="nil"/>
              <w:bottom w:val="nil"/>
              <w:right w:val="nil"/>
            </w:tcBorders>
            <w:shd w:val="clear" w:color="auto" w:fill="auto"/>
            <w:noWrap/>
            <w:hideMark/>
          </w:tcPr>
          <w:p w14:paraId="2320300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258C4838" w14:textId="77777777" w:rsidTr="00C80B2D">
        <w:trPr>
          <w:trHeight w:val="480"/>
        </w:trPr>
        <w:tc>
          <w:tcPr>
            <w:tcW w:w="958" w:type="pct"/>
            <w:vMerge/>
            <w:tcBorders>
              <w:top w:val="nil"/>
              <w:left w:val="nil"/>
              <w:bottom w:val="nil"/>
              <w:right w:val="nil"/>
            </w:tcBorders>
            <w:vAlign w:val="center"/>
            <w:hideMark/>
          </w:tcPr>
          <w:p w14:paraId="25DF6C56"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156" w:type="pct"/>
            <w:tcBorders>
              <w:top w:val="nil"/>
              <w:left w:val="nil"/>
              <w:bottom w:val="nil"/>
              <w:right w:val="nil"/>
            </w:tcBorders>
            <w:shd w:val="clear" w:color="auto" w:fill="auto"/>
            <w:hideMark/>
          </w:tcPr>
          <w:p w14:paraId="074BF2DE"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861" w:type="pct"/>
            <w:tcBorders>
              <w:top w:val="nil"/>
              <w:left w:val="nil"/>
              <w:bottom w:val="nil"/>
              <w:right w:val="nil"/>
            </w:tcBorders>
            <w:shd w:val="clear" w:color="auto" w:fill="auto"/>
            <w:noWrap/>
            <w:hideMark/>
          </w:tcPr>
          <w:p w14:paraId="07B0D70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21.1</w:t>
            </w:r>
          </w:p>
        </w:tc>
        <w:tc>
          <w:tcPr>
            <w:tcW w:w="897" w:type="pct"/>
            <w:tcBorders>
              <w:top w:val="nil"/>
              <w:left w:val="nil"/>
              <w:bottom w:val="nil"/>
              <w:right w:val="nil"/>
            </w:tcBorders>
            <w:shd w:val="clear" w:color="auto" w:fill="auto"/>
            <w:noWrap/>
            <w:hideMark/>
          </w:tcPr>
          <w:p w14:paraId="26364A70"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78.9</w:t>
            </w:r>
          </w:p>
        </w:tc>
        <w:tc>
          <w:tcPr>
            <w:tcW w:w="1129" w:type="pct"/>
            <w:tcBorders>
              <w:top w:val="nil"/>
              <w:left w:val="nil"/>
              <w:bottom w:val="nil"/>
              <w:right w:val="nil"/>
            </w:tcBorders>
            <w:shd w:val="clear" w:color="auto" w:fill="auto"/>
            <w:noWrap/>
            <w:hideMark/>
          </w:tcPr>
          <w:p w14:paraId="0BD2802F"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2A0D87F1" w14:textId="77777777" w:rsidTr="00C80B2D">
        <w:trPr>
          <w:trHeight w:val="315"/>
        </w:trPr>
        <w:tc>
          <w:tcPr>
            <w:tcW w:w="958" w:type="pct"/>
            <w:vMerge w:val="restart"/>
            <w:tcBorders>
              <w:top w:val="nil"/>
              <w:left w:val="nil"/>
              <w:bottom w:val="nil"/>
              <w:right w:val="nil"/>
            </w:tcBorders>
            <w:shd w:val="clear" w:color="auto" w:fill="auto"/>
            <w:hideMark/>
          </w:tcPr>
          <w:p w14:paraId="11BB4837"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PCV (%)</w:t>
            </w:r>
          </w:p>
        </w:tc>
        <w:tc>
          <w:tcPr>
            <w:tcW w:w="1156" w:type="pct"/>
            <w:tcBorders>
              <w:top w:val="nil"/>
              <w:left w:val="nil"/>
              <w:bottom w:val="nil"/>
              <w:right w:val="nil"/>
            </w:tcBorders>
            <w:shd w:val="clear" w:color="auto" w:fill="auto"/>
            <w:hideMark/>
          </w:tcPr>
          <w:p w14:paraId="58CE1E7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861" w:type="pct"/>
            <w:tcBorders>
              <w:top w:val="nil"/>
              <w:left w:val="nil"/>
              <w:bottom w:val="nil"/>
              <w:right w:val="nil"/>
            </w:tcBorders>
            <w:shd w:val="clear" w:color="auto" w:fill="auto"/>
            <w:noWrap/>
            <w:hideMark/>
          </w:tcPr>
          <w:p w14:paraId="76740682"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30.2</w:t>
            </w:r>
          </w:p>
        </w:tc>
        <w:tc>
          <w:tcPr>
            <w:tcW w:w="897" w:type="pct"/>
            <w:tcBorders>
              <w:top w:val="nil"/>
              <w:left w:val="nil"/>
              <w:bottom w:val="nil"/>
              <w:right w:val="nil"/>
            </w:tcBorders>
            <w:shd w:val="clear" w:color="auto" w:fill="auto"/>
            <w:noWrap/>
            <w:hideMark/>
          </w:tcPr>
          <w:p w14:paraId="5C2AA16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69.8</w:t>
            </w:r>
          </w:p>
        </w:tc>
        <w:tc>
          <w:tcPr>
            <w:tcW w:w="1129" w:type="pct"/>
            <w:tcBorders>
              <w:top w:val="nil"/>
              <w:left w:val="nil"/>
              <w:bottom w:val="nil"/>
              <w:right w:val="nil"/>
            </w:tcBorders>
            <w:shd w:val="clear" w:color="auto" w:fill="auto"/>
            <w:noWrap/>
            <w:hideMark/>
          </w:tcPr>
          <w:p w14:paraId="6A7F207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0.001*</w:t>
            </w:r>
          </w:p>
        </w:tc>
      </w:tr>
      <w:tr w:rsidR="00F4787D" w14:paraId="5C848020" w14:textId="77777777" w:rsidTr="00C80B2D">
        <w:trPr>
          <w:trHeight w:val="468"/>
        </w:trPr>
        <w:tc>
          <w:tcPr>
            <w:tcW w:w="958" w:type="pct"/>
            <w:vMerge/>
            <w:tcBorders>
              <w:top w:val="nil"/>
              <w:left w:val="nil"/>
              <w:bottom w:val="nil"/>
              <w:right w:val="nil"/>
            </w:tcBorders>
            <w:vAlign w:val="center"/>
            <w:hideMark/>
          </w:tcPr>
          <w:p w14:paraId="6424F50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156" w:type="pct"/>
            <w:tcBorders>
              <w:top w:val="nil"/>
              <w:left w:val="nil"/>
              <w:bottom w:val="nil"/>
              <w:right w:val="nil"/>
            </w:tcBorders>
            <w:shd w:val="clear" w:color="auto" w:fill="auto"/>
            <w:hideMark/>
          </w:tcPr>
          <w:p w14:paraId="78D9DF0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861" w:type="pct"/>
            <w:tcBorders>
              <w:top w:val="nil"/>
              <w:left w:val="nil"/>
              <w:bottom w:val="nil"/>
              <w:right w:val="nil"/>
            </w:tcBorders>
            <w:shd w:val="clear" w:color="auto" w:fill="auto"/>
            <w:noWrap/>
            <w:hideMark/>
          </w:tcPr>
          <w:p w14:paraId="594DA0D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11.1</w:t>
            </w:r>
          </w:p>
        </w:tc>
        <w:tc>
          <w:tcPr>
            <w:tcW w:w="897" w:type="pct"/>
            <w:tcBorders>
              <w:top w:val="nil"/>
              <w:left w:val="nil"/>
              <w:bottom w:val="nil"/>
              <w:right w:val="nil"/>
            </w:tcBorders>
            <w:shd w:val="clear" w:color="auto" w:fill="auto"/>
            <w:noWrap/>
            <w:hideMark/>
          </w:tcPr>
          <w:p w14:paraId="1220A38A"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88.9</w:t>
            </w:r>
          </w:p>
        </w:tc>
        <w:tc>
          <w:tcPr>
            <w:tcW w:w="1129" w:type="pct"/>
            <w:tcBorders>
              <w:top w:val="nil"/>
              <w:left w:val="nil"/>
              <w:bottom w:val="nil"/>
              <w:right w:val="nil"/>
            </w:tcBorders>
            <w:shd w:val="clear" w:color="auto" w:fill="auto"/>
            <w:noWrap/>
            <w:hideMark/>
          </w:tcPr>
          <w:p w14:paraId="092E9E8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r>
      <w:tr w:rsidR="00F4787D" w14:paraId="6FB412FF" w14:textId="77777777" w:rsidTr="00C80B2D">
        <w:trPr>
          <w:trHeight w:val="480"/>
        </w:trPr>
        <w:tc>
          <w:tcPr>
            <w:tcW w:w="958" w:type="pct"/>
            <w:vMerge w:val="restart"/>
            <w:tcBorders>
              <w:top w:val="nil"/>
              <w:left w:val="nil"/>
              <w:bottom w:val="single" w:sz="4" w:space="0" w:color="000000"/>
              <w:right w:val="nil"/>
            </w:tcBorders>
            <w:shd w:val="clear" w:color="auto" w:fill="auto"/>
            <w:hideMark/>
          </w:tcPr>
          <w:p w14:paraId="623438B8"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Hb(mg/dl)</w:t>
            </w:r>
          </w:p>
        </w:tc>
        <w:tc>
          <w:tcPr>
            <w:tcW w:w="1156" w:type="pct"/>
            <w:tcBorders>
              <w:top w:val="nil"/>
              <w:left w:val="nil"/>
              <w:bottom w:val="nil"/>
              <w:right w:val="nil"/>
            </w:tcBorders>
            <w:shd w:val="clear" w:color="auto" w:fill="auto"/>
            <w:hideMark/>
          </w:tcPr>
          <w:p w14:paraId="0870D6AB"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Normal</w:t>
            </w:r>
          </w:p>
        </w:tc>
        <w:tc>
          <w:tcPr>
            <w:tcW w:w="861" w:type="pct"/>
            <w:tcBorders>
              <w:top w:val="nil"/>
              <w:left w:val="nil"/>
              <w:bottom w:val="nil"/>
              <w:right w:val="nil"/>
            </w:tcBorders>
            <w:shd w:val="clear" w:color="auto" w:fill="auto"/>
            <w:noWrap/>
            <w:hideMark/>
          </w:tcPr>
          <w:p w14:paraId="6BE82035"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27.3</w:t>
            </w:r>
          </w:p>
        </w:tc>
        <w:tc>
          <w:tcPr>
            <w:tcW w:w="897" w:type="pct"/>
            <w:tcBorders>
              <w:top w:val="nil"/>
              <w:left w:val="nil"/>
              <w:bottom w:val="nil"/>
              <w:right w:val="nil"/>
            </w:tcBorders>
            <w:shd w:val="clear" w:color="auto" w:fill="auto"/>
            <w:noWrap/>
            <w:hideMark/>
          </w:tcPr>
          <w:p w14:paraId="4328730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72.7</w:t>
            </w:r>
          </w:p>
        </w:tc>
        <w:tc>
          <w:tcPr>
            <w:tcW w:w="1129" w:type="pct"/>
            <w:tcBorders>
              <w:top w:val="nil"/>
              <w:left w:val="nil"/>
              <w:bottom w:val="nil"/>
              <w:right w:val="nil"/>
            </w:tcBorders>
            <w:shd w:val="clear" w:color="auto" w:fill="auto"/>
            <w:noWrap/>
            <w:hideMark/>
          </w:tcPr>
          <w:p w14:paraId="01D1FBC3"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0.001*</w:t>
            </w:r>
          </w:p>
        </w:tc>
      </w:tr>
      <w:tr w:rsidR="00F4787D" w14:paraId="3C93784B" w14:textId="77777777" w:rsidTr="00C80B2D">
        <w:trPr>
          <w:trHeight w:val="315"/>
        </w:trPr>
        <w:tc>
          <w:tcPr>
            <w:tcW w:w="958" w:type="pct"/>
            <w:vMerge/>
            <w:tcBorders>
              <w:top w:val="nil"/>
              <w:left w:val="nil"/>
              <w:bottom w:val="single" w:sz="4" w:space="0" w:color="000000"/>
              <w:right w:val="nil"/>
            </w:tcBorders>
            <w:vAlign w:val="center"/>
            <w:hideMark/>
          </w:tcPr>
          <w:p w14:paraId="6A49B274"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p>
        </w:tc>
        <w:tc>
          <w:tcPr>
            <w:tcW w:w="1156" w:type="pct"/>
            <w:tcBorders>
              <w:top w:val="nil"/>
              <w:left w:val="nil"/>
              <w:bottom w:val="single" w:sz="4" w:space="0" w:color="auto"/>
              <w:right w:val="nil"/>
            </w:tcBorders>
            <w:shd w:val="clear" w:color="auto" w:fill="auto"/>
            <w:hideMark/>
          </w:tcPr>
          <w:p w14:paraId="284FF99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Low</w:t>
            </w:r>
          </w:p>
        </w:tc>
        <w:tc>
          <w:tcPr>
            <w:tcW w:w="861" w:type="pct"/>
            <w:tcBorders>
              <w:top w:val="nil"/>
              <w:left w:val="nil"/>
              <w:bottom w:val="single" w:sz="4" w:space="0" w:color="auto"/>
              <w:right w:val="nil"/>
            </w:tcBorders>
            <w:shd w:val="clear" w:color="auto" w:fill="auto"/>
            <w:noWrap/>
            <w:hideMark/>
          </w:tcPr>
          <w:p w14:paraId="1F27BDF9"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9.1</w:t>
            </w:r>
          </w:p>
        </w:tc>
        <w:tc>
          <w:tcPr>
            <w:tcW w:w="897" w:type="pct"/>
            <w:tcBorders>
              <w:top w:val="nil"/>
              <w:left w:val="nil"/>
              <w:bottom w:val="single" w:sz="4" w:space="0" w:color="auto"/>
              <w:right w:val="nil"/>
            </w:tcBorders>
            <w:shd w:val="clear" w:color="auto" w:fill="auto"/>
            <w:noWrap/>
            <w:hideMark/>
          </w:tcPr>
          <w:p w14:paraId="52AFCD4D"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90.9</w:t>
            </w:r>
          </w:p>
        </w:tc>
        <w:tc>
          <w:tcPr>
            <w:tcW w:w="1129" w:type="pct"/>
            <w:tcBorders>
              <w:top w:val="nil"/>
              <w:left w:val="nil"/>
              <w:bottom w:val="single" w:sz="4" w:space="0" w:color="auto"/>
              <w:right w:val="nil"/>
            </w:tcBorders>
            <w:shd w:val="clear" w:color="auto" w:fill="auto"/>
            <w:noWrap/>
            <w:hideMark/>
          </w:tcPr>
          <w:p w14:paraId="3D63E6A1" w14:textId="77777777" w:rsidR="00F4787D" w:rsidRPr="004239B9" w:rsidRDefault="00F4787D" w:rsidP="00C80B2D">
            <w:pPr>
              <w:spacing w:after="0" w:line="240" w:lineRule="auto"/>
              <w:ind w:left="0" w:right="0"/>
              <w:rPr>
                <w:rFonts w:ascii="Times New Roman" w:eastAsia="Times New Roman" w:hAnsi="Times New Roman" w:cs="Times New Roman"/>
                <w:sz w:val="24"/>
                <w:szCs w:val="24"/>
              </w:rPr>
            </w:pPr>
            <w:r w:rsidRPr="004239B9">
              <w:rPr>
                <w:rFonts w:ascii="Times New Roman" w:eastAsia="Times New Roman" w:hAnsi="Times New Roman" w:cs="Times New Roman"/>
                <w:sz w:val="24"/>
                <w:szCs w:val="24"/>
              </w:rPr>
              <w:t> </w:t>
            </w:r>
          </w:p>
        </w:tc>
      </w:tr>
    </w:tbl>
    <w:p w14:paraId="007AABDE" w14:textId="77777777" w:rsidR="00F4787D" w:rsidRPr="004239B9" w:rsidRDefault="00F4787D" w:rsidP="00F4787D">
      <w:pPr>
        <w:spacing w:line="240" w:lineRule="auto"/>
        <w:ind w:left="0" w:right="0"/>
        <w:rPr>
          <w:rFonts w:ascii="Times New Roman" w:hAnsi="Times New Roman" w:cs="Times New Roman"/>
          <w:sz w:val="24"/>
          <w:szCs w:val="24"/>
        </w:rPr>
      </w:pPr>
      <w:r w:rsidRPr="004239B9">
        <w:rPr>
          <w:rFonts w:ascii="Times New Roman" w:hAnsi="Times New Roman" w:cs="Times New Roman"/>
          <w:sz w:val="24"/>
          <w:szCs w:val="24"/>
        </w:rPr>
        <w:t>*The Chi-square statistic is significant at the .05 level.</w:t>
      </w:r>
    </w:p>
    <w:p w14:paraId="7D201639" w14:textId="77777777" w:rsidR="00F4787D" w:rsidRPr="004239B9" w:rsidRDefault="00F4787D" w:rsidP="00F4787D">
      <w:pPr>
        <w:ind w:left="0" w:right="0"/>
        <w:rPr>
          <w:rFonts w:ascii="Times New Roman" w:hAnsi="Times New Roman" w:cs="Times New Roman"/>
          <w:sz w:val="24"/>
          <w:szCs w:val="24"/>
        </w:rPr>
      </w:pPr>
      <w:r w:rsidRPr="004239B9">
        <w:rPr>
          <w:rFonts w:ascii="Times New Roman" w:hAnsi="Times New Roman" w:cs="Times New Roman"/>
          <w:sz w:val="24"/>
          <w:szCs w:val="24"/>
        </w:rPr>
        <w:br w:type="page"/>
      </w:r>
    </w:p>
    <w:p w14:paraId="530179D9" w14:textId="4C171D7B" w:rsidR="00F4787D" w:rsidRPr="004239B9" w:rsidRDefault="00F4787D" w:rsidP="00F4787D">
      <w:pPr>
        <w:pStyle w:val="NoSpacing"/>
        <w:spacing w:line="276" w:lineRule="auto"/>
        <w:jc w:val="both"/>
        <w:rPr>
          <w:rFonts w:ascii="Times New Roman" w:hAnsi="Times New Roman" w:cs="Times New Roman"/>
          <w:sz w:val="24"/>
          <w:szCs w:val="24"/>
        </w:rPr>
      </w:pPr>
      <w:r w:rsidRPr="004239B9">
        <w:rPr>
          <w:rFonts w:ascii="Times New Roman" w:hAnsi="Times New Roman" w:cs="Times New Roman"/>
          <w:sz w:val="24"/>
          <w:szCs w:val="24"/>
        </w:rPr>
        <w:lastRenderedPageBreak/>
        <w:t>Table 4.1</w:t>
      </w:r>
      <w:r>
        <w:rPr>
          <w:rFonts w:ascii="Times New Roman" w:hAnsi="Times New Roman" w:cs="Times New Roman"/>
          <w:sz w:val="24"/>
          <w:szCs w:val="24"/>
        </w:rPr>
        <w:t xml:space="preserve">4: Association between CRP, </w:t>
      </w:r>
      <w:r w:rsidRPr="004239B9">
        <w:rPr>
          <w:rFonts w:ascii="Times New Roman" w:hAnsi="Times New Roman" w:cs="Times New Roman"/>
          <w:sz w:val="24"/>
          <w:szCs w:val="24"/>
        </w:rPr>
        <w:t xml:space="preserve">pLDH, PCV, and Hb in malaria-positive pregnant women receiving antenatal care </w:t>
      </w:r>
      <w:r>
        <w:rPr>
          <w:rFonts w:ascii="Times New Roman" w:hAnsi="Times New Roman" w:cs="Times New Roman"/>
          <w:sz w:val="24"/>
          <w:szCs w:val="24"/>
        </w:rPr>
        <w:t>at</w:t>
      </w:r>
      <w:r w:rsidRPr="004239B9">
        <w:rPr>
          <w:rFonts w:ascii="Times New Roman" w:hAnsi="Times New Roman" w:cs="Times New Roman"/>
          <w:sz w:val="24"/>
          <w:szCs w:val="24"/>
        </w:rPr>
        <w:t xml:space="preserve"> Yariman Bakura Specialist Hospital, Gusau, Zamfara state (n=54)</w:t>
      </w:r>
    </w:p>
    <w:tbl>
      <w:tblPr>
        <w:tblStyle w:val="PlainTable2"/>
        <w:tblW w:w="5000" w:type="pct"/>
        <w:tblLook w:val="06A0" w:firstRow="1" w:lastRow="0" w:firstColumn="1" w:lastColumn="0" w:noHBand="1" w:noVBand="1"/>
      </w:tblPr>
      <w:tblGrid>
        <w:gridCol w:w="1857"/>
        <w:gridCol w:w="1744"/>
        <w:gridCol w:w="1996"/>
        <w:gridCol w:w="2071"/>
        <w:gridCol w:w="1692"/>
      </w:tblGrid>
      <w:tr w:rsidR="00F4787D" w14:paraId="2BA6AAB5" w14:textId="77777777" w:rsidTr="00C80B2D">
        <w:trPr>
          <w:gridAfter w:val="1"/>
          <w:cnfStyle w:val="100000000000" w:firstRow="1" w:lastRow="0" w:firstColumn="0" w:lastColumn="0" w:oddVBand="0" w:evenVBand="0" w:oddHBand="0" w:evenHBand="0" w:firstRowFirstColumn="0" w:firstRowLastColumn="0" w:lastRowFirstColumn="0" w:lastRowLastColumn="0"/>
          <w:wAfter w:w="948" w:type="dxa"/>
          <w:trHeight w:val="543"/>
        </w:trPr>
        <w:tc>
          <w:tcPr>
            <w:cnfStyle w:val="001000000000" w:firstRow="0" w:lastRow="0" w:firstColumn="1" w:lastColumn="0" w:oddVBand="0" w:evenVBand="0" w:oddHBand="0" w:evenHBand="0" w:firstRowFirstColumn="0" w:firstRowLastColumn="0" w:lastRowFirstColumn="0" w:lastRowLastColumn="0"/>
            <w:tcW w:w="1932" w:type="pct"/>
            <w:gridSpan w:val="2"/>
            <w:vMerge w:val="restart"/>
            <w:hideMark/>
          </w:tcPr>
          <w:p w14:paraId="7AAC69D9" w14:textId="77777777" w:rsidR="00F4787D" w:rsidRPr="004239B9" w:rsidRDefault="00F4787D" w:rsidP="00C80B2D">
            <w:pPr>
              <w:pStyle w:val="NoSpacing"/>
              <w:rPr>
                <w:rFonts w:ascii="Times New Roman" w:hAnsi="Times New Roman" w:cs="Times New Roman"/>
                <w:sz w:val="24"/>
                <w:szCs w:val="24"/>
              </w:rPr>
            </w:pPr>
            <w:r w:rsidRPr="004239B9">
              <w:rPr>
                <w:rFonts w:ascii="Times New Roman" w:hAnsi="Times New Roman" w:cs="Times New Roman"/>
                <w:sz w:val="24"/>
                <w:szCs w:val="24"/>
              </w:rPr>
              <w:t>Variables</w:t>
            </w:r>
          </w:p>
        </w:tc>
        <w:tc>
          <w:tcPr>
            <w:tcW w:w="2571" w:type="pct"/>
            <w:gridSpan w:val="2"/>
            <w:hideMark/>
          </w:tcPr>
          <w:p w14:paraId="436598E0" w14:textId="77777777" w:rsidR="00F4787D" w:rsidRPr="004239B9" w:rsidRDefault="00F4787D" w:rsidP="00C80B2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CRP(mg/dL)</w:t>
            </w:r>
          </w:p>
        </w:tc>
      </w:tr>
      <w:tr w:rsidR="00F4787D" w14:paraId="54D19591" w14:textId="77777777" w:rsidTr="00C80B2D">
        <w:trPr>
          <w:trHeight w:val="1043"/>
        </w:trPr>
        <w:tc>
          <w:tcPr>
            <w:cnfStyle w:val="001000000000" w:firstRow="0" w:lastRow="0" w:firstColumn="1" w:lastColumn="0" w:oddVBand="0" w:evenVBand="0" w:oddHBand="0" w:evenHBand="0" w:firstRowFirstColumn="0" w:firstRowLastColumn="0" w:lastRowFirstColumn="0" w:lastRowLastColumn="0"/>
            <w:tcW w:w="1932" w:type="pct"/>
            <w:gridSpan w:val="2"/>
            <w:vMerge/>
            <w:hideMark/>
          </w:tcPr>
          <w:p w14:paraId="33EFB9B9" w14:textId="77777777" w:rsidR="00F4787D" w:rsidRPr="004239B9" w:rsidRDefault="00F4787D" w:rsidP="00C80B2D">
            <w:pPr>
              <w:pStyle w:val="NoSpacing"/>
              <w:rPr>
                <w:rFonts w:ascii="Times New Roman" w:hAnsi="Times New Roman" w:cs="Times New Roman"/>
                <w:sz w:val="24"/>
                <w:szCs w:val="24"/>
              </w:rPr>
            </w:pPr>
          </w:p>
        </w:tc>
        <w:tc>
          <w:tcPr>
            <w:tcW w:w="1153" w:type="pct"/>
            <w:hideMark/>
          </w:tcPr>
          <w:p w14:paraId="0EB4AB21"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Normal(%)</w:t>
            </w:r>
          </w:p>
        </w:tc>
        <w:tc>
          <w:tcPr>
            <w:tcW w:w="1418" w:type="pct"/>
            <w:hideMark/>
          </w:tcPr>
          <w:p w14:paraId="4415B7F3"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Elevated(%)</w:t>
            </w:r>
          </w:p>
        </w:tc>
        <w:tc>
          <w:tcPr>
            <w:tcW w:w="497" w:type="pct"/>
            <w:hideMark/>
          </w:tcPr>
          <w:p w14:paraId="103ED081"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p-value</w:t>
            </w:r>
          </w:p>
        </w:tc>
      </w:tr>
      <w:tr w:rsidR="00F4787D" w14:paraId="6F44D306" w14:textId="77777777" w:rsidTr="00C80B2D">
        <w:trPr>
          <w:trHeight w:val="710"/>
        </w:trPr>
        <w:tc>
          <w:tcPr>
            <w:cnfStyle w:val="001000000000" w:firstRow="0" w:lastRow="0" w:firstColumn="1" w:lastColumn="0" w:oddVBand="0" w:evenVBand="0" w:oddHBand="0" w:evenHBand="0" w:firstRowFirstColumn="0" w:firstRowLastColumn="0" w:lastRowFirstColumn="0" w:lastRowLastColumn="0"/>
            <w:tcW w:w="868" w:type="pct"/>
            <w:vMerge w:val="restart"/>
            <w:hideMark/>
          </w:tcPr>
          <w:p w14:paraId="0763B811" w14:textId="77777777" w:rsidR="00F4787D" w:rsidRPr="004239B9" w:rsidRDefault="00F4787D" w:rsidP="00C80B2D">
            <w:pPr>
              <w:pStyle w:val="NoSpacing"/>
              <w:rPr>
                <w:rFonts w:ascii="Times New Roman" w:hAnsi="Times New Roman" w:cs="Times New Roman"/>
                <w:sz w:val="24"/>
                <w:szCs w:val="24"/>
              </w:rPr>
            </w:pPr>
            <w:r w:rsidRPr="004239B9">
              <w:rPr>
                <w:rFonts w:ascii="Times New Roman" w:hAnsi="Times New Roman" w:cs="Times New Roman"/>
                <w:sz w:val="24"/>
                <w:szCs w:val="24"/>
              </w:rPr>
              <w:t>pLDH</w:t>
            </w:r>
          </w:p>
        </w:tc>
        <w:tc>
          <w:tcPr>
            <w:tcW w:w="1063" w:type="pct"/>
            <w:hideMark/>
          </w:tcPr>
          <w:p w14:paraId="1799163B"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Normal</w:t>
            </w:r>
          </w:p>
        </w:tc>
        <w:tc>
          <w:tcPr>
            <w:tcW w:w="1153" w:type="pct"/>
            <w:hideMark/>
          </w:tcPr>
          <w:p w14:paraId="66F695CC"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86.7</w:t>
            </w:r>
          </w:p>
        </w:tc>
        <w:tc>
          <w:tcPr>
            <w:tcW w:w="1418" w:type="pct"/>
            <w:hideMark/>
          </w:tcPr>
          <w:p w14:paraId="1CDD8E13"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13.3</w:t>
            </w:r>
          </w:p>
        </w:tc>
        <w:tc>
          <w:tcPr>
            <w:tcW w:w="497" w:type="pct"/>
            <w:hideMark/>
          </w:tcPr>
          <w:p w14:paraId="7AA03602"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i/>
                <w:iCs/>
                <w:sz w:val="24"/>
                <w:szCs w:val="24"/>
              </w:rPr>
              <w:t>0.011*</w:t>
            </w:r>
          </w:p>
        </w:tc>
      </w:tr>
      <w:tr w:rsidR="00F4787D" w14:paraId="65DABF96" w14:textId="77777777" w:rsidTr="00C80B2D">
        <w:trPr>
          <w:trHeight w:val="1056"/>
        </w:trPr>
        <w:tc>
          <w:tcPr>
            <w:cnfStyle w:val="001000000000" w:firstRow="0" w:lastRow="0" w:firstColumn="1" w:lastColumn="0" w:oddVBand="0" w:evenVBand="0" w:oddHBand="0" w:evenHBand="0" w:firstRowFirstColumn="0" w:firstRowLastColumn="0" w:lastRowFirstColumn="0" w:lastRowLastColumn="0"/>
            <w:tcW w:w="868" w:type="pct"/>
            <w:vMerge/>
            <w:hideMark/>
          </w:tcPr>
          <w:p w14:paraId="3E608763" w14:textId="77777777" w:rsidR="00F4787D" w:rsidRPr="004239B9" w:rsidRDefault="00F4787D" w:rsidP="00C80B2D">
            <w:pPr>
              <w:pStyle w:val="NoSpacing"/>
              <w:rPr>
                <w:rFonts w:ascii="Times New Roman" w:hAnsi="Times New Roman" w:cs="Times New Roman"/>
                <w:sz w:val="24"/>
                <w:szCs w:val="24"/>
              </w:rPr>
            </w:pPr>
          </w:p>
        </w:tc>
        <w:tc>
          <w:tcPr>
            <w:tcW w:w="1063" w:type="pct"/>
            <w:hideMark/>
          </w:tcPr>
          <w:p w14:paraId="1836C4B2"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High</w:t>
            </w:r>
          </w:p>
        </w:tc>
        <w:tc>
          <w:tcPr>
            <w:tcW w:w="1153" w:type="pct"/>
            <w:hideMark/>
          </w:tcPr>
          <w:p w14:paraId="0824B171"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20.5</w:t>
            </w:r>
          </w:p>
        </w:tc>
        <w:tc>
          <w:tcPr>
            <w:tcW w:w="1418" w:type="pct"/>
            <w:hideMark/>
          </w:tcPr>
          <w:p w14:paraId="02B7E830"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79.5</w:t>
            </w:r>
          </w:p>
        </w:tc>
        <w:tc>
          <w:tcPr>
            <w:tcW w:w="497" w:type="pct"/>
            <w:hideMark/>
          </w:tcPr>
          <w:p w14:paraId="64532C63"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4787D" w14:paraId="73D3946A" w14:textId="77777777" w:rsidTr="00C80B2D">
        <w:trPr>
          <w:trHeight w:val="1043"/>
        </w:trPr>
        <w:tc>
          <w:tcPr>
            <w:cnfStyle w:val="001000000000" w:firstRow="0" w:lastRow="0" w:firstColumn="1" w:lastColumn="0" w:oddVBand="0" w:evenVBand="0" w:oddHBand="0" w:evenHBand="0" w:firstRowFirstColumn="0" w:firstRowLastColumn="0" w:lastRowFirstColumn="0" w:lastRowLastColumn="0"/>
            <w:tcW w:w="868" w:type="pct"/>
            <w:vMerge w:val="restart"/>
            <w:hideMark/>
          </w:tcPr>
          <w:p w14:paraId="13F4C45F" w14:textId="77777777" w:rsidR="00F4787D" w:rsidRPr="004239B9" w:rsidRDefault="00F4787D" w:rsidP="00C80B2D">
            <w:pPr>
              <w:pStyle w:val="NoSpacing"/>
              <w:rPr>
                <w:rFonts w:ascii="Times New Roman" w:hAnsi="Times New Roman" w:cs="Times New Roman"/>
                <w:sz w:val="24"/>
                <w:szCs w:val="24"/>
              </w:rPr>
            </w:pPr>
            <w:r w:rsidRPr="004239B9">
              <w:rPr>
                <w:rFonts w:ascii="Times New Roman" w:hAnsi="Times New Roman" w:cs="Times New Roman"/>
                <w:sz w:val="24"/>
                <w:szCs w:val="24"/>
              </w:rPr>
              <w:t>PCV(%)</w:t>
            </w:r>
          </w:p>
        </w:tc>
        <w:tc>
          <w:tcPr>
            <w:tcW w:w="1063" w:type="pct"/>
            <w:hideMark/>
          </w:tcPr>
          <w:p w14:paraId="301E330D"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Normal</w:t>
            </w:r>
          </w:p>
        </w:tc>
        <w:tc>
          <w:tcPr>
            <w:tcW w:w="1153" w:type="pct"/>
            <w:hideMark/>
          </w:tcPr>
          <w:p w14:paraId="11993897"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30.2</w:t>
            </w:r>
          </w:p>
        </w:tc>
        <w:tc>
          <w:tcPr>
            <w:tcW w:w="1418" w:type="pct"/>
            <w:hideMark/>
          </w:tcPr>
          <w:p w14:paraId="3E1CBB8B"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69.8</w:t>
            </w:r>
          </w:p>
        </w:tc>
        <w:tc>
          <w:tcPr>
            <w:tcW w:w="497" w:type="pct"/>
            <w:hideMark/>
          </w:tcPr>
          <w:p w14:paraId="6F53904C"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i/>
                <w:iCs/>
                <w:sz w:val="24"/>
                <w:szCs w:val="24"/>
              </w:rPr>
              <w:t>0.001*</w:t>
            </w:r>
          </w:p>
        </w:tc>
      </w:tr>
      <w:tr w:rsidR="00F4787D" w14:paraId="3C52EE36" w14:textId="77777777" w:rsidTr="00C80B2D">
        <w:trPr>
          <w:trHeight w:val="543"/>
        </w:trPr>
        <w:tc>
          <w:tcPr>
            <w:cnfStyle w:val="001000000000" w:firstRow="0" w:lastRow="0" w:firstColumn="1" w:lastColumn="0" w:oddVBand="0" w:evenVBand="0" w:oddHBand="0" w:evenHBand="0" w:firstRowFirstColumn="0" w:firstRowLastColumn="0" w:lastRowFirstColumn="0" w:lastRowLastColumn="0"/>
            <w:tcW w:w="868" w:type="pct"/>
            <w:vMerge/>
            <w:hideMark/>
          </w:tcPr>
          <w:p w14:paraId="16F19A6D" w14:textId="77777777" w:rsidR="00F4787D" w:rsidRPr="004239B9" w:rsidRDefault="00F4787D" w:rsidP="00C80B2D">
            <w:pPr>
              <w:pStyle w:val="NoSpacing"/>
              <w:rPr>
                <w:rFonts w:ascii="Times New Roman" w:hAnsi="Times New Roman" w:cs="Times New Roman"/>
                <w:sz w:val="24"/>
                <w:szCs w:val="24"/>
              </w:rPr>
            </w:pPr>
          </w:p>
        </w:tc>
        <w:tc>
          <w:tcPr>
            <w:tcW w:w="1063" w:type="pct"/>
          </w:tcPr>
          <w:p w14:paraId="4DBDFB13"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Low</w:t>
            </w:r>
          </w:p>
        </w:tc>
        <w:tc>
          <w:tcPr>
            <w:tcW w:w="1153" w:type="pct"/>
            <w:hideMark/>
          </w:tcPr>
          <w:p w14:paraId="0C55D994"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11.1</w:t>
            </w:r>
          </w:p>
        </w:tc>
        <w:tc>
          <w:tcPr>
            <w:tcW w:w="1418" w:type="pct"/>
            <w:hideMark/>
          </w:tcPr>
          <w:p w14:paraId="5488B5CA"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39B9">
              <w:rPr>
                <w:rFonts w:ascii="Times New Roman" w:hAnsi="Times New Roman" w:cs="Times New Roman"/>
                <w:sz w:val="24"/>
                <w:szCs w:val="24"/>
              </w:rPr>
              <w:t>88.9</w:t>
            </w:r>
          </w:p>
        </w:tc>
        <w:tc>
          <w:tcPr>
            <w:tcW w:w="497" w:type="pct"/>
            <w:hideMark/>
          </w:tcPr>
          <w:p w14:paraId="1BB2FAF9" w14:textId="77777777" w:rsidR="00F4787D" w:rsidRPr="004239B9" w:rsidRDefault="00F4787D" w:rsidP="00C80B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4895998" w14:textId="77777777" w:rsidR="00F4787D" w:rsidRPr="004239B9" w:rsidRDefault="00F4787D" w:rsidP="00F4787D">
      <w:pPr>
        <w:pStyle w:val="NoSpacing"/>
        <w:jc w:val="both"/>
        <w:rPr>
          <w:rFonts w:ascii="Times New Roman" w:hAnsi="Times New Roman" w:cs="Times New Roman"/>
          <w:sz w:val="24"/>
          <w:szCs w:val="24"/>
        </w:rPr>
      </w:pPr>
    </w:p>
    <w:p w14:paraId="343EFD1A" w14:textId="77777777" w:rsidR="00F4787D" w:rsidRPr="004239B9" w:rsidRDefault="00F4787D" w:rsidP="00F4787D">
      <w:pPr>
        <w:pStyle w:val="NoSpacing"/>
        <w:jc w:val="both"/>
        <w:rPr>
          <w:rFonts w:ascii="Times New Roman" w:hAnsi="Times New Roman" w:cs="Times New Roman"/>
          <w:sz w:val="24"/>
          <w:szCs w:val="24"/>
        </w:rPr>
      </w:pPr>
      <w:r w:rsidRPr="004239B9">
        <w:rPr>
          <w:rFonts w:ascii="Times New Roman" w:hAnsi="Times New Roman" w:cs="Times New Roman"/>
          <w:sz w:val="24"/>
          <w:szCs w:val="24"/>
        </w:rPr>
        <w:t>Chi-square test is significant at the 0.05 level, pLDH:, PCV: Pack Cell Volume: Hb: Hemoglobin</w:t>
      </w:r>
      <w:r w:rsidRPr="004239B9">
        <w:rPr>
          <w:rFonts w:ascii="Times New Roman" w:hAnsi="Times New Roman" w:cs="Times New Roman"/>
          <w:sz w:val="24"/>
          <w:szCs w:val="24"/>
        </w:rPr>
        <w:tab/>
        <w:t>CRP: C-reactive protein</w:t>
      </w:r>
    </w:p>
    <w:p w14:paraId="6F80A2F6" w14:textId="77777777" w:rsidR="00F4787D" w:rsidRPr="004239B9" w:rsidRDefault="00F4787D" w:rsidP="00F4787D">
      <w:pPr>
        <w:pStyle w:val="NoSpacing"/>
        <w:jc w:val="both"/>
        <w:rPr>
          <w:rFonts w:ascii="Times New Roman" w:hAnsi="Times New Roman" w:cs="Times New Roman"/>
          <w:sz w:val="24"/>
          <w:szCs w:val="24"/>
        </w:rPr>
      </w:pPr>
    </w:p>
    <w:p w14:paraId="34F8B360" w14:textId="77777777" w:rsidR="00F4787D" w:rsidRPr="004239B9" w:rsidRDefault="00F4787D" w:rsidP="00F4787D">
      <w:pPr>
        <w:ind w:left="0" w:right="0"/>
        <w:rPr>
          <w:rFonts w:ascii="Times New Roman" w:hAnsi="Times New Roman" w:cs="Times New Roman"/>
          <w:b/>
          <w:bCs/>
          <w:sz w:val="24"/>
          <w:szCs w:val="24"/>
        </w:rPr>
      </w:pPr>
      <w:r w:rsidRPr="004239B9">
        <w:rPr>
          <w:rFonts w:ascii="Times New Roman" w:hAnsi="Times New Roman" w:cs="Times New Roman"/>
          <w:b/>
          <w:bCs/>
          <w:sz w:val="24"/>
          <w:szCs w:val="24"/>
        </w:rPr>
        <w:t>DISCUSSION</w:t>
      </w:r>
    </w:p>
    <w:p w14:paraId="44063507" w14:textId="713CDF66" w:rsidR="00F4787D" w:rsidRDefault="00F4787D" w:rsidP="00F4787D">
      <w:pPr>
        <w:spacing w:line="480" w:lineRule="auto"/>
        <w:ind w:left="0" w:right="0"/>
        <w:rPr>
          <w:rFonts w:ascii="Times New Roman" w:hAnsi="Times New Roman" w:cs="Times New Roman"/>
          <w:sz w:val="24"/>
          <w:szCs w:val="24"/>
        </w:rPr>
      </w:pPr>
      <w:r w:rsidRPr="004239B9">
        <w:rPr>
          <w:rFonts w:ascii="Times New Roman" w:hAnsi="Times New Roman" w:cs="Times New Roman"/>
          <w:sz w:val="24"/>
          <w:szCs w:val="24"/>
        </w:rPr>
        <w:t xml:space="preserve">A total of 239 pregnant women attending antenatal care in Yariman Bakura Specialist Hospital, Gusau, Zamfara, were recruited for this study. MUAC is a measure of nutritional status, a thinner arm indicating wasted lean mass. The MUAC range ranged from &gt; 25cm to &lt; 23cm. MUAC range used was 29.75 to &gt;25cm for normal, &lt;25 to &gt;23cm for moderate and &lt;23cm for severe malnourishment. </w:t>
      </w:r>
      <w:r>
        <w:rPr>
          <w:rFonts w:ascii="Times New Roman" w:hAnsi="Times New Roman" w:cs="Times New Roman"/>
          <w:sz w:val="24"/>
          <w:szCs w:val="24"/>
        </w:rPr>
        <w:t>(</w:t>
      </w:r>
      <w:r w:rsidRPr="004239B9">
        <w:rPr>
          <w:rFonts w:ascii="Times New Roman" w:hAnsi="Times New Roman" w:cs="Times New Roman"/>
          <w:sz w:val="24"/>
          <w:szCs w:val="24"/>
        </w:rPr>
        <w:t>82.9%</w:t>
      </w:r>
      <w:r>
        <w:rPr>
          <w:rFonts w:ascii="Times New Roman" w:hAnsi="Times New Roman" w:cs="Times New Roman"/>
          <w:sz w:val="24"/>
          <w:szCs w:val="24"/>
        </w:rPr>
        <w:t>)</w:t>
      </w:r>
      <w:r w:rsidRPr="004239B9">
        <w:rPr>
          <w:rFonts w:ascii="Times New Roman" w:hAnsi="Times New Roman" w:cs="Times New Roman"/>
          <w:sz w:val="24"/>
          <w:szCs w:val="24"/>
        </w:rPr>
        <w:t xml:space="preserve"> of the women had normal MUAC, and the remaining </w:t>
      </w:r>
      <w:r>
        <w:rPr>
          <w:rFonts w:ascii="Times New Roman" w:hAnsi="Times New Roman" w:cs="Times New Roman"/>
          <w:sz w:val="24"/>
          <w:szCs w:val="24"/>
        </w:rPr>
        <w:t xml:space="preserve">(27.1%) </w:t>
      </w:r>
      <w:r w:rsidRPr="004239B9">
        <w:rPr>
          <w:rFonts w:ascii="Times New Roman" w:hAnsi="Times New Roman" w:cs="Times New Roman"/>
          <w:sz w:val="24"/>
          <w:szCs w:val="24"/>
        </w:rPr>
        <w:t xml:space="preserve">ranged </w:t>
      </w:r>
      <w:r w:rsidRPr="004239B9">
        <w:rPr>
          <w:rFonts w:ascii="Times New Roman" w:hAnsi="Times New Roman" w:cs="Times New Roman"/>
          <w:sz w:val="24"/>
          <w:szCs w:val="24"/>
        </w:rPr>
        <w:lastRenderedPageBreak/>
        <w:t>between moderate to severe malnourishment</w:t>
      </w:r>
      <w:r>
        <w:rPr>
          <w:rFonts w:ascii="Times New Roman" w:hAnsi="Times New Roman" w:cs="Times New Roman"/>
          <w:sz w:val="24"/>
          <w:szCs w:val="24"/>
        </w:rPr>
        <w:t>, which is similar to a work reported by (</w:t>
      </w:r>
      <w:r w:rsidRPr="00DC64E6">
        <w:rPr>
          <w:rFonts w:ascii="Times New Roman" w:hAnsi="Times New Roman" w:cs="Times New Roman"/>
          <w:sz w:val="24"/>
          <w:szCs w:val="24"/>
        </w:rPr>
        <w:t>Ahshanul</w:t>
      </w:r>
      <w:r>
        <w:rPr>
          <w:rFonts w:ascii="Times New Roman" w:hAnsi="Times New Roman" w:cs="Times New Roman"/>
          <w:sz w:val="24"/>
          <w:szCs w:val="24"/>
        </w:rPr>
        <w:t>, et, al., 2021)</w:t>
      </w:r>
      <w:r w:rsidRPr="004239B9">
        <w:rPr>
          <w:rFonts w:ascii="Times New Roman" w:hAnsi="Times New Roman" w:cs="Times New Roman"/>
          <w:sz w:val="24"/>
          <w:szCs w:val="24"/>
        </w:rPr>
        <w:t xml:space="preserve">. </w:t>
      </w:r>
      <w:r>
        <w:rPr>
          <w:rFonts w:ascii="Times New Roman" w:hAnsi="Times New Roman" w:cs="Times New Roman"/>
          <w:sz w:val="24"/>
          <w:szCs w:val="24"/>
        </w:rPr>
        <w:t>(</w:t>
      </w:r>
      <w:r w:rsidRPr="004239B9">
        <w:rPr>
          <w:rFonts w:ascii="Times New Roman" w:hAnsi="Times New Roman" w:cs="Times New Roman"/>
          <w:sz w:val="24"/>
          <w:szCs w:val="24"/>
        </w:rPr>
        <w:t>2.9%</w:t>
      </w:r>
      <w:r>
        <w:rPr>
          <w:rFonts w:ascii="Times New Roman" w:hAnsi="Times New Roman" w:cs="Times New Roman"/>
          <w:sz w:val="24"/>
          <w:szCs w:val="24"/>
        </w:rPr>
        <w:t>)</w:t>
      </w:r>
      <w:r w:rsidRPr="004239B9">
        <w:rPr>
          <w:rFonts w:ascii="Times New Roman" w:hAnsi="Times New Roman" w:cs="Times New Roman"/>
          <w:sz w:val="24"/>
          <w:szCs w:val="24"/>
        </w:rPr>
        <w:t xml:space="preserve"> of the </w:t>
      </w:r>
      <w:r>
        <w:rPr>
          <w:rFonts w:ascii="Times New Roman" w:hAnsi="Times New Roman" w:cs="Times New Roman"/>
          <w:sz w:val="24"/>
          <w:szCs w:val="24"/>
        </w:rPr>
        <w:t xml:space="preserve">pregnant </w:t>
      </w:r>
      <w:r w:rsidRPr="004239B9">
        <w:rPr>
          <w:rFonts w:ascii="Times New Roman" w:hAnsi="Times New Roman" w:cs="Times New Roman"/>
          <w:sz w:val="24"/>
          <w:szCs w:val="24"/>
        </w:rPr>
        <w:t xml:space="preserve">women were severely malnourished, and </w:t>
      </w:r>
      <w:r>
        <w:rPr>
          <w:rFonts w:ascii="Times New Roman" w:hAnsi="Times New Roman" w:cs="Times New Roman"/>
          <w:sz w:val="24"/>
          <w:szCs w:val="24"/>
        </w:rPr>
        <w:t xml:space="preserve">it </w:t>
      </w:r>
      <w:r w:rsidRPr="004239B9">
        <w:rPr>
          <w:rFonts w:ascii="Times New Roman" w:hAnsi="Times New Roman" w:cs="Times New Roman"/>
          <w:sz w:val="24"/>
          <w:szCs w:val="24"/>
        </w:rPr>
        <w:t xml:space="preserve">is a potential health concern. This category indicates a critical level of malnutrition that poses significant risks to both mothers and their unborn babies. </w:t>
      </w:r>
    </w:p>
    <w:p w14:paraId="3D2D2E80" w14:textId="30E86C3D" w:rsidR="00F4787D" w:rsidRPr="004239B9" w:rsidRDefault="00F4787D" w:rsidP="00F4787D">
      <w:pPr>
        <w:spacing w:line="480" w:lineRule="auto"/>
        <w:ind w:left="0" w:right="0"/>
        <w:rPr>
          <w:rFonts w:ascii="Times New Roman" w:hAnsi="Times New Roman" w:cs="Times New Roman"/>
          <w:sz w:val="24"/>
          <w:szCs w:val="24"/>
        </w:rPr>
      </w:pPr>
      <w:r>
        <w:rPr>
          <w:rFonts w:ascii="Times New Roman" w:hAnsi="Times New Roman" w:cs="Times New Roman"/>
          <w:sz w:val="24"/>
          <w:szCs w:val="24"/>
        </w:rPr>
        <w:t xml:space="preserve">According to work carried out by the Nigeria Millennium Development Goals Information System, </w:t>
      </w:r>
      <w:r w:rsidRPr="004239B9">
        <w:rPr>
          <w:rFonts w:ascii="Times New Roman" w:hAnsi="Times New Roman" w:cs="Times New Roman"/>
          <w:sz w:val="24"/>
          <w:szCs w:val="24"/>
        </w:rPr>
        <w:t>Zamfara state recorded a high prevalence of malaria parasi</w:t>
      </w:r>
      <w:r>
        <w:rPr>
          <w:rFonts w:ascii="Times New Roman" w:hAnsi="Times New Roman" w:cs="Times New Roman"/>
          <w:sz w:val="24"/>
          <w:szCs w:val="24"/>
        </w:rPr>
        <w:t xml:space="preserve">temia at about (37%) and in our study, out of the 239 women enrolled, </w:t>
      </w:r>
      <w:r w:rsidRPr="004239B9">
        <w:rPr>
          <w:rFonts w:ascii="Times New Roman" w:hAnsi="Times New Roman" w:cs="Times New Roman"/>
          <w:sz w:val="24"/>
          <w:szCs w:val="24"/>
        </w:rPr>
        <w:t xml:space="preserve">a malaria prevalence of </w:t>
      </w:r>
      <w:r>
        <w:rPr>
          <w:rFonts w:ascii="Times New Roman" w:hAnsi="Times New Roman" w:cs="Times New Roman"/>
          <w:sz w:val="24"/>
          <w:szCs w:val="24"/>
        </w:rPr>
        <w:t>(</w:t>
      </w:r>
      <w:r w:rsidRPr="004239B9">
        <w:rPr>
          <w:rFonts w:ascii="Times New Roman" w:hAnsi="Times New Roman" w:cs="Times New Roman"/>
          <w:sz w:val="24"/>
          <w:szCs w:val="24"/>
        </w:rPr>
        <w:t>23%</w:t>
      </w:r>
      <w:r>
        <w:rPr>
          <w:rFonts w:ascii="Times New Roman" w:hAnsi="Times New Roman" w:cs="Times New Roman"/>
          <w:sz w:val="24"/>
          <w:szCs w:val="24"/>
        </w:rPr>
        <w:t>)</w:t>
      </w:r>
      <w:r w:rsidRPr="004239B9">
        <w:rPr>
          <w:rFonts w:ascii="Times New Roman" w:hAnsi="Times New Roman" w:cs="Times New Roman"/>
          <w:sz w:val="24"/>
          <w:szCs w:val="24"/>
        </w:rPr>
        <w:t xml:space="preserve"> (n= 54) was recorded</w:t>
      </w:r>
      <w:r>
        <w:rPr>
          <w:rFonts w:ascii="Times New Roman" w:hAnsi="Times New Roman" w:cs="Times New Roman"/>
          <w:sz w:val="24"/>
          <w:szCs w:val="24"/>
        </w:rPr>
        <w:t>, which is in contrast with the Nigeria Millennium Development Goals Information System report (</w:t>
      </w:r>
      <w:r>
        <w:rPr>
          <w:rFonts w:ascii="Times New Roman" w:hAnsi="Times New Roman" w:cs="Times New Roman"/>
          <w:sz w:val="24"/>
        </w:rPr>
        <w:t xml:space="preserve">DHS, </w:t>
      </w:r>
      <w:r w:rsidRPr="00711E88">
        <w:rPr>
          <w:rFonts w:ascii="Times New Roman" w:hAnsi="Times New Roman" w:cs="Times New Roman"/>
          <w:sz w:val="24"/>
        </w:rPr>
        <w:t>2021).</w:t>
      </w:r>
      <w:r w:rsidRPr="004239B9">
        <w:rPr>
          <w:rFonts w:ascii="Times New Roman" w:hAnsi="Times New Roman" w:cs="Times New Roman"/>
          <w:sz w:val="24"/>
          <w:szCs w:val="24"/>
        </w:rPr>
        <w:t xml:space="preserve"> The variation in prevalence is possibly due to the season, which is similar to our study, between the months of </w:t>
      </w:r>
      <w:r>
        <w:rPr>
          <w:rFonts w:ascii="Times New Roman" w:hAnsi="Times New Roman" w:cs="Times New Roman"/>
          <w:sz w:val="24"/>
          <w:szCs w:val="24"/>
        </w:rPr>
        <w:t>February</w:t>
      </w:r>
      <w:r w:rsidRPr="004239B9">
        <w:rPr>
          <w:rFonts w:ascii="Times New Roman" w:hAnsi="Times New Roman" w:cs="Times New Roman"/>
          <w:sz w:val="24"/>
          <w:szCs w:val="24"/>
        </w:rPr>
        <w:t xml:space="preserve"> and April, which falls into the low peak season for malaria</w:t>
      </w:r>
      <w:r>
        <w:rPr>
          <w:rFonts w:ascii="Times New Roman" w:hAnsi="Times New Roman" w:cs="Times New Roman"/>
          <w:sz w:val="24"/>
          <w:szCs w:val="24"/>
        </w:rPr>
        <w:t xml:space="preserve"> (</w:t>
      </w:r>
      <w:r>
        <w:rPr>
          <w:rFonts w:ascii="Times New Roman" w:hAnsi="Times New Roman" w:cs="Times New Roman"/>
          <w:sz w:val="24"/>
        </w:rPr>
        <w:t xml:space="preserve">DHS, </w:t>
      </w:r>
      <w:r w:rsidRPr="00711E88">
        <w:rPr>
          <w:rFonts w:ascii="Times New Roman" w:hAnsi="Times New Roman" w:cs="Times New Roman"/>
          <w:sz w:val="24"/>
        </w:rPr>
        <w:t>2021).</w:t>
      </w:r>
    </w:p>
    <w:p w14:paraId="095DBFFE" w14:textId="2CCCC10D" w:rsidR="00F4787D" w:rsidRPr="004239B9" w:rsidRDefault="00F4787D" w:rsidP="00F4787D">
      <w:pPr>
        <w:spacing w:before="120" w:after="120"/>
        <w:ind w:left="0" w:right="0"/>
        <w:rPr>
          <w:rFonts w:ascii="Times New Roman" w:hAnsi="Times New Roman" w:cs="Times New Roman"/>
          <w:sz w:val="24"/>
          <w:szCs w:val="24"/>
        </w:rPr>
      </w:pPr>
      <w:r w:rsidRPr="004239B9">
        <w:rPr>
          <w:rFonts w:ascii="Times New Roman" w:hAnsi="Times New Roman" w:cs="Times New Roman"/>
          <w:sz w:val="24"/>
          <w:szCs w:val="24"/>
        </w:rPr>
        <w:t xml:space="preserve">The total number of women who tested positive for the plasmodium parasite via microscopy was </w:t>
      </w:r>
      <w:r>
        <w:rPr>
          <w:rFonts w:ascii="Times New Roman" w:hAnsi="Times New Roman" w:cs="Times New Roman"/>
          <w:sz w:val="24"/>
          <w:szCs w:val="24"/>
        </w:rPr>
        <w:t>54.</w:t>
      </w:r>
      <w:r w:rsidRPr="004239B9">
        <w:rPr>
          <w:rFonts w:ascii="Times New Roman" w:hAnsi="Times New Roman" w:cs="Times New Roman"/>
          <w:sz w:val="24"/>
          <w:szCs w:val="24"/>
        </w:rPr>
        <w:t xml:space="preserve"> Blood samples were analyzed to determine the level of the malaria marker plasmodium</w:t>
      </w:r>
      <w:r>
        <w:rPr>
          <w:rFonts w:ascii="Times New Roman" w:hAnsi="Times New Roman" w:cs="Times New Roman"/>
          <w:sz w:val="24"/>
          <w:szCs w:val="24"/>
        </w:rPr>
        <w:t xml:space="preserve"> lactate dehydrogenase (</w:t>
      </w:r>
      <w:r w:rsidRPr="004239B9">
        <w:rPr>
          <w:rFonts w:ascii="Times New Roman" w:hAnsi="Times New Roman" w:cs="Times New Roman"/>
          <w:sz w:val="24"/>
          <w:szCs w:val="24"/>
        </w:rPr>
        <w:t>pLDH</w:t>
      </w:r>
      <w:r>
        <w:rPr>
          <w:rFonts w:ascii="Times New Roman" w:hAnsi="Times New Roman" w:cs="Times New Roman"/>
          <w:sz w:val="24"/>
          <w:szCs w:val="24"/>
        </w:rPr>
        <w:t>)</w:t>
      </w:r>
      <w:r w:rsidRPr="004239B9">
        <w:rPr>
          <w:rFonts w:ascii="Times New Roman" w:hAnsi="Times New Roman" w:cs="Times New Roman"/>
          <w:sz w:val="24"/>
          <w:szCs w:val="24"/>
        </w:rPr>
        <w:t>. This finding showed that the majority of pregnant women (71.4%) who</w:t>
      </w:r>
      <w:r>
        <w:rPr>
          <w:rFonts w:ascii="Times New Roman" w:hAnsi="Times New Roman" w:cs="Times New Roman"/>
          <w:sz w:val="24"/>
          <w:szCs w:val="24"/>
        </w:rPr>
        <w:t xml:space="preserve"> tested positive had elevated</w:t>
      </w:r>
      <w:r w:rsidRPr="004239B9">
        <w:rPr>
          <w:rFonts w:ascii="Times New Roman" w:hAnsi="Times New Roman" w:cs="Times New Roman"/>
          <w:sz w:val="24"/>
          <w:szCs w:val="24"/>
        </w:rPr>
        <w:t xml:space="preserve"> plasmodium</w:t>
      </w:r>
      <w:r>
        <w:rPr>
          <w:rFonts w:ascii="Times New Roman" w:hAnsi="Times New Roman" w:cs="Times New Roman"/>
          <w:sz w:val="24"/>
          <w:szCs w:val="24"/>
        </w:rPr>
        <w:t xml:space="preserve"> lactate dehydrogenase (</w:t>
      </w:r>
      <w:r w:rsidRPr="004239B9">
        <w:rPr>
          <w:rFonts w:ascii="Times New Roman" w:hAnsi="Times New Roman" w:cs="Times New Roman"/>
          <w:sz w:val="24"/>
          <w:szCs w:val="24"/>
        </w:rPr>
        <w:t>PLDH</w:t>
      </w:r>
      <w:r>
        <w:rPr>
          <w:rFonts w:ascii="Times New Roman" w:hAnsi="Times New Roman" w:cs="Times New Roman"/>
          <w:sz w:val="24"/>
          <w:szCs w:val="24"/>
        </w:rPr>
        <w:t>) levels, which</w:t>
      </w:r>
      <w:r w:rsidRPr="004239B9">
        <w:rPr>
          <w:rFonts w:ascii="Times New Roman" w:hAnsi="Times New Roman" w:cs="Times New Roman"/>
          <w:sz w:val="24"/>
          <w:szCs w:val="24"/>
        </w:rPr>
        <w:t xml:space="preserve"> is a confirmatory test for the presence of th</w:t>
      </w:r>
      <w:r>
        <w:rPr>
          <w:rFonts w:ascii="Times New Roman" w:hAnsi="Times New Roman" w:cs="Times New Roman"/>
          <w:sz w:val="24"/>
          <w:szCs w:val="24"/>
        </w:rPr>
        <w:t>e parasite. C-</w:t>
      </w:r>
      <w:r w:rsidRPr="004239B9">
        <w:rPr>
          <w:rFonts w:ascii="Times New Roman" w:hAnsi="Times New Roman" w:cs="Times New Roman"/>
          <w:sz w:val="24"/>
          <w:szCs w:val="24"/>
        </w:rPr>
        <w:t xml:space="preserve">reactive protein levels were typical among all </w:t>
      </w:r>
      <w:r>
        <w:rPr>
          <w:rFonts w:ascii="Times New Roman" w:hAnsi="Times New Roman" w:cs="Times New Roman"/>
          <w:sz w:val="24"/>
          <w:szCs w:val="24"/>
        </w:rPr>
        <w:t>recruited pregnant women</w:t>
      </w:r>
      <w:r w:rsidRPr="004239B9">
        <w:rPr>
          <w:rFonts w:ascii="Times New Roman" w:hAnsi="Times New Roman" w:cs="Times New Roman"/>
          <w:sz w:val="24"/>
          <w:szCs w:val="24"/>
        </w:rPr>
        <w:t xml:space="preserve">. Only </w:t>
      </w:r>
      <w:r>
        <w:rPr>
          <w:rFonts w:ascii="Times New Roman" w:hAnsi="Times New Roman" w:cs="Times New Roman"/>
          <w:sz w:val="24"/>
          <w:szCs w:val="24"/>
        </w:rPr>
        <w:t>(</w:t>
      </w:r>
      <w:r w:rsidRPr="004239B9">
        <w:rPr>
          <w:rFonts w:ascii="Times New Roman" w:hAnsi="Times New Roman" w:cs="Times New Roman"/>
          <w:sz w:val="24"/>
          <w:szCs w:val="24"/>
        </w:rPr>
        <w:t>13%</w:t>
      </w:r>
      <w:r>
        <w:rPr>
          <w:rFonts w:ascii="Times New Roman" w:hAnsi="Times New Roman" w:cs="Times New Roman"/>
          <w:sz w:val="24"/>
          <w:szCs w:val="24"/>
        </w:rPr>
        <w:t>)</w:t>
      </w:r>
      <w:r w:rsidRPr="004239B9">
        <w:rPr>
          <w:rFonts w:ascii="Times New Roman" w:hAnsi="Times New Roman" w:cs="Times New Roman"/>
          <w:sz w:val="24"/>
          <w:szCs w:val="24"/>
        </w:rPr>
        <w:t xml:space="preserve"> of the patients had a minor elevation. This is an indication of a high level of inflammation, which consequently increases the severity of the infection, which</w:t>
      </w:r>
      <w:r>
        <w:rPr>
          <w:rFonts w:ascii="Times New Roman" w:hAnsi="Times New Roman" w:cs="Times New Roman"/>
          <w:sz w:val="24"/>
          <w:szCs w:val="24"/>
        </w:rPr>
        <w:t xml:space="preserve"> is similar to a study conducted by </w:t>
      </w:r>
      <w:r w:rsidRPr="004239B9">
        <w:rPr>
          <w:rFonts w:ascii="Times New Roman" w:hAnsi="Times New Roman" w:cs="Times New Roman"/>
          <w:sz w:val="24"/>
          <w:szCs w:val="24"/>
        </w:rPr>
        <w:t>(</w:t>
      </w:r>
      <w:r w:rsidRPr="00855499">
        <w:rPr>
          <w:rFonts w:ascii="Times New Roman" w:hAnsi="Times New Roman" w:cs="Times New Roman"/>
          <w:sz w:val="24"/>
          <w:szCs w:val="24"/>
        </w:rPr>
        <w:t xml:space="preserve">Linlin, </w:t>
      </w:r>
      <w:r>
        <w:rPr>
          <w:rFonts w:ascii="Times New Roman" w:hAnsi="Times New Roman" w:cs="Times New Roman"/>
          <w:sz w:val="24"/>
          <w:szCs w:val="24"/>
        </w:rPr>
        <w:t>et, al</w:t>
      </w:r>
      <w:r w:rsidRPr="00855499">
        <w:rPr>
          <w:rFonts w:ascii="Times New Roman" w:hAnsi="Times New Roman" w:cs="Times New Roman"/>
          <w:sz w:val="24"/>
          <w:szCs w:val="24"/>
        </w:rPr>
        <w:t xml:space="preserve">., </w:t>
      </w:r>
      <w:r w:rsidRPr="00855499">
        <w:rPr>
          <w:rFonts w:ascii="Times New Roman" w:hAnsi="Times New Roman" w:cs="Times New Roman"/>
          <w:bCs/>
          <w:spacing w:val="-2"/>
          <w:sz w:val="24"/>
          <w:szCs w:val="24"/>
        </w:rPr>
        <w:t>(</w:t>
      </w:r>
      <w:r w:rsidRPr="00855499">
        <w:rPr>
          <w:rStyle w:val="fm-vol-iss-date"/>
          <w:rFonts w:ascii="Times New Roman" w:hAnsi="Times New Roman" w:cs="Times New Roman"/>
          <w:sz w:val="24"/>
          <w:szCs w:val="24"/>
        </w:rPr>
        <w:t>2017</w:t>
      </w:r>
      <w:r w:rsidRPr="00855499">
        <w:rPr>
          <w:rFonts w:ascii="Times New Roman" w:hAnsi="Times New Roman" w:cs="Times New Roman"/>
          <w:bCs/>
          <w:spacing w:val="-2"/>
          <w:sz w:val="24"/>
          <w:szCs w:val="24"/>
        </w:rPr>
        <w:t>).</w:t>
      </w:r>
      <w:r w:rsidRPr="004239B9">
        <w:rPr>
          <w:rFonts w:ascii="Times New Roman" w:hAnsi="Times New Roman" w:cs="Times New Roman"/>
          <w:sz w:val="24"/>
          <w:szCs w:val="24"/>
        </w:rPr>
        <w:t xml:space="preserve"> </w:t>
      </w:r>
    </w:p>
    <w:p w14:paraId="6C9B1E6E" w14:textId="1791B6D0" w:rsidR="00F4787D" w:rsidRPr="004239B9" w:rsidRDefault="00F4787D" w:rsidP="00F4787D">
      <w:pPr>
        <w:spacing w:before="120" w:after="120"/>
        <w:ind w:left="0" w:right="0"/>
        <w:rPr>
          <w:rFonts w:ascii="Times New Roman" w:hAnsi="Times New Roman" w:cs="Times New Roman"/>
          <w:sz w:val="24"/>
          <w:szCs w:val="24"/>
          <w:shd w:val="clear" w:color="auto" w:fill="FFFFFF"/>
        </w:rPr>
      </w:pPr>
      <w:r w:rsidRPr="004239B9">
        <w:rPr>
          <w:rFonts w:ascii="Times New Roman" w:hAnsi="Times New Roman" w:cs="Times New Roman"/>
          <w:sz w:val="24"/>
          <w:szCs w:val="24"/>
        </w:rPr>
        <w:t xml:space="preserve">Women with higher level of </w:t>
      </w:r>
      <w:r>
        <w:rPr>
          <w:rFonts w:ascii="Times New Roman" w:hAnsi="Times New Roman" w:cs="Times New Roman"/>
          <w:sz w:val="24"/>
          <w:szCs w:val="24"/>
        </w:rPr>
        <w:t>plasmodium lactate dehydrogenase (</w:t>
      </w:r>
      <w:r w:rsidRPr="004239B9">
        <w:rPr>
          <w:rFonts w:ascii="Times New Roman" w:hAnsi="Times New Roman" w:cs="Times New Roman"/>
          <w:sz w:val="24"/>
          <w:szCs w:val="24"/>
        </w:rPr>
        <w:t>PLDH</w:t>
      </w:r>
      <w:r>
        <w:rPr>
          <w:rFonts w:ascii="Times New Roman" w:hAnsi="Times New Roman" w:cs="Times New Roman"/>
          <w:sz w:val="24"/>
          <w:szCs w:val="24"/>
        </w:rPr>
        <w:t>)</w:t>
      </w:r>
      <w:r w:rsidRPr="004239B9">
        <w:rPr>
          <w:rFonts w:ascii="Times New Roman" w:hAnsi="Times New Roman" w:cs="Times New Roman"/>
          <w:sz w:val="24"/>
          <w:szCs w:val="24"/>
        </w:rPr>
        <w:t xml:space="preserve"> also showed elevated level of </w:t>
      </w:r>
      <w:r>
        <w:rPr>
          <w:rFonts w:ascii="Times New Roman" w:hAnsi="Times New Roman" w:cs="Times New Roman"/>
          <w:sz w:val="24"/>
          <w:szCs w:val="24"/>
        </w:rPr>
        <w:t>C-</w:t>
      </w:r>
      <w:r w:rsidRPr="004239B9">
        <w:rPr>
          <w:rFonts w:ascii="Times New Roman" w:hAnsi="Times New Roman" w:cs="Times New Roman"/>
          <w:sz w:val="24"/>
          <w:szCs w:val="24"/>
        </w:rPr>
        <w:t xml:space="preserve">reactive protein </w:t>
      </w:r>
      <w:r>
        <w:rPr>
          <w:rFonts w:ascii="Times New Roman" w:hAnsi="Times New Roman" w:cs="Times New Roman"/>
          <w:sz w:val="24"/>
          <w:szCs w:val="24"/>
        </w:rPr>
        <w:t>(</w:t>
      </w:r>
      <w:r w:rsidRPr="004239B9">
        <w:rPr>
          <w:rFonts w:ascii="Times New Roman" w:hAnsi="Times New Roman" w:cs="Times New Roman"/>
          <w:sz w:val="24"/>
          <w:szCs w:val="24"/>
        </w:rPr>
        <w:t>CRP</w:t>
      </w:r>
      <w:r>
        <w:rPr>
          <w:rFonts w:ascii="Times New Roman" w:hAnsi="Times New Roman" w:cs="Times New Roman"/>
          <w:sz w:val="24"/>
          <w:szCs w:val="24"/>
        </w:rPr>
        <w:t>)</w:t>
      </w:r>
      <w:r w:rsidRPr="004239B9">
        <w:rPr>
          <w:rFonts w:ascii="Times New Roman" w:hAnsi="Times New Roman" w:cs="Times New Roman"/>
          <w:sz w:val="24"/>
          <w:szCs w:val="24"/>
        </w:rPr>
        <w:t xml:space="preserve">, signifying more severe inflammation in this category. The severity of inflammation is therefore linked to the presence of the plasmodium parasite. The level of inflammation among women with </w:t>
      </w:r>
      <w:r w:rsidRPr="004239B9">
        <w:rPr>
          <w:rFonts w:ascii="Times New Roman" w:hAnsi="Times New Roman" w:cs="Times New Roman"/>
          <w:sz w:val="24"/>
          <w:szCs w:val="24"/>
          <w:shd w:val="clear" w:color="auto" w:fill="FFFFFF"/>
        </w:rPr>
        <w:t>severe malnourishment (100%</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 xml:space="preserve"> tended</w:t>
      </w:r>
      <w:r w:rsidRPr="004239B9">
        <w:rPr>
          <w:rFonts w:ascii="Times New Roman" w:hAnsi="Times New Roman" w:cs="Times New Roman"/>
          <w:sz w:val="24"/>
          <w:szCs w:val="24"/>
        </w:rPr>
        <w:t xml:space="preserve"> to be higher well nourished, (78,9%). This finding highlights the effect of </w:t>
      </w:r>
      <w:r>
        <w:rPr>
          <w:rFonts w:ascii="Times New Roman" w:hAnsi="Times New Roman" w:cs="Times New Roman"/>
          <w:sz w:val="24"/>
          <w:szCs w:val="24"/>
        </w:rPr>
        <w:t>severe malnutrition</w:t>
      </w:r>
      <w:r w:rsidRPr="004239B9">
        <w:rPr>
          <w:rFonts w:ascii="Times New Roman" w:hAnsi="Times New Roman" w:cs="Times New Roman"/>
          <w:sz w:val="24"/>
          <w:szCs w:val="24"/>
        </w:rPr>
        <w:t xml:space="preserve"> on inflammation, as reviewed in previous studies</w:t>
      </w:r>
      <w:r w:rsidRPr="004239B9">
        <w:rPr>
          <w:rFonts w:ascii="Times New Roman" w:hAnsi="Times New Roman" w:cs="Times New Roman"/>
          <w:sz w:val="24"/>
          <w:szCs w:val="24"/>
          <w:shd w:val="clear" w:color="auto" w:fill="FFFFFF"/>
        </w:rPr>
        <w:t xml:space="preserve"> (</w:t>
      </w:r>
      <w:r w:rsidRPr="00701525">
        <w:rPr>
          <w:rStyle w:val="element-citation"/>
          <w:rFonts w:ascii="Times New Roman" w:hAnsi="Times New Roman" w:cs="Times New Roman"/>
          <w:color w:val="212121"/>
          <w:sz w:val="24"/>
          <w:szCs w:val="26"/>
        </w:rPr>
        <w:t>Franceschi, and Campisi,</w:t>
      </w:r>
      <w:r>
        <w:rPr>
          <w:rStyle w:val="element-citation"/>
          <w:rFonts w:ascii="Times New Roman" w:hAnsi="Times New Roman" w:cs="Times New Roman"/>
          <w:color w:val="212121"/>
          <w:sz w:val="24"/>
          <w:szCs w:val="26"/>
        </w:rPr>
        <w:t xml:space="preserve"> </w:t>
      </w:r>
      <w:r w:rsidRPr="00701525">
        <w:rPr>
          <w:rStyle w:val="element-citation"/>
          <w:rFonts w:ascii="Times New Roman" w:hAnsi="Times New Roman" w:cs="Times New Roman"/>
          <w:color w:val="212121"/>
          <w:sz w:val="24"/>
          <w:szCs w:val="26"/>
        </w:rPr>
        <w:t>2014</w:t>
      </w:r>
      <w:r>
        <w:rPr>
          <w:rStyle w:val="element-citation"/>
          <w:rFonts w:ascii="Times New Roman" w:hAnsi="Times New Roman" w:cs="Times New Roman"/>
          <w:color w:val="212121"/>
          <w:sz w:val="24"/>
          <w:szCs w:val="26"/>
        </w:rPr>
        <w:t xml:space="preserve">, </w:t>
      </w:r>
      <w:r w:rsidRPr="00701525">
        <w:rPr>
          <w:rStyle w:val="element-citation"/>
          <w:rFonts w:ascii="Times New Roman" w:hAnsi="Times New Roman" w:cs="Times New Roman"/>
          <w:color w:val="212121"/>
          <w:sz w:val="24"/>
          <w:szCs w:val="26"/>
        </w:rPr>
        <w:t xml:space="preserve"> Ferrucci, and Fabbri,</w:t>
      </w:r>
      <w:r>
        <w:rPr>
          <w:rStyle w:val="element-citation"/>
          <w:rFonts w:ascii="Times New Roman" w:hAnsi="Times New Roman" w:cs="Times New Roman"/>
          <w:color w:val="212121"/>
          <w:sz w:val="24"/>
          <w:szCs w:val="26"/>
        </w:rPr>
        <w:t xml:space="preserve"> </w:t>
      </w:r>
      <w:r w:rsidRPr="00701525">
        <w:rPr>
          <w:rStyle w:val="element-citation"/>
          <w:rFonts w:ascii="Times New Roman" w:hAnsi="Times New Roman" w:cs="Times New Roman"/>
          <w:color w:val="212121"/>
          <w:sz w:val="24"/>
          <w:szCs w:val="26"/>
        </w:rPr>
        <w:t>2018</w:t>
      </w:r>
      <w:r w:rsidRPr="004239B9">
        <w:rPr>
          <w:rFonts w:ascii="Times New Roman" w:hAnsi="Times New Roman" w:cs="Times New Roman"/>
          <w:sz w:val="24"/>
          <w:szCs w:val="24"/>
          <w:shd w:val="clear" w:color="auto" w:fill="FFFFFF"/>
        </w:rPr>
        <w:t>).</w:t>
      </w:r>
    </w:p>
    <w:p w14:paraId="15EB53C8" w14:textId="1D4F2E7A" w:rsidR="00F4787D" w:rsidRPr="004239B9" w:rsidRDefault="00F4787D" w:rsidP="00F4787D">
      <w:pPr>
        <w:spacing w:before="120" w:after="120"/>
        <w:ind w:left="0" w:right="0"/>
        <w:rPr>
          <w:rFonts w:ascii="Times New Roman" w:hAnsi="Times New Roman" w:cs="Times New Roman"/>
          <w:sz w:val="24"/>
          <w:szCs w:val="24"/>
          <w:shd w:val="clear" w:color="auto" w:fill="FFFFFF"/>
        </w:rPr>
      </w:pPr>
      <w:r w:rsidRPr="004239B9">
        <w:rPr>
          <w:rFonts w:ascii="Times New Roman" w:hAnsi="Times New Roman" w:cs="Times New Roman"/>
          <w:sz w:val="24"/>
          <w:szCs w:val="24"/>
          <w:shd w:val="clear" w:color="auto" w:fill="FFFFFF"/>
        </w:rPr>
        <w:lastRenderedPageBreak/>
        <w:t>P</w:t>
      </w:r>
      <w:r>
        <w:rPr>
          <w:rFonts w:ascii="Times New Roman" w:hAnsi="Times New Roman" w:cs="Times New Roman"/>
          <w:sz w:val="24"/>
          <w:szCs w:val="24"/>
          <w:shd w:val="clear" w:color="auto" w:fill="FFFFFF"/>
        </w:rPr>
        <w:t>acked cell volume</w:t>
      </w:r>
      <w:r w:rsidRPr="004239B9">
        <w:rPr>
          <w:rFonts w:ascii="Times New Roman" w:hAnsi="Times New Roman" w:cs="Times New Roman"/>
          <w:sz w:val="24"/>
          <w:szCs w:val="24"/>
          <w:shd w:val="clear" w:color="auto" w:fill="FFFFFF"/>
        </w:rPr>
        <w:t xml:space="preserve"> was also markedly associated with inflammation. Women with low packed</w:t>
      </w:r>
      <w:r>
        <w:rPr>
          <w:rFonts w:ascii="Times New Roman" w:hAnsi="Times New Roman" w:cs="Times New Roman"/>
          <w:sz w:val="24"/>
          <w:szCs w:val="24"/>
          <w:shd w:val="clear" w:color="auto" w:fill="FFFFFF"/>
        </w:rPr>
        <w:t xml:space="preserve"> cell volume</w:t>
      </w:r>
      <w:r w:rsidRPr="004239B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PCV</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 xml:space="preserve"> had higher inflammatory marker levels than those with normal packed</w:t>
      </w:r>
      <w:r>
        <w:rPr>
          <w:rFonts w:ascii="Times New Roman" w:hAnsi="Times New Roman" w:cs="Times New Roman"/>
          <w:sz w:val="24"/>
          <w:szCs w:val="24"/>
          <w:shd w:val="clear" w:color="auto" w:fill="FFFFFF"/>
        </w:rPr>
        <w:t xml:space="preserve"> cell volume</w:t>
      </w:r>
      <w:r w:rsidRPr="004239B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PCV</w:t>
      </w:r>
      <w:r>
        <w:rPr>
          <w:rFonts w:ascii="Times New Roman" w:hAnsi="Times New Roman" w:cs="Times New Roman"/>
          <w:sz w:val="24"/>
          <w:szCs w:val="24"/>
          <w:shd w:val="clear" w:color="auto" w:fill="FFFFFF"/>
        </w:rPr>
        <w:t>)</w:t>
      </w:r>
      <w:r w:rsidRPr="004239B9">
        <w:rPr>
          <w:rFonts w:ascii="Times New Roman" w:hAnsi="Times New Roman" w:cs="Times New Roman"/>
          <w:sz w:val="24"/>
          <w:szCs w:val="24"/>
          <w:shd w:val="clear" w:color="auto" w:fill="FFFFFF"/>
        </w:rPr>
        <w:t xml:space="preserve"> level. This represents a potential health challenge</w:t>
      </w:r>
      <w:r>
        <w:rPr>
          <w:rFonts w:ascii="Times New Roman" w:hAnsi="Times New Roman" w:cs="Times New Roman"/>
          <w:sz w:val="24"/>
          <w:szCs w:val="24"/>
          <w:shd w:val="clear" w:color="auto" w:fill="FFFFFF"/>
        </w:rPr>
        <w:t xml:space="preserve">. The findings in our study are in line with a study reported by </w:t>
      </w:r>
      <w:r>
        <w:rPr>
          <w:rFonts w:ascii="Times New Roman" w:hAnsi="Times New Roman" w:cs="Times New Roman"/>
          <w:sz w:val="24"/>
          <w:szCs w:val="24"/>
        </w:rPr>
        <w:t>(</w:t>
      </w:r>
      <w:r w:rsidRPr="00DC64E6">
        <w:rPr>
          <w:rFonts w:ascii="Times New Roman" w:hAnsi="Times New Roman" w:cs="Times New Roman"/>
          <w:sz w:val="24"/>
          <w:szCs w:val="24"/>
        </w:rPr>
        <w:t>Ahshanul</w:t>
      </w:r>
      <w:r>
        <w:rPr>
          <w:rFonts w:ascii="Times New Roman" w:hAnsi="Times New Roman" w:cs="Times New Roman"/>
          <w:sz w:val="24"/>
          <w:szCs w:val="24"/>
        </w:rPr>
        <w:t>, et, al., 2021</w:t>
      </w:r>
      <w:r w:rsidRPr="004239B9">
        <w:rPr>
          <w:rFonts w:ascii="Times New Roman" w:hAnsi="Times New Roman" w:cs="Times New Roman"/>
          <w:sz w:val="24"/>
          <w:szCs w:val="24"/>
          <w:shd w:val="clear" w:color="auto" w:fill="FFFFFF"/>
        </w:rPr>
        <w:t>)</w:t>
      </w:r>
    </w:p>
    <w:p w14:paraId="7FF9CFD5" w14:textId="77777777" w:rsidR="00F4787D" w:rsidRPr="007057D0" w:rsidRDefault="00F4787D" w:rsidP="00F4787D">
      <w:pPr>
        <w:spacing w:before="120" w:after="120"/>
        <w:ind w:left="0" w:right="0"/>
        <w:rPr>
          <w:rFonts w:ascii="Times New Roman" w:hAnsi="Times New Roman" w:cs="Times New Roman"/>
          <w:b/>
          <w:sz w:val="24"/>
          <w:szCs w:val="24"/>
          <w:shd w:val="clear" w:color="auto" w:fill="FFFFFF"/>
        </w:rPr>
      </w:pPr>
      <w:r w:rsidRPr="007057D0">
        <w:rPr>
          <w:rFonts w:ascii="Times New Roman" w:hAnsi="Times New Roman" w:cs="Times New Roman"/>
          <w:b/>
          <w:sz w:val="24"/>
          <w:szCs w:val="24"/>
          <w:shd w:val="clear" w:color="auto" w:fill="FFFFFF"/>
        </w:rPr>
        <w:t>Conclusion</w:t>
      </w:r>
    </w:p>
    <w:p w14:paraId="2DA716B7" w14:textId="28DCCDE9" w:rsidR="00F4787D" w:rsidRPr="00416AF0" w:rsidRDefault="00F4787D" w:rsidP="00F4787D">
      <w:pPr>
        <w:ind w:left="0" w:right="0"/>
        <w:rPr>
          <w:rFonts w:ascii="Times New Roman" w:hAnsi="Times New Roman" w:cs="Times New Roman"/>
          <w:sz w:val="24"/>
          <w:szCs w:val="24"/>
        </w:rPr>
      </w:pPr>
      <w:r>
        <w:rPr>
          <w:rFonts w:ascii="Times New Roman" w:hAnsi="Times New Roman" w:cs="Times New Roman"/>
          <w:sz w:val="24"/>
          <w:szCs w:val="24"/>
        </w:rPr>
        <w:t>The</w:t>
      </w:r>
      <w:r w:rsidRPr="004239B9">
        <w:rPr>
          <w:rFonts w:ascii="Times New Roman" w:hAnsi="Times New Roman" w:cs="Times New Roman"/>
          <w:sz w:val="24"/>
          <w:szCs w:val="24"/>
        </w:rPr>
        <w:t xml:space="preserve"> findings </w:t>
      </w:r>
      <w:r>
        <w:rPr>
          <w:rFonts w:ascii="Times New Roman" w:hAnsi="Times New Roman" w:cs="Times New Roman"/>
          <w:sz w:val="24"/>
          <w:szCs w:val="24"/>
        </w:rPr>
        <w:t xml:space="preserve">of this study </w:t>
      </w:r>
      <w:r w:rsidRPr="004239B9">
        <w:rPr>
          <w:rFonts w:ascii="Times New Roman" w:hAnsi="Times New Roman" w:cs="Times New Roman"/>
          <w:sz w:val="24"/>
          <w:szCs w:val="24"/>
        </w:rPr>
        <w:t>reflect the significant prevalence of undernutrition among pregnant</w:t>
      </w:r>
      <w:r>
        <w:rPr>
          <w:rFonts w:ascii="Times New Roman" w:hAnsi="Times New Roman" w:cs="Times New Roman"/>
          <w:sz w:val="24"/>
          <w:szCs w:val="24"/>
        </w:rPr>
        <w:t xml:space="preserve"> </w:t>
      </w:r>
      <w:r w:rsidRPr="004239B9">
        <w:rPr>
          <w:rFonts w:ascii="Times New Roman" w:hAnsi="Times New Roman" w:cs="Times New Roman"/>
          <w:sz w:val="24"/>
          <w:szCs w:val="24"/>
        </w:rPr>
        <w:t>women. This could lead to an increase in anemia, a higher</w:t>
      </w:r>
      <w:r>
        <w:rPr>
          <w:rFonts w:ascii="Times New Roman" w:hAnsi="Times New Roman" w:cs="Times New Roman"/>
          <w:sz w:val="24"/>
          <w:szCs w:val="24"/>
        </w:rPr>
        <w:t xml:space="preserve"> risk of intra</w:t>
      </w:r>
      <w:r w:rsidRPr="004239B9">
        <w:rPr>
          <w:rFonts w:ascii="Times New Roman" w:hAnsi="Times New Roman" w:cs="Times New Roman"/>
          <w:sz w:val="24"/>
          <w:szCs w:val="24"/>
        </w:rPr>
        <w:t>uterine growth restriction (IUGR)</w:t>
      </w:r>
      <w:r>
        <w:rPr>
          <w:rFonts w:ascii="Times New Roman" w:hAnsi="Times New Roman" w:cs="Times New Roman"/>
          <w:sz w:val="24"/>
          <w:szCs w:val="24"/>
        </w:rPr>
        <w:t>, impaired immune function</w:t>
      </w:r>
      <w:r w:rsidRPr="004239B9">
        <w:rPr>
          <w:rFonts w:ascii="Times New Roman" w:hAnsi="Times New Roman" w:cs="Times New Roman"/>
          <w:sz w:val="24"/>
          <w:szCs w:val="24"/>
        </w:rPr>
        <w:t>, and infant stunts within the first few months after birth</w:t>
      </w:r>
      <w:r>
        <w:rPr>
          <w:rFonts w:ascii="Times New Roman" w:hAnsi="Times New Roman" w:cs="Times New Roman"/>
          <w:sz w:val="24"/>
          <w:szCs w:val="24"/>
        </w:rPr>
        <w:t>. Therefore, we can conclude that poor nutritional status affected the level of inflammation among pregnant women receiving antenatal care at the Yariman Bakura Specialist Hospital in Zamfara State.</w:t>
      </w:r>
    </w:p>
    <w:p w14:paraId="7E1F3987" w14:textId="77777777" w:rsidR="00F4787D" w:rsidRPr="00BF0276" w:rsidRDefault="00F4787D" w:rsidP="00F4787D">
      <w:pPr>
        <w:ind w:left="0"/>
        <w:rPr>
          <w:rFonts w:ascii="Times New Roman" w:hAnsi="Times New Roman" w:cs="Times New Roman"/>
          <w:sz w:val="24"/>
          <w:szCs w:val="24"/>
        </w:rPr>
      </w:pPr>
      <w:r w:rsidRPr="00BF0276">
        <w:rPr>
          <w:rFonts w:ascii="Times New Roman" w:hAnsi="Times New Roman" w:cs="Times New Roman"/>
          <w:sz w:val="24"/>
          <w:szCs w:val="24"/>
        </w:rPr>
        <w:t xml:space="preserve">REFERENCES </w:t>
      </w:r>
    </w:p>
    <w:p w14:paraId="0EEEE216" w14:textId="2CB3CB78" w:rsidR="00F4787D" w:rsidRPr="00BF0276" w:rsidRDefault="00F4787D" w:rsidP="00F4787D">
      <w:pPr>
        <w:shd w:val="clear" w:color="auto" w:fill="FFFFFF"/>
        <w:tabs>
          <w:tab w:val="left" w:pos="1830"/>
        </w:tabs>
        <w:ind w:left="0"/>
        <w:rPr>
          <w:rFonts w:ascii="Times New Roman" w:hAnsi="Times New Roman" w:cs="Times New Roman"/>
          <w:sz w:val="24"/>
          <w:szCs w:val="24"/>
        </w:rPr>
      </w:pPr>
      <w:r w:rsidRPr="00BF0276">
        <w:rPr>
          <w:rFonts w:ascii="Times New Roman" w:hAnsi="Times New Roman" w:cs="Times New Roman"/>
          <w:sz w:val="24"/>
          <w:szCs w:val="24"/>
        </w:rPr>
        <w:t xml:space="preserve">Ahshanul, H, M, d, Nuzhat, C, </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Fahmida, D, F,</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Mohammad, A,</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Mohammad, J, R,</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Tanvir, A, S. M,</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Sheikh, S, R,</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Towfida, J. S.,</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Abu, S, G, F,</w:t>
      </w:r>
      <w:r w:rsidRPr="00BF0276">
        <w:rPr>
          <w:rFonts w:ascii="Times New Roman" w:hAnsi="Times New Roman" w:cs="Times New Roman"/>
          <w:sz w:val="24"/>
          <w:szCs w:val="24"/>
          <w:vertAlign w:val="superscript"/>
        </w:rPr>
        <w:t> </w:t>
      </w:r>
      <w:r w:rsidRPr="00BF0276">
        <w:rPr>
          <w:rFonts w:ascii="Times New Roman" w:hAnsi="Times New Roman" w:cs="Times New Roman"/>
          <w:sz w:val="24"/>
          <w:szCs w:val="24"/>
        </w:rPr>
        <w:t>and Tahmeed, A.,</w:t>
      </w:r>
      <w:r w:rsidRPr="00BF0276">
        <w:rPr>
          <w:rFonts w:ascii="Times New Roman" w:hAnsi="Times New Roman" w:cs="Times New Roman"/>
          <w:sz w:val="24"/>
          <w:szCs w:val="24"/>
          <w:vertAlign w:val="superscript"/>
        </w:rPr>
        <w:t xml:space="preserve"> </w:t>
      </w:r>
      <w:r w:rsidRPr="00BF0276">
        <w:rPr>
          <w:rFonts w:ascii="Times New Roman" w:hAnsi="Times New Roman" w:cs="Times New Roman"/>
          <w:bCs/>
          <w:spacing w:val="-2"/>
          <w:sz w:val="24"/>
          <w:szCs w:val="24"/>
        </w:rPr>
        <w:t xml:space="preserve"> (</w:t>
      </w:r>
      <w:r w:rsidRPr="00BF0276">
        <w:rPr>
          <w:rFonts w:ascii="Times New Roman" w:hAnsi="Times New Roman" w:cs="Times New Roman"/>
          <w:sz w:val="24"/>
          <w:szCs w:val="24"/>
        </w:rPr>
        <w:t>2021</w:t>
      </w:r>
      <w:r w:rsidRPr="00BF0276">
        <w:rPr>
          <w:rFonts w:ascii="Times New Roman" w:hAnsi="Times New Roman" w:cs="Times New Roman"/>
          <w:bCs/>
          <w:spacing w:val="-2"/>
          <w:sz w:val="24"/>
          <w:szCs w:val="24"/>
        </w:rPr>
        <w:t>). Determinants of maternal low mid‐upper arm circumference and its association with child nutritional status among poor and very poor households in rural Bangladesh., Maternal Child Nutrition, Published</w:t>
      </w:r>
      <w:r w:rsidRPr="00BF0276">
        <w:rPr>
          <w:rStyle w:val="fm-vol-iss-date"/>
          <w:rFonts w:ascii="Times New Roman" w:hAnsi="Times New Roman" w:cs="Times New Roman"/>
          <w:sz w:val="24"/>
          <w:szCs w:val="24"/>
        </w:rPr>
        <w:t xml:space="preserve"> online 2021 May 20. </w:t>
      </w:r>
      <w:r w:rsidRPr="00BF0276">
        <w:rPr>
          <w:rStyle w:val="doi"/>
          <w:rFonts w:ascii="Times New Roman" w:hAnsi="Times New Roman" w:cs="Times New Roman"/>
          <w:sz w:val="24"/>
          <w:szCs w:val="24"/>
        </w:rPr>
        <w:t>doi: </w:t>
      </w:r>
      <w:hyperlink r:id="rId10" w:tgtFrame="_blank" w:history="1">
        <w:r w:rsidRPr="00BF0276">
          <w:rPr>
            <w:rStyle w:val="Hyperlink"/>
            <w:rFonts w:ascii="Times New Roman" w:hAnsi="Times New Roman" w:cs="Times New Roman"/>
            <w:color w:val="auto"/>
            <w:sz w:val="24"/>
            <w:szCs w:val="24"/>
            <w:u w:val="none"/>
          </w:rPr>
          <w:t>10.1111/mcn.13217</w:t>
        </w:r>
      </w:hyperlink>
      <w:r w:rsidRPr="00BF0276">
        <w:rPr>
          <w:rStyle w:val="doi"/>
          <w:rFonts w:ascii="Times New Roman" w:hAnsi="Times New Roman" w:cs="Times New Roman"/>
          <w:sz w:val="24"/>
          <w:szCs w:val="24"/>
        </w:rPr>
        <w:t xml:space="preserve">. </w:t>
      </w:r>
      <w:r w:rsidRPr="00BF0276">
        <w:rPr>
          <w:rFonts w:ascii="Times New Roman" w:hAnsi="Times New Roman" w:cs="Times New Roman"/>
          <w:sz w:val="24"/>
          <w:szCs w:val="24"/>
        </w:rPr>
        <w:t>17(4): e13217.</w:t>
      </w:r>
    </w:p>
    <w:p w14:paraId="7D642B26" w14:textId="1D4F008E" w:rsidR="00F4787D" w:rsidRPr="00BF0276" w:rsidRDefault="00F4787D" w:rsidP="00F4787D">
      <w:pPr>
        <w:shd w:val="clear" w:color="auto" w:fill="FFFFFF"/>
        <w:tabs>
          <w:tab w:val="left" w:pos="1830"/>
        </w:tabs>
        <w:ind w:left="0"/>
        <w:rPr>
          <w:rFonts w:ascii="Times New Roman" w:hAnsi="Times New Roman" w:cs="Times New Roman"/>
          <w:sz w:val="24"/>
          <w:szCs w:val="24"/>
          <w:shd w:val="clear" w:color="auto" w:fill="FFFFFF"/>
        </w:rPr>
      </w:pPr>
      <w:r w:rsidRPr="00BF0276">
        <w:rPr>
          <w:rFonts w:ascii="Times New Roman" w:hAnsi="Times New Roman" w:cs="Times New Roman"/>
          <w:sz w:val="24"/>
          <w:szCs w:val="24"/>
          <w:shd w:val="clear" w:color="auto" w:fill="FFFFFF"/>
        </w:rPr>
        <w:t>Ansar, W., Bandyopadhyay, S. M., Chowdhury, S., Habib, S. H., and Mandal, C., (2006). Role of C-reactive protein in complement-mediated hemolysis in malaria. </w:t>
      </w:r>
      <w:r w:rsidRPr="00BF0276">
        <w:rPr>
          <w:rStyle w:val="ref-journal"/>
          <w:rFonts w:ascii="Times New Roman" w:hAnsi="Times New Roman" w:cs="Times New Roman"/>
          <w:i/>
          <w:iCs/>
          <w:sz w:val="24"/>
          <w:szCs w:val="24"/>
          <w:shd w:val="clear" w:color="auto" w:fill="FFFFFF"/>
        </w:rPr>
        <w:t>Glycoconj Journal. </w:t>
      </w:r>
      <w:r w:rsidRPr="00BF0276">
        <w:rPr>
          <w:rFonts w:ascii="Times New Roman" w:hAnsi="Times New Roman" w:cs="Times New Roman"/>
          <w:sz w:val="24"/>
          <w:szCs w:val="24"/>
          <w:shd w:val="clear" w:color="auto" w:fill="FFFFFF"/>
        </w:rPr>
        <w:t>2006;</w:t>
      </w:r>
      <w:r w:rsidRPr="00BF0276">
        <w:rPr>
          <w:rStyle w:val="ref-vol"/>
          <w:rFonts w:ascii="Times New Roman" w:hAnsi="Times New Roman" w:cs="Times New Roman"/>
          <w:sz w:val="24"/>
          <w:szCs w:val="24"/>
          <w:shd w:val="clear" w:color="auto" w:fill="FFFFFF"/>
        </w:rPr>
        <w:t>23</w:t>
      </w:r>
      <w:r w:rsidRPr="00BF0276">
        <w:rPr>
          <w:rFonts w:ascii="Times New Roman" w:hAnsi="Times New Roman" w:cs="Times New Roman"/>
          <w:sz w:val="24"/>
          <w:szCs w:val="24"/>
          <w:shd w:val="clear" w:color="auto" w:fill="FFFFFF"/>
        </w:rPr>
        <w:t>:233–40.</w:t>
      </w:r>
    </w:p>
    <w:p w14:paraId="06D843C0" w14:textId="7AD4FBF5" w:rsidR="00F4787D" w:rsidRPr="00BF0276" w:rsidRDefault="00F4787D" w:rsidP="00F4787D">
      <w:pPr>
        <w:shd w:val="clear" w:color="auto" w:fill="FFFFFF"/>
        <w:tabs>
          <w:tab w:val="left" w:pos="1830"/>
        </w:tabs>
        <w:ind w:left="0"/>
        <w:rPr>
          <w:rFonts w:ascii="Times New Roman" w:hAnsi="Times New Roman" w:cs="Times New Roman"/>
          <w:sz w:val="24"/>
          <w:szCs w:val="24"/>
        </w:rPr>
      </w:pPr>
      <w:r w:rsidRPr="00BF0276">
        <w:rPr>
          <w:rFonts w:ascii="Times New Roman" w:hAnsi="Times New Roman" w:cs="Times New Roman"/>
          <w:sz w:val="24"/>
          <w:szCs w:val="24"/>
        </w:rPr>
        <w:t>Clark, I, A., (2006). Suggested importance of monokines in the pathophysiology of endotoxin shock and malaria. Klin Wochenschr. 2006, 60: 756-758.</w:t>
      </w:r>
    </w:p>
    <w:p w14:paraId="31ABC271" w14:textId="1D2BE62D" w:rsidR="00F4787D" w:rsidRPr="00BF0276" w:rsidRDefault="00F4787D" w:rsidP="00F4787D">
      <w:pPr>
        <w:shd w:val="clear" w:color="auto" w:fill="FFFFFF"/>
        <w:tabs>
          <w:tab w:val="left" w:pos="1830"/>
        </w:tabs>
        <w:ind w:left="0"/>
        <w:rPr>
          <w:rFonts w:ascii="Times New Roman" w:hAnsi="Times New Roman" w:cs="Times New Roman"/>
          <w:sz w:val="24"/>
          <w:szCs w:val="24"/>
          <w:shd w:val="clear" w:color="auto" w:fill="FFFFFF"/>
        </w:rPr>
      </w:pPr>
      <w:r w:rsidRPr="00BF0276">
        <w:rPr>
          <w:rFonts w:ascii="Times New Roman" w:hAnsi="Times New Roman" w:cs="Times New Roman"/>
          <w:sz w:val="24"/>
          <w:szCs w:val="24"/>
          <w:shd w:val="clear" w:color="auto" w:fill="FFFFFF"/>
        </w:rPr>
        <w:t>Dozie, U. Ekeh, N. Iwuoha, G. Nwaokoro, C. , Asuzu, N. and Dozie, I. (2020). The efficacy of rapid diagnostic test in the Diagnosis of Malaria among adults as compared to microscope in a Hospital in Imo State, South Eastern Nigeria.</w:t>
      </w:r>
    </w:p>
    <w:p w14:paraId="254F2A8A" w14:textId="42B1C080" w:rsidR="00F4787D" w:rsidRPr="00BF0276" w:rsidRDefault="00F4787D" w:rsidP="00F4787D">
      <w:pPr>
        <w:shd w:val="clear" w:color="auto" w:fill="FFFFFF"/>
        <w:ind w:left="0"/>
        <w:textAlignment w:val="baseline"/>
        <w:rPr>
          <w:rFonts w:ascii="Times New Roman" w:hAnsi="Times New Roman" w:cs="Times New Roman"/>
          <w:sz w:val="24"/>
          <w:szCs w:val="24"/>
        </w:rPr>
      </w:pPr>
      <w:r w:rsidRPr="00BF0276">
        <w:rPr>
          <w:rFonts w:ascii="Times New Roman" w:hAnsi="Times New Roman" w:cs="Times New Roman"/>
          <w:sz w:val="24"/>
          <w:szCs w:val="24"/>
        </w:rPr>
        <w:lastRenderedPageBreak/>
        <w:t>DHS, (2021). Nigeria Malaria Indicator Survey. Final Report National Malaria Elimination Program Abuja, Nigeria National Population Commission Abuja, Nigeria. Maryland, USA, November 2022</w:t>
      </w:r>
    </w:p>
    <w:p w14:paraId="691FC087" w14:textId="4D837593" w:rsidR="00F4787D" w:rsidRPr="00BF0276" w:rsidRDefault="00F4787D" w:rsidP="00F4787D">
      <w:pPr>
        <w:spacing w:after="200" w:line="240" w:lineRule="auto"/>
        <w:ind w:left="0"/>
        <w:rPr>
          <w:rFonts w:ascii="Times New Roman" w:eastAsia="Times New Roman" w:hAnsi="Times New Roman" w:cs="Times New Roman"/>
          <w:sz w:val="24"/>
          <w:szCs w:val="24"/>
        </w:rPr>
      </w:pPr>
      <w:r w:rsidRPr="00BF0276">
        <w:rPr>
          <w:rFonts w:ascii="Times New Roman" w:eastAsia="Times New Roman" w:hAnsi="Times New Roman" w:cs="Times New Roman"/>
          <w:sz w:val="24"/>
          <w:szCs w:val="24"/>
        </w:rPr>
        <w:t xml:space="preserve">Fried, M., Muga, R.O., and Misore, A.O. (1998). Duffy PE. Malaria elicits type 1 cytokines in the human placenta: IFN- and TNF- are associated with pregnancy outcomes. </w:t>
      </w:r>
      <w:r w:rsidRPr="00BF0276">
        <w:rPr>
          <w:rFonts w:ascii="Times New Roman" w:eastAsia="Times New Roman" w:hAnsi="Times New Roman" w:cs="Times New Roman"/>
          <w:i/>
          <w:sz w:val="24"/>
          <w:szCs w:val="24"/>
        </w:rPr>
        <w:t>Journal of Immunology</w:t>
      </w:r>
      <w:r w:rsidRPr="00BF0276">
        <w:rPr>
          <w:rFonts w:ascii="Times New Roman" w:eastAsia="Times New Roman" w:hAnsi="Times New Roman" w:cs="Times New Roman"/>
          <w:sz w:val="24"/>
          <w:szCs w:val="24"/>
        </w:rPr>
        <w:t>. 1998 Mar 1;160(5):2523-30. PMID: 9498798.</w:t>
      </w:r>
    </w:p>
    <w:p w14:paraId="0229F76E" w14:textId="5AE4BD7E" w:rsidR="00F4787D" w:rsidRPr="00BF0276" w:rsidRDefault="00F4787D" w:rsidP="00F4787D">
      <w:pPr>
        <w:shd w:val="clear" w:color="auto" w:fill="FFFFFF"/>
        <w:ind w:left="0"/>
        <w:textAlignment w:val="baseline"/>
        <w:rPr>
          <w:rStyle w:val="element-citation"/>
          <w:rFonts w:ascii="Times New Roman" w:hAnsi="Times New Roman" w:cs="Times New Roman"/>
          <w:sz w:val="24"/>
          <w:szCs w:val="24"/>
        </w:rPr>
      </w:pPr>
      <w:r w:rsidRPr="00BF0276">
        <w:rPr>
          <w:rStyle w:val="element-citation"/>
          <w:rFonts w:ascii="Times New Roman" w:hAnsi="Times New Roman" w:cs="Times New Roman"/>
          <w:sz w:val="24"/>
          <w:szCs w:val="24"/>
        </w:rPr>
        <w:t>Ferrucci, L, and Fabbri, E., (2018). Inflammageing: chronic inflammation in aging, cardiovascular disease, and frailty. </w:t>
      </w:r>
      <w:r w:rsidRPr="00BF0276">
        <w:rPr>
          <w:rStyle w:val="ref-journal"/>
          <w:rFonts w:ascii="Times New Roman" w:hAnsi="Times New Roman" w:cs="Times New Roman"/>
          <w:i/>
          <w:iCs/>
          <w:sz w:val="24"/>
          <w:szCs w:val="24"/>
        </w:rPr>
        <w:t>Nat Rev Cardiol. </w:t>
      </w:r>
      <w:r w:rsidRPr="00BF0276">
        <w:rPr>
          <w:rStyle w:val="element-citation"/>
          <w:rFonts w:ascii="Times New Roman" w:hAnsi="Times New Roman" w:cs="Times New Roman"/>
          <w:sz w:val="24"/>
          <w:szCs w:val="24"/>
        </w:rPr>
        <w:t>2018;</w:t>
      </w:r>
      <w:r w:rsidRPr="00BF0276">
        <w:rPr>
          <w:rStyle w:val="ref-vol"/>
          <w:rFonts w:ascii="Times New Roman" w:hAnsi="Times New Roman" w:cs="Times New Roman"/>
          <w:sz w:val="24"/>
          <w:szCs w:val="24"/>
        </w:rPr>
        <w:t>15</w:t>
      </w:r>
      <w:r w:rsidRPr="00BF0276">
        <w:rPr>
          <w:rStyle w:val="element-citation"/>
          <w:rFonts w:ascii="Times New Roman" w:hAnsi="Times New Roman" w:cs="Times New Roman"/>
          <w:sz w:val="24"/>
          <w:szCs w:val="24"/>
        </w:rPr>
        <w:t>(9):505–522.</w:t>
      </w:r>
    </w:p>
    <w:p w14:paraId="1F05D828" w14:textId="77777777" w:rsidR="00F4787D" w:rsidRPr="00BF0276" w:rsidRDefault="00F4787D" w:rsidP="00F4787D">
      <w:pPr>
        <w:shd w:val="clear" w:color="auto" w:fill="FFFFFF"/>
        <w:ind w:left="0"/>
        <w:textAlignment w:val="baseline"/>
        <w:rPr>
          <w:rFonts w:ascii="Times New Roman" w:hAnsi="Times New Roman" w:cs="Times New Roman"/>
          <w:sz w:val="24"/>
          <w:szCs w:val="24"/>
        </w:rPr>
      </w:pPr>
      <w:r w:rsidRPr="00BF0276">
        <w:rPr>
          <w:rStyle w:val="element-citation"/>
          <w:rFonts w:ascii="Times New Roman" w:hAnsi="Times New Roman" w:cs="Times New Roman"/>
          <w:sz w:val="24"/>
          <w:szCs w:val="24"/>
        </w:rPr>
        <w:t>Franceschi, C, and Campisi, J., (2014). Chronic inflammation (Inflammaging) and its potential contribution to age-associated diseases. </w:t>
      </w:r>
      <w:r w:rsidRPr="00BF0276">
        <w:rPr>
          <w:rStyle w:val="ref-journal"/>
          <w:rFonts w:ascii="Times New Roman" w:hAnsi="Times New Roman" w:cs="Times New Roman"/>
          <w:i/>
          <w:iCs/>
          <w:sz w:val="24"/>
          <w:szCs w:val="24"/>
        </w:rPr>
        <w:t>Journal of Gerontology. A Biological Science of Medical Sciences. </w:t>
      </w:r>
      <w:r w:rsidRPr="00BF0276">
        <w:rPr>
          <w:rStyle w:val="element-citation"/>
          <w:rFonts w:ascii="Times New Roman" w:hAnsi="Times New Roman" w:cs="Times New Roman"/>
          <w:sz w:val="24"/>
          <w:szCs w:val="24"/>
        </w:rPr>
        <w:t>2014;</w:t>
      </w:r>
      <w:r w:rsidRPr="00BF0276">
        <w:rPr>
          <w:rStyle w:val="ref-vol"/>
          <w:rFonts w:ascii="Times New Roman" w:hAnsi="Times New Roman" w:cs="Times New Roman"/>
          <w:sz w:val="24"/>
          <w:szCs w:val="24"/>
        </w:rPr>
        <w:t>69</w:t>
      </w:r>
      <w:r w:rsidRPr="00BF0276">
        <w:rPr>
          <w:rStyle w:val="element-citation"/>
          <w:rFonts w:ascii="Times New Roman" w:hAnsi="Times New Roman" w:cs="Times New Roman"/>
          <w:sz w:val="24"/>
          <w:szCs w:val="24"/>
        </w:rPr>
        <w:t>(S1):S4–S9. </w:t>
      </w:r>
    </w:p>
    <w:p w14:paraId="3E423BEB" w14:textId="1E665BAF" w:rsidR="00F4787D" w:rsidRPr="00BF0276" w:rsidRDefault="00F4787D" w:rsidP="00F4787D">
      <w:pPr>
        <w:spacing w:after="200" w:line="240" w:lineRule="auto"/>
        <w:ind w:left="0"/>
        <w:rPr>
          <w:rFonts w:ascii="Times New Roman" w:eastAsia="Times New Roman" w:hAnsi="Times New Roman" w:cs="Times New Roman"/>
          <w:sz w:val="24"/>
          <w:szCs w:val="24"/>
        </w:rPr>
      </w:pPr>
      <w:r w:rsidRPr="00BF0276">
        <w:rPr>
          <w:rFonts w:ascii="Times New Roman" w:eastAsia="Times New Roman" w:hAnsi="Times New Roman" w:cs="Times New Roman"/>
          <w:sz w:val="24"/>
          <w:szCs w:val="24"/>
        </w:rPr>
        <w:t>Genton, B., Al-Yaman, F., Ginny, M., Taraika, J, and Alpers, M, P., (1998). Relationship between anthropometry and malaria morbidity and immunity in Papua New Guinean children. America Journal of Clinical Nutrition. 1998 Sep;68(3):734-41. doi: 10.1093/ajcn/68.3.734. PMID: 9734755.</w:t>
      </w:r>
    </w:p>
    <w:p w14:paraId="0E01787F" w14:textId="55CEAC38" w:rsidR="00F4787D" w:rsidRPr="00BF0276" w:rsidRDefault="00F4787D" w:rsidP="00F4787D">
      <w:pPr>
        <w:shd w:val="clear" w:color="auto" w:fill="FFFFFF"/>
        <w:ind w:left="0"/>
        <w:textAlignment w:val="baseline"/>
        <w:rPr>
          <w:rFonts w:ascii="Times New Roman" w:hAnsi="Times New Roman" w:cs="Times New Roman"/>
          <w:sz w:val="24"/>
          <w:szCs w:val="24"/>
        </w:rPr>
      </w:pPr>
      <w:r w:rsidRPr="00BF0276">
        <w:rPr>
          <w:rFonts w:ascii="Times New Roman" w:hAnsi="Times New Roman" w:cs="Times New Roman"/>
          <w:sz w:val="24"/>
          <w:szCs w:val="24"/>
        </w:rPr>
        <w:t xml:space="preserve">Linlin, C., Huidan, D., Hengmin, C., Jing, F., Zhicai, Z., Junliang, D., Yinglun, L,  Xun, W, and Ling Z., </w:t>
      </w:r>
      <w:r w:rsidRPr="00BF0276">
        <w:rPr>
          <w:rFonts w:ascii="Times New Roman" w:hAnsi="Times New Roman" w:cs="Times New Roman"/>
          <w:bCs/>
          <w:spacing w:val="-2"/>
          <w:sz w:val="24"/>
          <w:szCs w:val="24"/>
        </w:rPr>
        <w:t>(</w:t>
      </w:r>
      <w:r w:rsidRPr="00BF0276">
        <w:rPr>
          <w:rStyle w:val="fm-vol-iss-date"/>
          <w:rFonts w:ascii="Times New Roman" w:hAnsi="Times New Roman" w:cs="Times New Roman"/>
          <w:sz w:val="24"/>
          <w:szCs w:val="24"/>
        </w:rPr>
        <w:t>2017</w:t>
      </w:r>
      <w:r w:rsidRPr="00BF0276">
        <w:rPr>
          <w:rFonts w:ascii="Times New Roman" w:hAnsi="Times New Roman" w:cs="Times New Roman"/>
          <w:bCs/>
          <w:spacing w:val="-2"/>
          <w:sz w:val="24"/>
          <w:szCs w:val="24"/>
        </w:rPr>
        <w:t xml:space="preserve">). Inflammatory responses and inflammation-associated diseases in organs., </w:t>
      </w:r>
      <w:r w:rsidRPr="00BF0276">
        <w:rPr>
          <w:rStyle w:val="fm-vol-iss-date"/>
          <w:rFonts w:ascii="Times New Roman" w:hAnsi="Times New Roman" w:cs="Times New Roman"/>
          <w:sz w:val="24"/>
          <w:szCs w:val="24"/>
        </w:rPr>
        <w:t>Published online 2017 Dec 14. </w:t>
      </w:r>
      <w:r w:rsidRPr="00BF0276">
        <w:rPr>
          <w:rStyle w:val="doi"/>
          <w:rFonts w:ascii="Times New Roman" w:hAnsi="Times New Roman" w:cs="Times New Roman"/>
          <w:sz w:val="24"/>
          <w:szCs w:val="24"/>
        </w:rPr>
        <w:t>doi: </w:t>
      </w:r>
      <w:hyperlink r:id="rId11" w:tgtFrame="_blank" w:history="1">
        <w:r w:rsidRPr="00BF0276">
          <w:rPr>
            <w:rStyle w:val="Hyperlink"/>
            <w:rFonts w:ascii="Times New Roman" w:hAnsi="Times New Roman" w:cs="Times New Roman"/>
            <w:color w:val="auto"/>
            <w:sz w:val="24"/>
            <w:szCs w:val="24"/>
            <w:u w:val="none"/>
          </w:rPr>
          <w:t>10.18632/oncotarget.23208</w:t>
        </w:r>
      </w:hyperlink>
      <w:r w:rsidRPr="00BF0276">
        <w:rPr>
          <w:rStyle w:val="doi"/>
          <w:rFonts w:ascii="Times New Roman" w:hAnsi="Times New Roman" w:cs="Times New Roman"/>
          <w:sz w:val="24"/>
          <w:szCs w:val="24"/>
        </w:rPr>
        <w:t>.</w:t>
      </w:r>
      <w:r w:rsidRPr="00BF0276">
        <w:rPr>
          <w:rFonts w:ascii="Times New Roman" w:hAnsi="Times New Roman" w:cs="Times New Roman"/>
          <w:sz w:val="24"/>
          <w:szCs w:val="24"/>
        </w:rPr>
        <w:t xml:space="preserve"> 9(6): 7204–7218.</w:t>
      </w:r>
    </w:p>
    <w:p w14:paraId="6978569B" w14:textId="614ECE19" w:rsidR="00F4787D" w:rsidRPr="00BF0276" w:rsidRDefault="00F4787D" w:rsidP="00F4787D">
      <w:pPr>
        <w:spacing w:after="200" w:line="240" w:lineRule="auto"/>
        <w:ind w:left="0"/>
        <w:rPr>
          <w:rStyle w:val="Hyperlink"/>
          <w:rFonts w:ascii="Times New Roman" w:hAnsi="Times New Roman" w:cs="Times New Roman"/>
          <w:color w:val="auto"/>
          <w:sz w:val="24"/>
          <w:szCs w:val="24"/>
          <w:u w:val="none"/>
        </w:rPr>
      </w:pPr>
      <w:r w:rsidRPr="00BF0276">
        <w:rPr>
          <w:rFonts w:ascii="Times New Roman" w:hAnsi="Times New Roman" w:cs="Times New Roman"/>
          <w:sz w:val="24"/>
          <w:szCs w:val="24"/>
          <w:shd w:val="clear" w:color="auto" w:fill="FFFFFF"/>
        </w:rPr>
        <w:t xml:space="preserve">Pahwa, R., Goyal, A, and Jialal, I., (2023). Chronic Inflammation. [Updated 2023 Aug 7]. In: StatPearls [Internet]. Treasure Island (FL): Stat Pearls Publishing; 2023. </w:t>
      </w:r>
      <w:r w:rsidRPr="00BF0276">
        <w:rPr>
          <w:rStyle w:val="id-label"/>
          <w:rFonts w:ascii="Times New Roman" w:hAnsi="Times New Roman" w:cs="Times New Roman"/>
          <w:sz w:val="24"/>
          <w:szCs w:val="24"/>
        </w:rPr>
        <w:t>PMID: </w:t>
      </w:r>
      <w:r w:rsidRPr="00BF0276">
        <w:rPr>
          <w:rStyle w:val="Strong"/>
          <w:rFonts w:ascii="Times New Roman" w:hAnsi="Times New Roman" w:cs="Times New Roman"/>
          <w:sz w:val="24"/>
          <w:szCs w:val="24"/>
        </w:rPr>
        <w:t>29630225</w:t>
      </w:r>
      <w:r w:rsidRPr="00BF0276">
        <w:rPr>
          <w:rFonts w:ascii="Times New Roman" w:hAnsi="Times New Roman" w:cs="Times New Roman"/>
          <w:sz w:val="24"/>
          <w:szCs w:val="24"/>
        </w:rPr>
        <w:t xml:space="preserve">. </w:t>
      </w:r>
      <w:r w:rsidRPr="00BF0276">
        <w:rPr>
          <w:rStyle w:val="id-label"/>
          <w:rFonts w:ascii="Times New Roman" w:hAnsi="Times New Roman" w:cs="Times New Roman"/>
          <w:sz w:val="24"/>
          <w:szCs w:val="24"/>
        </w:rPr>
        <w:t>Bookshelf ID: </w:t>
      </w:r>
      <w:hyperlink r:id="rId12" w:tgtFrame="_blank" w:history="1">
        <w:r w:rsidRPr="00BF0276">
          <w:rPr>
            <w:rStyle w:val="Hyperlink"/>
            <w:rFonts w:ascii="Times New Roman" w:hAnsi="Times New Roman" w:cs="Times New Roman"/>
            <w:color w:val="auto"/>
            <w:sz w:val="24"/>
            <w:szCs w:val="24"/>
            <w:u w:val="none"/>
          </w:rPr>
          <w:t>NBK493173;</w:t>
        </w:r>
      </w:hyperlink>
    </w:p>
    <w:p w14:paraId="489F7A89" w14:textId="2724C121" w:rsidR="00F4787D" w:rsidRPr="00BF0276" w:rsidRDefault="00F4787D" w:rsidP="00F4787D">
      <w:pPr>
        <w:shd w:val="clear" w:color="auto" w:fill="FFFFFF"/>
        <w:spacing w:after="0" w:line="240" w:lineRule="auto"/>
        <w:ind w:left="0"/>
        <w:rPr>
          <w:rStyle w:val="identifier"/>
          <w:rFonts w:ascii="Times New Roman" w:hAnsi="Times New Roman" w:cs="Times New Roman"/>
          <w:sz w:val="24"/>
          <w:szCs w:val="24"/>
        </w:rPr>
      </w:pPr>
      <w:hyperlink r:id="rId13" w:history="1">
        <w:r w:rsidRPr="00BF0276">
          <w:rPr>
            <w:rStyle w:val="Hyperlink"/>
            <w:rFonts w:ascii="Times New Roman" w:hAnsi="Times New Roman" w:cs="Times New Roman"/>
            <w:color w:val="auto"/>
            <w:sz w:val="24"/>
            <w:szCs w:val="24"/>
            <w:u w:val="none"/>
          </w:rPr>
          <w:t>Rudrajit, P.</w:t>
        </w:r>
      </w:hyperlink>
      <w:r w:rsidRPr="00BF0276">
        <w:rPr>
          <w:rFonts w:ascii="Times New Roman" w:hAnsi="Times New Roman" w:cs="Times New Roman"/>
          <w:sz w:val="24"/>
          <w:szCs w:val="24"/>
        </w:rPr>
        <w:t>, </w:t>
      </w:r>
      <w:hyperlink r:id="rId14" w:history="1">
        <w:r w:rsidRPr="00BF0276">
          <w:rPr>
            <w:rStyle w:val="Hyperlink"/>
            <w:rFonts w:ascii="Times New Roman" w:hAnsi="Times New Roman" w:cs="Times New Roman"/>
            <w:color w:val="auto"/>
            <w:sz w:val="24"/>
            <w:szCs w:val="24"/>
            <w:u w:val="none"/>
          </w:rPr>
          <w:t>Pradip, K., Sinha</w:t>
        </w:r>
      </w:hyperlink>
      <w:r w:rsidRPr="00BF0276">
        <w:rPr>
          <w:rFonts w:ascii="Times New Roman" w:hAnsi="Times New Roman" w:cs="Times New Roman"/>
          <w:sz w:val="24"/>
          <w:szCs w:val="24"/>
        </w:rPr>
        <w:t>, </w:t>
      </w:r>
      <w:hyperlink r:id="rId15" w:history="1">
        <w:r w:rsidRPr="00BF0276">
          <w:rPr>
            <w:rStyle w:val="Hyperlink"/>
            <w:rFonts w:ascii="Times New Roman" w:hAnsi="Times New Roman" w:cs="Times New Roman"/>
            <w:color w:val="auto"/>
            <w:sz w:val="24"/>
            <w:szCs w:val="24"/>
            <w:u w:val="none"/>
          </w:rPr>
          <w:t>R., Bhattacharya</w:t>
        </w:r>
      </w:hyperlink>
      <w:r w:rsidRPr="00BF0276">
        <w:rPr>
          <w:rFonts w:ascii="Times New Roman" w:hAnsi="Times New Roman" w:cs="Times New Roman"/>
          <w:sz w:val="24"/>
          <w:szCs w:val="24"/>
        </w:rPr>
        <w:t>, </w:t>
      </w:r>
      <w:hyperlink r:id="rId16" w:history="1">
        <w:r w:rsidRPr="00BF0276">
          <w:rPr>
            <w:rStyle w:val="Hyperlink"/>
            <w:rFonts w:ascii="Times New Roman" w:hAnsi="Times New Roman" w:cs="Times New Roman"/>
            <w:color w:val="auto"/>
            <w:sz w:val="24"/>
            <w:szCs w:val="24"/>
            <w:u w:val="none"/>
          </w:rPr>
          <w:t>Amit, K., Banerjee</w:t>
        </w:r>
      </w:hyperlink>
      <w:r w:rsidRPr="00BF0276">
        <w:rPr>
          <w:rFonts w:ascii="Times New Roman" w:hAnsi="Times New Roman" w:cs="Times New Roman"/>
          <w:sz w:val="24"/>
          <w:szCs w:val="24"/>
        </w:rPr>
        <w:t>, </w:t>
      </w:r>
      <w:hyperlink r:id="rId17" w:history="1">
        <w:r w:rsidRPr="00BF0276">
          <w:rPr>
            <w:rStyle w:val="Hyperlink"/>
            <w:rFonts w:ascii="Times New Roman" w:hAnsi="Times New Roman" w:cs="Times New Roman"/>
            <w:color w:val="auto"/>
            <w:sz w:val="24"/>
            <w:szCs w:val="24"/>
            <w:u w:val="none"/>
          </w:rPr>
          <w:t>Pradip, R.,</w:t>
        </w:r>
      </w:hyperlink>
      <w:r w:rsidRPr="00BF0276">
        <w:rPr>
          <w:rFonts w:ascii="Times New Roman" w:hAnsi="Times New Roman" w:cs="Times New Roman"/>
          <w:sz w:val="24"/>
          <w:szCs w:val="24"/>
        </w:rPr>
        <w:t> and </w:t>
      </w:r>
      <w:hyperlink r:id="rId18" w:history="1">
        <w:r w:rsidRPr="00BF0276">
          <w:rPr>
            <w:rStyle w:val="Hyperlink"/>
            <w:rFonts w:ascii="Times New Roman" w:hAnsi="Times New Roman" w:cs="Times New Roman"/>
            <w:color w:val="auto"/>
            <w:sz w:val="24"/>
            <w:szCs w:val="24"/>
            <w:u w:val="none"/>
          </w:rPr>
          <w:t>Jayati, M.,</w:t>
        </w:r>
      </w:hyperlink>
      <w:r w:rsidRPr="00BF0276">
        <w:rPr>
          <w:rFonts w:ascii="Times New Roman" w:hAnsi="Times New Roman" w:cs="Times New Roman"/>
          <w:sz w:val="24"/>
          <w:szCs w:val="24"/>
        </w:rPr>
        <w:t xml:space="preserve"> (</w:t>
      </w:r>
      <w:r w:rsidRPr="00BF0276">
        <w:rPr>
          <w:rStyle w:val="fm-vol-iss-date"/>
          <w:rFonts w:ascii="Times New Roman" w:hAnsi="Times New Roman" w:cs="Times New Roman"/>
          <w:sz w:val="24"/>
          <w:szCs w:val="24"/>
        </w:rPr>
        <w:t>2012</w:t>
      </w:r>
      <w:r w:rsidRPr="00BF0276">
        <w:rPr>
          <w:rFonts w:ascii="Times New Roman" w:hAnsi="Times New Roman" w:cs="Times New Roman"/>
          <w:sz w:val="24"/>
          <w:szCs w:val="24"/>
        </w:rPr>
        <w:t xml:space="preserve">). </w:t>
      </w:r>
      <w:r w:rsidRPr="00BF0276">
        <w:rPr>
          <w:rFonts w:ascii="Times New Roman" w:hAnsi="Times New Roman" w:cs="Times New Roman"/>
          <w:bCs/>
          <w:spacing w:val="-2"/>
          <w:sz w:val="24"/>
          <w:szCs w:val="24"/>
        </w:rPr>
        <w:t>Study of C-reactive protein as a prognostic marker in malaria from Eastern India. Advance Biomed Res</w:t>
      </w:r>
      <w:r w:rsidRPr="00BF0276">
        <w:rPr>
          <w:rFonts w:ascii="Times New Roman" w:hAnsi="Times New Roman" w:cs="Times New Roman"/>
          <w:sz w:val="24"/>
          <w:szCs w:val="24"/>
        </w:rPr>
        <w:t xml:space="preserve"> 2012; 1: 41.</w:t>
      </w:r>
      <w:r w:rsidRPr="00BF0276">
        <w:rPr>
          <w:rFonts w:ascii="Times New Roman" w:hAnsi="Times New Roman" w:cs="Times New Roman"/>
          <w:bCs/>
          <w:spacing w:val="-2"/>
          <w:sz w:val="24"/>
          <w:szCs w:val="24"/>
        </w:rPr>
        <w:t xml:space="preserve"> </w:t>
      </w:r>
      <w:r w:rsidRPr="00BF0276">
        <w:rPr>
          <w:rStyle w:val="fm-vol-iss-date"/>
          <w:rFonts w:ascii="Times New Roman" w:hAnsi="Times New Roman" w:cs="Times New Roman"/>
          <w:sz w:val="24"/>
          <w:szCs w:val="24"/>
        </w:rPr>
        <w:t>Published online on August 28, 2012. </w:t>
      </w:r>
      <w:r w:rsidRPr="00BF0276">
        <w:rPr>
          <w:rStyle w:val="doi"/>
          <w:rFonts w:ascii="Times New Roman" w:hAnsi="Times New Roman" w:cs="Times New Roman"/>
          <w:sz w:val="24"/>
          <w:szCs w:val="24"/>
        </w:rPr>
        <w:t>doi: </w:t>
      </w:r>
      <w:hyperlink r:id="rId19" w:tgtFrame="_blank" w:history="1">
        <w:r w:rsidRPr="00BF0276">
          <w:rPr>
            <w:rStyle w:val="Hyperlink"/>
            <w:rFonts w:ascii="Times New Roman" w:hAnsi="Times New Roman" w:cs="Times New Roman"/>
            <w:color w:val="auto"/>
            <w:sz w:val="24"/>
            <w:szCs w:val="24"/>
            <w:u w:val="none"/>
          </w:rPr>
          <w:t>10.4103/2277-9175.100140</w:t>
        </w:r>
      </w:hyperlink>
    </w:p>
    <w:p w14:paraId="292CA7C6" w14:textId="6E88E7F1" w:rsidR="00F4787D" w:rsidRPr="00BF0276" w:rsidRDefault="00F4787D" w:rsidP="00F4787D">
      <w:pPr>
        <w:shd w:val="clear" w:color="auto" w:fill="FFFFFF"/>
        <w:tabs>
          <w:tab w:val="left" w:pos="1260"/>
        </w:tabs>
        <w:spacing w:before="100" w:beforeAutospacing="1" w:line="240" w:lineRule="auto"/>
        <w:ind w:left="0"/>
        <w:rPr>
          <w:rFonts w:ascii="Times New Roman" w:hAnsi="Times New Roman" w:cs="Times New Roman"/>
          <w:sz w:val="24"/>
          <w:szCs w:val="24"/>
        </w:rPr>
      </w:pPr>
      <w:r w:rsidRPr="00BF0276">
        <w:rPr>
          <w:rFonts w:ascii="Times New Roman" w:hAnsi="Times New Roman" w:cs="Times New Roman"/>
          <w:sz w:val="24"/>
          <w:szCs w:val="24"/>
        </w:rPr>
        <w:t xml:space="preserve">Shomyseh S, Lauren, A, Z, Masahito, K, and Richard, A. F., (2010). </w:t>
      </w:r>
      <w:r w:rsidRPr="00BF0276">
        <w:rPr>
          <w:rFonts w:ascii="Times New Roman" w:hAnsi="Times New Roman" w:cs="Times New Roman"/>
          <w:bCs/>
          <w:spacing w:val="-2"/>
          <w:sz w:val="24"/>
          <w:szCs w:val="24"/>
        </w:rPr>
        <w:t xml:space="preserve">Anti- and Pro-inflammatory Roles of TGF-β, IL-10, and IL-22 In Immunity and Autoimmunity. 2010; </w:t>
      </w:r>
      <w:r w:rsidRPr="00BF0276">
        <w:rPr>
          <w:rStyle w:val="fm-vol-iss-date"/>
          <w:rFonts w:ascii="Times New Roman" w:hAnsi="Times New Roman" w:cs="Times New Roman"/>
          <w:sz w:val="24"/>
          <w:szCs w:val="24"/>
        </w:rPr>
        <w:t>Published online 2009 May 29. </w:t>
      </w:r>
      <w:r w:rsidRPr="00BF0276">
        <w:rPr>
          <w:rStyle w:val="doi"/>
          <w:rFonts w:ascii="Times New Roman" w:hAnsi="Times New Roman" w:cs="Times New Roman"/>
          <w:sz w:val="24"/>
          <w:szCs w:val="24"/>
        </w:rPr>
        <w:t>doi: </w:t>
      </w:r>
      <w:hyperlink r:id="rId20" w:tgtFrame="_blank" w:history="1">
        <w:r w:rsidRPr="00BF0276">
          <w:rPr>
            <w:rStyle w:val="Hyperlink"/>
            <w:rFonts w:ascii="Times New Roman" w:hAnsi="Times New Roman" w:cs="Times New Roman"/>
            <w:color w:val="auto"/>
            <w:sz w:val="24"/>
            <w:szCs w:val="24"/>
            <w:u w:val="none"/>
          </w:rPr>
          <w:t>10.1016/j.coph.2009.04.008</w:t>
        </w:r>
      </w:hyperlink>
      <w:r w:rsidRPr="00BF0276">
        <w:rPr>
          <w:rStyle w:val="doi"/>
          <w:rFonts w:ascii="Times New Roman" w:hAnsi="Times New Roman" w:cs="Times New Roman"/>
          <w:sz w:val="24"/>
          <w:szCs w:val="24"/>
        </w:rPr>
        <w:t xml:space="preserve">. </w:t>
      </w:r>
      <w:hyperlink r:id="rId21" w:tgtFrame="_blank" w:history="1">
        <w:r w:rsidRPr="00BF0276">
          <w:rPr>
            <w:rStyle w:val="Hyperlink"/>
            <w:rFonts w:ascii="Times New Roman" w:hAnsi="Times New Roman" w:cs="Times New Roman"/>
            <w:color w:val="auto"/>
            <w:sz w:val="24"/>
            <w:szCs w:val="24"/>
            <w:u w:val="none"/>
          </w:rPr>
          <w:t>9(4): 447–453.</w:t>
        </w:r>
      </w:hyperlink>
    </w:p>
    <w:p w14:paraId="312D0DC7" w14:textId="1536EC35" w:rsidR="00F4787D" w:rsidRPr="00BF0276" w:rsidRDefault="00F4787D" w:rsidP="00F4787D">
      <w:pPr>
        <w:spacing w:after="200" w:line="240" w:lineRule="auto"/>
        <w:ind w:left="0"/>
        <w:rPr>
          <w:rFonts w:ascii="Times New Roman" w:eastAsia="Times New Roman" w:hAnsi="Times New Roman" w:cs="Times New Roman"/>
          <w:sz w:val="24"/>
          <w:szCs w:val="24"/>
        </w:rPr>
      </w:pPr>
      <w:r w:rsidRPr="00BF0276">
        <w:rPr>
          <w:rFonts w:ascii="Times New Roman" w:eastAsia="Times New Roman" w:hAnsi="Times New Roman" w:cs="Times New Roman"/>
          <w:sz w:val="24"/>
          <w:szCs w:val="24"/>
        </w:rPr>
        <w:lastRenderedPageBreak/>
        <w:t>Shankar, A, H., (2000). Nutritional modulation of malaria morbidity and mortality. J Infect Dis. 2000;182 Suppl 1:S37-53. doi: 10.1086/315906. PMID: 10944483.</w:t>
      </w:r>
    </w:p>
    <w:p w14:paraId="287663A3" w14:textId="7623A60B" w:rsidR="00F4787D" w:rsidRPr="00BF0276" w:rsidRDefault="00F4787D" w:rsidP="00F4787D">
      <w:pPr>
        <w:spacing w:after="200" w:line="240" w:lineRule="auto"/>
        <w:ind w:left="0"/>
        <w:rPr>
          <w:rFonts w:ascii="Times New Roman" w:hAnsi="Times New Roman" w:cs="Times New Roman"/>
          <w:sz w:val="24"/>
          <w:szCs w:val="24"/>
          <w:shd w:val="clear" w:color="auto" w:fill="FFFFFF"/>
        </w:rPr>
      </w:pPr>
      <w:r w:rsidRPr="00BF0276">
        <w:rPr>
          <w:rFonts w:ascii="Times New Roman" w:hAnsi="Times New Roman" w:cs="Times New Roman"/>
          <w:sz w:val="24"/>
          <w:szCs w:val="24"/>
          <w:shd w:val="clear" w:color="auto" w:fill="FFFFFF"/>
        </w:rPr>
        <w:t>Taylor-Robinson, A. W. (2000). Increased production of acute phase proteins corresponds to peak parasitemia in primary malaria infection. </w:t>
      </w:r>
      <w:r w:rsidRPr="00BF0276">
        <w:rPr>
          <w:rFonts w:ascii="Times New Roman" w:hAnsi="Times New Roman" w:cs="Times New Roman"/>
          <w:i/>
          <w:iCs/>
          <w:sz w:val="24"/>
          <w:szCs w:val="24"/>
          <w:shd w:val="clear" w:color="auto" w:fill="FFFFFF"/>
        </w:rPr>
        <w:t>Parasitology international</w:t>
      </w:r>
      <w:r w:rsidRPr="00BF0276">
        <w:rPr>
          <w:rFonts w:ascii="Times New Roman" w:hAnsi="Times New Roman" w:cs="Times New Roman"/>
          <w:sz w:val="24"/>
          <w:szCs w:val="24"/>
          <w:shd w:val="clear" w:color="auto" w:fill="FFFFFF"/>
        </w:rPr>
        <w:t>, </w:t>
      </w:r>
      <w:r w:rsidRPr="00BF0276">
        <w:rPr>
          <w:rFonts w:ascii="Times New Roman" w:hAnsi="Times New Roman" w:cs="Times New Roman"/>
          <w:i/>
          <w:iCs/>
          <w:sz w:val="24"/>
          <w:szCs w:val="24"/>
          <w:shd w:val="clear" w:color="auto" w:fill="FFFFFF"/>
        </w:rPr>
        <w:t>48</w:t>
      </w:r>
      <w:r w:rsidRPr="00BF0276">
        <w:rPr>
          <w:rFonts w:ascii="Times New Roman" w:hAnsi="Times New Roman" w:cs="Times New Roman"/>
          <w:sz w:val="24"/>
          <w:szCs w:val="24"/>
          <w:shd w:val="clear" w:color="auto" w:fill="FFFFFF"/>
        </w:rPr>
        <w:t xml:space="preserve">(4), 297–301. </w:t>
      </w:r>
    </w:p>
    <w:p w14:paraId="60D91D9C" w14:textId="371D9E35" w:rsidR="00F4787D" w:rsidRPr="00BF0276" w:rsidRDefault="00F4787D" w:rsidP="00F4787D">
      <w:pPr>
        <w:spacing w:after="200" w:line="240" w:lineRule="auto"/>
        <w:ind w:left="0"/>
        <w:rPr>
          <w:rStyle w:val="bkciteavail"/>
          <w:rFonts w:ascii="Times New Roman" w:hAnsi="Times New Roman" w:cs="Times New Roman"/>
          <w:sz w:val="24"/>
          <w:szCs w:val="24"/>
          <w:shd w:val="clear" w:color="auto" w:fill="FFFFFF"/>
        </w:rPr>
      </w:pPr>
      <w:r w:rsidRPr="00BF0276">
        <w:rPr>
          <w:rFonts w:ascii="Times New Roman" w:hAnsi="Times New Roman" w:cs="Times New Roman"/>
          <w:sz w:val="24"/>
          <w:szCs w:val="24"/>
        </w:rPr>
        <w:t>WHO, (2010). Guidelines on drawing blood: best practices in phalebotomy. Geneva: World Health Organization; 2010. 3 blood sampling systems.</w:t>
      </w:r>
      <w:r w:rsidRPr="00BF0276">
        <w:rPr>
          <w:rStyle w:val="bkciteavail"/>
          <w:rFonts w:ascii="Times New Roman" w:hAnsi="Times New Roman" w:cs="Times New Roman"/>
          <w:sz w:val="24"/>
          <w:szCs w:val="24"/>
        </w:rPr>
        <w:t xml:space="preserve"> Available online: </w:t>
      </w:r>
      <w:hyperlink r:id="rId22" w:history="1">
        <w:r w:rsidRPr="00BF0276">
          <w:rPr>
            <w:rStyle w:val="Hyperlink"/>
            <w:rFonts w:ascii="Times New Roman" w:hAnsi="Times New Roman" w:cs="Times New Roman"/>
            <w:color w:val="auto"/>
            <w:sz w:val="24"/>
            <w:szCs w:val="24"/>
            <w:u w:val="none"/>
          </w:rPr>
          <w:t>https://www.ncbi.nlm.nih.gov/books/NBK138666/</w:t>
        </w:r>
      </w:hyperlink>
    </w:p>
    <w:p w14:paraId="0451C8C3" w14:textId="0E551645" w:rsidR="00F4787D" w:rsidRPr="00BF0276" w:rsidRDefault="00F4787D" w:rsidP="00F4787D">
      <w:pPr>
        <w:spacing w:after="200" w:line="240" w:lineRule="auto"/>
        <w:ind w:left="0"/>
        <w:rPr>
          <w:rFonts w:ascii="Times New Roman" w:hAnsi="Times New Roman" w:cs="Times New Roman"/>
          <w:sz w:val="24"/>
          <w:szCs w:val="24"/>
          <w:shd w:val="clear" w:color="auto" w:fill="FFFFFF"/>
        </w:rPr>
      </w:pPr>
      <w:r w:rsidRPr="00BF0276">
        <w:rPr>
          <w:rFonts w:ascii="Times New Roman" w:hAnsi="Times New Roman" w:cs="Times New Roman"/>
          <w:sz w:val="24"/>
          <w:szCs w:val="24"/>
          <w:shd w:val="clear" w:color="auto" w:fill="FFFFFF"/>
        </w:rPr>
        <w:t>Yousuf, O., B. D. Mohanty, S. S. Martin, P. H. Joshi, M. J. Blaha, K. Nasir, R. S. Blumenthal, and M. J. (2013). High-sensitivity C-reactive protein and cardiovascular disease: a resolute belief or an elusive link?. </w:t>
      </w:r>
      <w:r w:rsidRPr="00BF0276">
        <w:rPr>
          <w:rFonts w:ascii="Times New Roman" w:hAnsi="Times New Roman" w:cs="Times New Roman"/>
          <w:i/>
          <w:iCs/>
          <w:sz w:val="24"/>
          <w:szCs w:val="24"/>
          <w:shd w:val="clear" w:color="auto" w:fill="FFFFFF"/>
        </w:rPr>
        <w:t>Journal of the American College of Cardiology</w:t>
      </w:r>
      <w:r w:rsidRPr="00BF0276">
        <w:rPr>
          <w:rFonts w:ascii="Times New Roman" w:hAnsi="Times New Roman" w:cs="Times New Roman"/>
          <w:sz w:val="24"/>
          <w:szCs w:val="24"/>
          <w:shd w:val="clear" w:color="auto" w:fill="FFFFFF"/>
        </w:rPr>
        <w:t>, </w:t>
      </w:r>
      <w:r w:rsidRPr="00BF0276">
        <w:rPr>
          <w:rFonts w:ascii="Times New Roman" w:hAnsi="Times New Roman" w:cs="Times New Roman"/>
          <w:i/>
          <w:iCs/>
          <w:sz w:val="24"/>
          <w:szCs w:val="24"/>
          <w:shd w:val="clear" w:color="auto" w:fill="FFFFFF"/>
        </w:rPr>
        <w:t>62</w:t>
      </w:r>
      <w:r w:rsidRPr="00BF0276">
        <w:rPr>
          <w:rFonts w:ascii="Times New Roman" w:hAnsi="Times New Roman" w:cs="Times New Roman"/>
          <w:sz w:val="24"/>
          <w:szCs w:val="24"/>
          <w:shd w:val="clear" w:color="auto" w:fill="FFFFFF"/>
        </w:rPr>
        <w:t>(5), 397–408. https://doi.org/10.1016/j.jacc.2013.05.016</w:t>
      </w:r>
    </w:p>
    <w:p w14:paraId="508F8135" w14:textId="5B83FD18" w:rsidR="008176ED" w:rsidRDefault="00F4787D" w:rsidP="00F4787D">
      <w:pPr>
        <w:spacing w:after="200" w:line="240" w:lineRule="auto"/>
        <w:ind w:left="0"/>
      </w:pPr>
      <w:r w:rsidRPr="00BF0276">
        <w:rPr>
          <w:rFonts w:ascii="Times New Roman" w:hAnsi="Times New Roman" w:cs="Times New Roman"/>
          <w:sz w:val="24"/>
          <w:szCs w:val="24"/>
          <w:shd w:val="clear" w:color="auto" w:fill="FFFFFF"/>
        </w:rPr>
        <w:t>Zhang, X., Wu, X., Hu, Q., Wu, J., Wang, G., Hong, Z., Ren, J., &amp; Lab for Trauma and Surgical Infections (2019). Mitochondrial DNA in liver inflammation and oxidative stress. </w:t>
      </w:r>
      <w:r w:rsidRPr="00BF0276">
        <w:rPr>
          <w:rFonts w:ascii="Times New Roman" w:hAnsi="Times New Roman" w:cs="Times New Roman"/>
          <w:i/>
          <w:iCs/>
          <w:sz w:val="24"/>
          <w:szCs w:val="24"/>
          <w:shd w:val="clear" w:color="auto" w:fill="FFFFFF"/>
        </w:rPr>
        <w:t>Life Sciences</w:t>
      </w:r>
      <w:r w:rsidRPr="00BF0276">
        <w:rPr>
          <w:rFonts w:ascii="Times New Roman" w:hAnsi="Times New Roman" w:cs="Times New Roman"/>
          <w:sz w:val="24"/>
          <w:szCs w:val="24"/>
          <w:shd w:val="clear" w:color="auto" w:fill="FFFFFF"/>
        </w:rPr>
        <w:t> </w:t>
      </w:r>
      <w:r w:rsidRPr="00BF0276">
        <w:rPr>
          <w:rFonts w:ascii="Times New Roman" w:hAnsi="Times New Roman" w:cs="Times New Roman"/>
          <w:i/>
          <w:iCs/>
          <w:sz w:val="24"/>
          <w:szCs w:val="24"/>
          <w:shd w:val="clear" w:color="auto" w:fill="FFFFFF"/>
        </w:rPr>
        <w:t>236</w:t>
      </w:r>
      <w:r w:rsidRPr="00BF0276">
        <w:rPr>
          <w:rFonts w:ascii="Times New Roman" w:hAnsi="Times New Roman" w:cs="Times New Roman"/>
          <w:sz w:val="24"/>
          <w:szCs w:val="24"/>
          <w:shd w:val="clear" w:color="auto" w:fill="FFFFFF"/>
        </w:rPr>
        <w:t xml:space="preserve">, 116464. </w:t>
      </w:r>
      <w:hyperlink r:id="rId23" w:history="1">
        <w:r w:rsidRPr="00BF0276">
          <w:rPr>
            <w:rStyle w:val="Hyperlink"/>
            <w:rFonts w:ascii="Times New Roman" w:hAnsi="Times New Roman" w:cs="Times New Roman"/>
            <w:color w:val="auto"/>
            <w:sz w:val="24"/>
            <w:szCs w:val="24"/>
            <w:u w:val="none"/>
            <w:shd w:val="clear" w:color="auto" w:fill="FFFFFF"/>
          </w:rPr>
          <w:t>https://doi.org/10.1016/j.lfs.2019.05.020</w:t>
        </w:r>
      </w:hyperlink>
    </w:p>
    <w:sectPr w:rsidR="008176ED" w:rsidSect="00F4787D">
      <w:headerReference w:type="even" r:id="rId24"/>
      <w:headerReference w:type="default" r:id="rId25"/>
      <w:headerReference w:type="first" r:id="rId2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14BDB" w14:textId="77777777" w:rsidR="00F674FC" w:rsidRDefault="00F674FC" w:rsidP="00E31833">
      <w:pPr>
        <w:spacing w:after="0" w:line="240" w:lineRule="auto"/>
      </w:pPr>
      <w:r>
        <w:separator/>
      </w:r>
    </w:p>
  </w:endnote>
  <w:endnote w:type="continuationSeparator" w:id="0">
    <w:p w14:paraId="0C87FB9F" w14:textId="77777777" w:rsidR="00F674FC" w:rsidRDefault="00F674FC" w:rsidP="00E3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D7817" w14:textId="77777777" w:rsidR="00F674FC" w:rsidRDefault="00F674FC" w:rsidP="00E31833">
      <w:pPr>
        <w:spacing w:after="0" w:line="240" w:lineRule="auto"/>
      </w:pPr>
      <w:r>
        <w:separator/>
      </w:r>
    </w:p>
  </w:footnote>
  <w:footnote w:type="continuationSeparator" w:id="0">
    <w:p w14:paraId="5FB7C576" w14:textId="77777777" w:rsidR="00F674FC" w:rsidRDefault="00F674FC" w:rsidP="00E3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A27C" w14:textId="77777777" w:rsidR="0052495B" w:rsidRDefault="00000000">
    <w:pPr>
      <w:pStyle w:val="Header"/>
    </w:pPr>
    <w:r>
      <w:rPr>
        <w:noProof/>
      </w:rPr>
      <mc:AlternateContent>
        <mc:Choice Requires="wps">
          <w:drawing>
            <wp:anchor distT="0" distB="0" distL="114300" distR="114300" simplePos="0" relativeHeight="251660288" behindDoc="1" locked="0" layoutInCell="1" allowOverlap="1" wp14:anchorId="46D0300E" wp14:editId="3BD05643">
              <wp:simplePos x="0" y="0"/>
              <wp:positionH relativeFrom="margin">
                <wp:align>center</wp:align>
              </wp:positionH>
              <wp:positionV relativeFrom="margin">
                <wp:align>center</wp:align>
              </wp:positionV>
              <wp:extent cx="3352165" cy="1712595"/>
              <wp:effectExtent l="95250" t="952500" r="114935" b="935355"/>
              <wp:wrapNone/>
              <wp:docPr id="1199663018" name="Text Box 3"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352165" cy="1712595"/>
                      </a:xfrm>
                      <a:prstGeom prst="rect">
                        <a:avLst/>
                      </a:prstGeom>
                      <a:noFill/>
                      <a:ln>
                        <a:noFill/>
                      </a:ln>
                    </wps:spPr>
                    <wps:txbx>
                      <w:txbxContent>
                        <w:p w14:paraId="0078CA40"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D0300E" id="_x0000_t202" coordsize="21600,21600" o:spt="202" path="m,l,21600r21600,l21600,xe">
              <v:stroke joinstyle="miter"/>
              <v:path gradientshapeok="t" o:connecttype="rect"/>
            </v:shapetype>
            <v:shape id="Text Box 3" o:spid="_x0000_s1027" type="#_x0000_t202" alt="PUBLIC" style="position:absolute;left:0;text-align:left;margin-left:0;margin-top:0;width:263.95pt;height:134.8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" filled="f" stroked="f">
              <v:textbox style="mso-fit-shape-to-text:t" inset="0,0,0,0">
                <w:txbxContent>
                  <w:p w14:paraId="0078CA40"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28AB" w14:textId="77777777" w:rsidR="0052495B" w:rsidRDefault="00000000">
    <w:pPr>
      <w:pStyle w:val="Header"/>
    </w:pPr>
    <w:r>
      <w:rPr>
        <w:noProof/>
      </w:rPr>
      <mc:AlternateContent>
        <mc:Choice Requires="wps">
          <w:drawing>
            <wp:anchor distT="0" distB="0" distL="114300" distR="114300" simplePos="0" relativeHeight="251661312" behindDoc="1" locked="0" layoutInCell="1" allowOverlap="1" wp14:anchorId="428A25A0" wp14:editId="48D24A6F">
              <wp:simplePos x="0" y="0"/>
              <wp:positionH relativeFrom="margin">
                <wp:align>center</wp:align>
              </wp:positionH>
              <wp:positionV relativeFrom="margin">
                <wp:align>center</wp:align>
              </wp:positionV>
              <wp:extent cx="3352165" cy="1712595"/>
              <wp:effectExtent l="95250" t="952500" r="114935" b="935355"/>
              <wp:wrapNone/>
              <wp:docPr id="1424939290" name="Text Box 4"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352165" cy="1712595"/>
                      </a:xfrm>
                      <a:prstGeom prst="rect">
                        <a:avLst/>
                      </a:prstGeom>
                      <a:noFill/>
                      <a:ln>
                        <a:noFill/>
                      </a:ln>
                    </wps:spPr>
                    <wps:txbx>
                      <w:txbxContent>
                        <w:p w14:paraId="02057AF5"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8A25A0" id="_x0000_t202" coordsize="21600,21600" o:spt="202" path="m,l,21600r21600,l21600,xe">
              <v:stroke joinstyle="miter"/>
              <v:path gradientshapeok="t" o:connecttype="rect"/>
            </v:shapetype>
            <v:shape id="Text Box 4" o:spid="_x0000_s1028" type="#_x0000_t202" alt="PUBLIC" style="position:absolute;left:0;text-align:left;margin-left:0;margin-top:0;width:263.95pt;height:134.8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" filled="f" stroked="f">
              <v:textbox style="mso-fit-shape-to-text:t" inset="0,0,0,0">
                <w:txbxContent>
                  <w:p w14:paraId="02057AF5"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701B2" w14:textId="77777777" w:rsidR="0052495B" w:rsidRDefault="00000000">
    <w:pPr>
      <w:pStyle w:val="Header"/>
    </w:pPr>
    <w:r>
      <w:rPr>
        <w:noProof/>
      </w:rPr>
      <mc:AlternateContent>
        <mc:Choice Requires="wps">
          <w:drawing>
            <wp:anchor distT="0" distB="0" distL="114300" distR="114300" simplePos="0" relativeHeight="251659264" behindDoc="1" locked="0" layoutInCell="1" allowOverlap="1" wp14:anchorId="467E5FF6" wp14:editId="79343FD3">
              <wp:simplePos x="0" y="0"/>
              <wp:positionH relativeFrom="margin">
                <wp:align>center</wp:align>
              </wp:positionH>
              <wp:positionV relativeFrom="margin">
                <wp:align>center</wp:align>
              </wp:positionV>
              <wp:extent cx="3352165" cy="1712595"/>
              <wp:effectExtent l="95250" t="952500" r="114935" b="935355"/>
              <wp:wrapNone/>
              <wp:docPr id="1382848715" name="Text Box 2"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352165" cy="1712595"/>
                      </a:xfrm>
                      <a:prstGeom prst="rect">
                        <a:avLst/>
                      </a:prstGeom>
                      <a:noFill/>
                      <a:ln>
                        <a:noFill/>
                      </a:ln>
                    </wps:spPr>
                    <wps:txbx>
                      <w:txbxContent>
                        <w:p w14:paraId="774EF1E3"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7E5FF6" id="_x0000_t202" coordsize="21600,21600" o:spt="202" path="m,l,21600r21600,l21600,xe">
              <v:stroke joinstyle="miter"/>
              <v:path gradientshapeok="t" o:connecttype="rect"/>
            </v:shapetype>
            <v:shape id="Text Box 2" o:spid="_x0000_s1029" type="#_x0000_t202" alt="PUBLIC" style="position:absolute;left:0;text-align:left;margin-left:0;margin-top:0;width:263.95pt;height:134.8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" filled="f" stroked="f">
              <v:textbox style="mso-fit-shape-to-text:t" inset="0,0,0,0">
                <w:txbxContent>
                  <w:p w14:paraId="774EF1E3" w14:textId="77777777" w:rsidR="0052495B" w:rsidRPr="00CB76F0" w:rsidRDefault="00000000" w:rsidP="00CB76F0">
                    <w:pPr>
                      <w:spacing w:after="0"/>
                      <w:rPr>
                        <w:rFonts w:ascii="Calibri" w:eastAsia="Calibri" w:hAnsi="Calibri" w:cs="Calibri"/>
                        <w:noProof/>
                        <w:color w:val="FFFFFF"/>
                        <w:sz w:val="132"/>
                        <w:szCs w:val="132"/>
                        <w14:textFill>
                          <w14:solidFill>
                            <w14:srgbClr w14:val="FFFFFF">
                              <w14:alpha w14:val="50000"/>
                            </w14:srgbClr>
                          </w14:solidFill>
                        </w14:textFill>
                      </w:rPr>
                    </w:pPr>
                    <w:r w:rsidRPr="00CB76F0">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1749"/>
    <w:multiLevelType w:val="hybridMultilevel"/>
    <w:tmpl w:val="F086F1B2"/>
    <w:lvl w:ilvl="0" w:tplc="A9B86906">
      <w:start w:val="1"/>
      <w:numFmt w:val="bullet"/>
      <w:lvlText w:val=""/>
      <w:lvlJc w:val="left"/>
      <w:pPr>
        <w:ind w:left="720" w:hanging="360"/>
      </w:pPr>
      <w:rPr>
        <w:rFonts w:ascii="Symbol" w:hAnsi="Symbol" w:hint="default"/>
      </w:rPr>
    </w:lvl>
    <w:lvl w:ilvl="1" w:tplc="97924DD2" w:tentative="1">
      <w:start w:val="1"/>
      <w:numFmt w:val="bullet"/>
      <w:lvlText w:val="o"/>
      <w:lvlJc w:val="left"/>
      <w:pPr>
        <w:ind w:left="1440" w:hanging="360"/>
      </w:pPr>
      <w:rPr>
        <w:rFonts w:ascii="Courier New" w:hAnsi="Courier New" w:cs="Courier New" w:hint="default"/>
      </w:rPr>
    </w:lvl>
    <w:lvl w:ilvl="2" w:tplc="F87C54F4" w:tentative="1">
      <w:start w:val="1"/>
      <w:numFmt w:val="bullet"/>
      <w:lvlText w:val=""/>
      <w:lvlJc w:val="left"/>
      <w:pPr>
        <w:ind w:left="2160" w:hanging="360"/>
      </w:pPr>
      <w:rPr>
        <w:rFonts w:ascii="Wingdings" w:hAnsi="Wingdings" w:hint="default"/>
      </w:rPr>
    </w:lvl>
    <w:lvl w:ilvl="3" w:tplc="9ED85298" w:tentative="1">
      <w:start w:val="1"/>
      <w:numFmt w:val="bullet"/>
      <w:lvlText w:val=""/>
      <w:lvlJc w:val="left"/>
      <w:pPr>
        <w:ind w:left="2880" w:hanging="360"/>
      </w:pPr>
      <w:rPr>
        <w:rFonts w:ascii="Symbol" w:hAnsi="Symbol" w:hint="default"/>
      </w:rPr>
    </w:lvl>
    <w:lvl w:ilvl="4" w:tplc="042A21D8" w:tentative="1">
      <w:start w:val="1"/>
      <w:numFmt w:val="bullet"/>
      <w:lvlText w:val="o"/>
      <w:lvlJc w:val="left"/>
      <w:pPr>
        <w:ind w:left="3600" w:hanging="360"/>
      </w:pPr>
      <w:rPr>
        <w:rFonts w:ascii="Courier New" w:hAnsi="Courier New" w:cs="Courier New" w:hint="default"/>
      </w:rPr>
    </w:lvl>
    <w:lvl w:ilvl="5" w:tplc="CFC09068" w:tentative="1">
      <w:start w:val="1"/>
      <w:numFmt w:val="bullet"/>
      <w:lvlText w:val=""/>
      <w:lvlJc w:val="left"/>
      <w:pPr>
        <w:ind w:left="4320" w:hanging="360"/>
      </w:pPr>
      <w:rPr>
        <w:rFonts w:ascii="Wingdings" w:hAnsi="Wingdings" w:hint="default"/>
      </w:rPr>
    </w:lvl>
    <w:lvl w:ilvl="6" w:tplc="807C9F3E" w:tentative="1">
      <w:start w:val="1"/>
      <w:numFmt w:val="bullet"/>
      <w:lvlText w:val=""/>
      <w:lvlJc w:val="left"/>
      <w:pPr>
        <w:ind w:left="5040" w:hanging="360"/>
      </w:pPr>
      <w:rPr>
        <w:rFonts w:ascii="Symbol" w:hAnsi="Symbol" w:hint="default"/>
      </w:rPr>
    </w:lvl>
    <w:lvl w:ilvl="7" w:tplc="8CD68B96" w:tentative="1">
      <w:start w:val="1"/>
      <w:numFmt w:val="bullet"/>
      <w:lvlText w:val="o"/>
      <w:lvlJc w:val="left"/>
      <w:pPr>
        <w:ind w:left="5760" w:hanging="360"/>
      </w:pPr>
      <w:rPr>
        <w:rFonts w:ascii="Courier New" w:hAnsi="Courier New" w:cs="Courier New" w:hint="default"/>
      </w:rPr>
    </w:lvl>
    <w:lvl w:ilvl="8" w:tplc="5DC6EADE" w:tentative="1">
      <w:start w:val="1"/>
      <w:numFmt w:val="bullet"/>
      <w:lvlText w:val=""/>
      <w:lvlJc w:val="left"/>
      <w:pPr>
        <w:ind w:left="6480" w:hanging="360"/>
      </w:pPr>
      <w:rPr>
        <w:rFonts w:ascii="Wingdings" w:hAnsi="Wingdings" w:hint="default"/>
      </w:rPr>
    </w:lvl>
  </w:abstractNum>
  <w:abstractNum w:abstractNumId="1" w15:restartNumberingAfterBreak="0">
    <w:nsid w:val="1024599B"/>
    <w:multiLevelType w:val="hybridMultilevel"/>
    <w:tmpl w:val="19CAD80C"/>
    <w:lvl w:ilvl="0" w:tplc="A320712C">
      <w:start w:val="1"/>
      <w:numFmt w:val="decimal"/>
      <w:lvlText w:val="%1."/>
      <w:lvlJc w:val="left"/>
      <w:pPr>
        <w:ind w:left="720" w:hanging="360"/>
      </w:pPr>
      <w:rPr>
        <w:rFonts w:hint="default"/>
      </w:rPr>
    </w:lvl>
    <w:lvl w:ilvl="1" w:tplc="FD70531A" w:tentative="1">
      <w:start w:val="1"/>
      <w:numFmt w:val="lowerLetter"/>
      <w:lvlText w:val="%2."/>
      <w:lvlJc w:val="left"/>
      <w:pPr>
        <w:ind w:left="1440" w:hanging="360"/>
      </w:pPr>
    </w:lvl>
    <w:lvl w:ilvl="2" w:tplc="8F0EA1BE" w:tentative="1">
      <w:start w:val="1"/>
      <w:numFmt w:val="lowerRoman"/>
      <w:lvlText w:val="%3."/>
      <w:lvlJc w:val="right"/>
      <w:pPr>
        <w:ind w:left="2160" w:hanging="180"/>
      </w:pPr>
    </w:lvl>
    <w:lvl w:ilvl="3" w:tplc="8F2C0324" w:tentative="1">
      <w:start w:val="1"/>
      <w:numFmt w:val="decimal"/>
      <w:lvlText w:val="%4."/>
      <w:lvlJc w:val="left"/>
      <w:pPr>
        <w:ind w:left="2880" w:hanging="360"/>
      </w:pPr>
    </w:lvl>
    <w:lvl w:ilvl="4" w:tplc="C228EEEA" w:tentative="1">
      <w:start w:val="1"/>
      <w:numFmt w:val="lowerLetter"/>
      <w:lvlText w:val="%5."/>
      <w:lvlJc w:val="left"/>
      <w:pPr>
        <w:ind w:left="3600" w:hanging="360"/>
      </w:pPr>
    </w:lvl>
    <w:lvl w:ilvl="5" w:tplc="30AC7B6E" w:tentative="1">
      <w:start w:val="1"/>
      <w:numFmt w:val="lowerRoman"/>
      <w:lvlText w:val="%6."/>
      <w:lvlJc w:val="right"/>
      <w:pPr>
        <w:ind w:left="4320" w:hanging="180"/>
      </w:pPr>
    </w:lvl>
    <w:lvl w:ilvl="6" w:tplc="AC6063CC" w:tentative="1">
      <w:start w:val="1"/>
      <w:numFmt w:val="decimal"/>
      <w:lvlText w:val="%7."/>
      <w:lvlJc w:val="left"/>
      <w:pPr>
        <w:ind w:left="5040" w:hanging="360"/>
      </w:pPr>
    </w:lvl>
    <w:lvl w:ilvl="7" w:tplc="284C6938" w:tentative="1">
      <w:start w:val="1"/>
      <w:numFmt w:val="lowerLetter"/>
      <w:lvlText w:val="%8."/>
      <w:lvlJc w:val="left"/>
      <w:pPr>
        <w:ind w:left="5760" w:hanging="360"/>
      </w:pPr>
    </w:lvl>
    <w:lvl w:ilvl="8" w:tplc="E70A2226" w:tentative="1">
      <w:start w:val="1"/>
      <w:numFmt w:val="lowerRoman"/>
      <w:lvlText w:val="%9."/>
      <w:lvlJc w:val="right"/>
      <w:pPr>
        <w:ind w:left="6480" w:hanging="180"/>
      </w:pPr>
    </w:lvl>
  </w:abstractNum>
  <w:abstractNum w:abstractNumId="2" w15:restartNumberingAfterBreak="0">
    <w:nsid w:val="5ADC6CFF"/>
    <w:multiLevelType w:val="hybridMultilevel"/>
    <w:tmpl w:val="CAA00526"/>
    <w:lvl w:ilvl="0" w:tplc="6846CB42">
      <w:start w:val="1"/>
      <w:numFmt w:val="decimal"/>
      <w:lvlText w:val="%1."/>
      <w:lvlJc w:val="left"/>
      <w:pPr>
        <w:ind w:left="720" w:hanging="360"/>
      </w:pPr>
      <w:rPr>
        <w:rFonts w:hint="default"/>
      </w:rPr>
    </w:lvl>
    <w:lvl w:ilvl="1" w:tplc="3236871A" w:tentative="1">
      <w:start w:val="1"/>
      <w:numFmt w:val="lowerLetter"/>
      <w:lvlText w:val="%2."/>
      <w:lvlJc w:val="left"/>
      <w:pPr>
        <w:ind w:left="1440" w:hanging="360"/>
      </w:pPr>
    </w:lvl>
    <w:lvl w:ilvl="2" w:tplc="6A885106" w:tentative="1">
      <w:start w:val="1"/>
      <w:numFmt w:val="lowerRoman"/>
      <w:lvlText w:val="%3."/>
      <w:lvlJc w:val="right"/>
      <w:pPr>
        <w:ind w:left="2160" w:hanging="180"/>
      </w:pPr>
    </w:lvl>
    <w:lvl w:ilvl="3" w:tplc="D632FF06" w:tentative="1">
      <w:start w:val="1"/>
      <w:numFmt w:val="decimal"/>
      <w:lvlText w:val="%4."/>
      <w:lvlJc w:val="left"/>
      <w:pPr>
        <w:ind w:left="2880" w:hanging="360"/>
      </w:pPr>
    </w:lvl>
    <w:lvl w:ilvl="4" w:tplc="0DBADF40" w:tentative="1">
      <w:start w:val="1"/>
      <w:numFmt w:val="lowerLetter"/>
      <w:lvlText w:val="%5."/>
      <w:lvlJc w:val="left"/>
      <w:pPr>
        <w:ind w:left="3600" w:hanging="360"/>
      </w:pPr>
    </w:lvl>
    <w:lvl w:ilvl="5" w:tplc="1EB2DEE2" w:tentative="1">
      <w:start w:val="1"/>
      <w:numFmt w:val="lowerRoman"/>
      <w:lvlText w:val="%6."/>
      <w:lvlJc w:val="right"/>
      <w:pPr>
        <w:ind w:left="4320" w:hanging="180"/>
      </w:pPr>
    </w:lvl>
    <w:lvl w:ilvl="6" w:tplc="2A320D58" w:tentative="1">
      <w:start w:val="1"/>
      <w:numFmt w:val="decimal"/>
      <w:lvlText w:val="%7."/>
      <w:lvlJc w:val="left"/>
      <w:pPr>
        <w:ind w:left="5040" w:hanging="360"/>
      </w:pPr>
    </w:lvl>
    <w:lvl w:ilvl="7" w:tplc="24EE38E6" w:tentative="1">
      <w:start w:val="1"/>
      <w:numFmt w:val="lowerLetter"/>
      <w:lvlText w:val="%8."/>
      <w:lvlJc w:val="left"/>
      <w:pPr>
        <w:ind w:left="5760" w:hanging="360"/>
      </w:pPr>
    </w:lvl>
    <w:lvl w:ilvl="8" w:tplc="6206034C" w:tentative="1">
      <w:start w:val="1"/>
      <w:numFmt w:val="lowerRoman"/>
      <w:lvlText w:val="%9."/>
      <w:lvlJc w:val="right"/>
      <w:pPr>
        <w:ind w:left="6480" w:hanging="180"/>
      </w:pPr>
    </w:lvl>
  </w:abstractNum>
  <w:num w:numId="1" w16cid:durableId="461384451">
    <w:abstractNumId w:val="0"/>
  </w:num>
  <w:num w:numId="2" w16cid:durableId="745761858">
    <w:abstractNumId w:val="2"/>
  </w:num>
  <w:num w:numId="3" w16cid:durableId="17742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7D"/>
    <w:rsid w:val="001F136B"/>
    <w:rsid w:val="0052495B"/>
    <w:rsid w:val="00706D79"/>
    <w:rsid w:val="008176ED"/>
    <w:rsid w:val="00855A99"/>
    <w:rsid w:val="008C13C7"/>
    <w:rsid w:val="00A26890"/>
    <w:rsid w:val="00E31833"/>
    <w:rsid w:val="00F4787D"/>
    <w:rsid w:val="00F6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7A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7D"/>
    <w:pPr>
      <w:spacing w:after="100" w:afterAutospacing="1" w:line="360" w:lineRule="auto"/>
      <w:ind w:left="144" w:right="1296"/>
      <w:jc w:val="both"/>
    </w:pPr>
    <w:rPr>
      <w:kern w:val="0"/>
      <w14:ligatures w14:val="none"/>
    </w:rPr>
  </w:style>
  <w:style w:type="paragraph" w:styleId="Heading1">
    <w:name w:val="heading 1"/>
    <w:basedOn w:val="Normal"/>
    <w:next w:val="Normal"/>
    <w:link w:val="Heading1Char"/>
    <w:uiPriority w:val="9"/>
    <w:qFormat/>
    <w:rsid w:val="00F4787D"/>
    <w:pPr>
      <w:keepNext/>
      <w:keepLines/>
      <w:spacing w:before="240" w:after="0" w:afterAutospacing="0" w:line="259" w:lineRule="auto"/>
      <w:ind w:left="0" w:right="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7D"/>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F4787D"/>
    <w:pPr>
      <w:spacing w:before="100" w:beforeAutospacing="1" w:line="240" w:lineRule="auto"/>
      <w:ind w:left="0" w:right="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F4787D"/>
    <w:rPr>
      <w:i/>
      <w:iCs/>
    </w:rPr>
  </w:style>
  <w:style w:type="character" w:styleId="Strong">
    <w:name w:val="Strong"/>
    <w:basedOn w:val="DefaultParagraphFont"/>
    <w:uiPriority w:val="22"/>
    <w:qFormat/>
    <w:rsid w:val="00F4787D"/>
    <w:rPr>
      <w:b/>
      <w:bCs/>
    </w:rPr>
  </w:style>
  <w:style w:type="paragraph" w:styleId="Caption">
    <w:name w:val="caption"/>
    <w:basedOn w:val="Normal"/>
    <w:next w:val="Normal"/>
    <w:uiPriority w:val="35"/>
    <w:unhideWhenUsed/>
    <w:qFormat/>
    <w:rsid w:val="00F4787D"/>
    <w:pPr>
      <w:spacing w:after="200" w:afterAutospacing="0" w:line="240" w:lineRule="auto"/>
      <w:ind w:left="0" w:right="0"/>
      <w:jc w:val="left"/>
    </w:pPr>
    <w:rPr>
      <w:b/>
      <w:bCs/>
      <w:color w:val="4472C4" w:themeColor="accent1"/>
      <w:sz w:val="18"/>
      <w:szCs w:val="18"/>
    </w:rPr>
  </w:style>
  <w:style w:type="paragraph" w:styleId="NoSpacing">
    <w:name w:val="No Spacing"/>
    <w:uiPriority w:val="1"/>
    <w:qFormat/>
    <w:rsid w:val="00F4787D"/>
    <w:pPr>
      <w:spacing w:after="0" w:line="240" w:lineRule="auto"/>
    </w:pPr>
    <w:rPr>
      <w:kern w:val="0"/>
      <w14:ligatures w14:val="none"/>
    </w:rPr>
  </w:style>
  <w:style w:type="paragraph" w:styleId="ListParagraph">
    <w:name w:val="List Paragraph"/>
    <w:basedOn w:val="Normal"/>
    <w:link w:val="ListParagraphChar"/>
    <w:uiPriority w:val="34"/>
    <w:qFormat/>
    <w:rsid w:val="00F4787D"/>
    <w:pPr>
      <w:spacing w:after="160" w:afterAutospacing="0" w:line="259" w:lineRule="auto"/>
      <w:ind w:left="720" w:right="0"/>
      <w:contextualSpacing/>
      <w:jc w:val="left"/>
    </w:pPr>
  </w:style>
  <w:style w:type="character" w:customStyle="1" w:styleId="ListParagraphChar">
    <w:name w:val="List Paragraph Char"/>
    <w:link w:val="ListParagraph"/>
    <w:uiPriority w:val="34"/>
    <w:locked/>
    <w:rsid w:val="00F4787D"/>
    <w:rPr>
      <w:kern w:val="0"/>
      <w14:ligatures w14:val="none"/>
    </w:rPr>
  </w:style>
  <w:style w:type="paragraph" w:styleId="Header">
    <w:name w:val="header"/>
    <w:basedOn w:val="Normal"/>
    <w:link w:val="HeaderChar"/>
    <w:uiPriority w:val="99"/>
    <w:unhideWhenUsed/>
    <w:rsid w:val="00F4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87D"/>
    <w:rPr>
      <w:kern w:val="0"/>
      <w14:ligatures w14:val="none"/>
    </w:rPr>
  </w:style>
  <w:style w:type="paragraph" w:styleId="Footer">
    <w:name w:val="footer"/>
    <w:basedOn w:val="Normal"/>
    <w:link w:val="FooterChar"/>
    <w:uiPriority w:val="99"/>
    <w:unhideWhenUsed/>
    <w:rsid w:val="00F4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87D"/>
    <w:rPr>
      <w:kern w:val="0"/>
      <w14:ligatures w14:val="none"/>
    </w:rPr>
  </w:style>
  <w:style w:type="table" w:styleId="PlainTable2">
    <w:name w:val="Plain Table 2"/>
    <w:basedOn w:val="TableNormal"/>
    <w:uiPriority w:val="42"/>
    <w:rsid w:val="00F4787D"/>
    <w:pPr>
      <w:spacing w:after="0" w:afterAutospacing="1" w:line="240" w:lineRule="auto"/>
      <w:ind w:left="144" w:right="1296"/>
      <w:jc w:val="both"/>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gkelc">
    <w:name w:val="hgkelc"/>
    <w:basedOn w:val="DefaultParagraphFont"/>
    <w:rsid w:val="00F4787D"/>
  </w:style>
  <w:style w:type="character" w:customStyle="1" w:styleId="fm-vol-iss-date">
    <w:name w:val="fm-vol-iss-date"/>
    <w:basedOn w:val="DefaultParagraphFont"/>
    <w:rsid w:val="00F4787D"/>
  </w:style>
  <w:style w:type="character" w:customStyle="1" w:styleId="element-citation">
    <w:name w:val="element-citation"/>
    <w:basedOn w:val="DefaultParagraphFont"/>
    <w:rsid w:val="00F4787D"/>
  </w:style>
  <w:style w:type="character" w:styleId="Hyperlink">
    <w:name w:val="Hyperlink"/>
    <w:basedOn w:val="DefaultParagraphFont"/>
    <w:uiPriority w:val="99"/>
    <w:unhideWhenUsed/>
    <w:rsid w:val="00F4787D"/>
    <w:rPr>
      <w:color w:val="0000FF"/>
      <w:u w:val="single"/>
    </w:rPr>
  </w:style>
  <w:style w:type="character" w:customStyle="1" w:styleId="ref-journal">
    <w:name w:val="ref-journal"/>
    <w:basedOn w:val="DefaultParagraphFont"/>
    <w:rsid w:val="00F4787D"/>
  </w:style>
  <w:style w:type="character" w:customStyle="1" w:styleId="ref-vol">
    <w:name w:val="ref-vol"/>
    <w:basedOn w:val="DefaultParagraphFont"/>
    <w:rsid w:val="00F4787D"/>
  </w:style>
  <w:style w:type="character" w:customStyle="1" w:styleId="bkciteavail">
    <w:name w:val="bk_cite_avail"/>
    <w:basedOn w:val="DefaultParagraphFont"/>
    <w:rsid w:val="00F4787D"/>
  </w:style>
  <w:style w:type="character" w:customStyle="1" w:styleId="doi">
    <w:name w:val="doi"/>
    <w:basedOn w:val="DefaultParagraphFont"/>
    <w:rsid w:val="00F4787D"/>
  </w:style>
  <w:style w:type="character" w:customStyle="1" w:styleId="identifier">
    <w:name w:val="identifier"/>
    <w:basedOn w:val="DefaultParagraphFont"/>
    <w:rsid w:val="00F4787D"/>
  </w:style>
  <w:style w:type="character" w:customStyle="1" w:styleId="id-label">
    <w:name w:val="id-label"/>
    <w:basedOn w:val="DefaultParagraphFont"/>
    <w:rsid w:val="00F4787D"/>
  </w:style>
  <w:style w:type="paragraph" w:customStyle="1" w:styleId="c-article-referencestext">
    <w:name w:val="c-article-references__text"/>
    <w:basedOn w:val="Normal"/>
    <w:rsid w:val="00F4787D"/>
    <w:pPr>
      <w:spacing w:before="100" w:beforeAutospacing="1" w:line="240" w:lineRule="auto"/>
      <w:ind w:left="0" w:right="0"/>
      <w:jc w:val="left"/>
    </w:pPr>
    <w:rPr>
      <w:rFonts w:ascii="Times New Roman" w:eastAsia="Times New Roman" w:hAnsi="Times New Roman" w:cs="Times New Roman"/>
      <w:sz w:val="24"/>
      <w:szCs w:val="24"/>
    </w:rPr>
  </w:style>
  <w:style w:type="paragraph" w:customStyle="1" w:styleId="TableContents">
    <w:name w:val="Table Contents"/>
    <w:basedOn w:val="Normal"/>
    <w:qFormat/>
    <w:rsid w:val="00F4787D"/>
    <w:pPr>
      <w:suppressLineNumbers/>
      <w:suppressAutoHyphens/>
      <w:spacing w:after="160" w:afterAutospacing="0" w:line="259" w:lineRule="auto"/>
      <w:ind w:left="0" w:right="0"/>
      <w:jc w:val="left"/>
    </w:pPr>
  </w:style>
  <w:style w:type="paragraph" w:styleId="BodyText">
    <w:name w:val="Body Text"/>
    <w:basedOn w:val="Normal"/>
    <w:link w:val="BodyTextChar"/>
    <w:qFormat/>
    <w:rsid w:val="00F4787D"/>
    <w:pPr>
      <w:suppressAutoHyphens/>
      <w:spacing w:after="140" w:afterAutospacing="0" w:line="276" w:lineRule="auto"/>
      <w:ind w:left="0" w:right="0"/>
      <w:jc w:val="left"/>
    </w:pPr>
  </w:style>
  <w:style w:type="character" w:customStyle="1" w:styleId="BodyTextChar">
    <w:name w:val="Body Text Char"/>
    <w:basedOn w:val="DefaultParagraphFont"/>
    <w:link w:val="BodyText"/>
    <w:rsid w:val="00F4787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pubmed.ncbi.nlm.nih.gov/?term=Paul%20R%5BAuthor%5D" TargetMode="External"/><Relationship Id="rId18" Type="http://schemas.openxmlformats.org/officeDocument/2006/relationships/hyperlink" Target="https://pubmed.ncbi.nlm.nih.gov/?term=Mondal%20J%5BAuthor%5D"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bi.nlm.nih.gov/entrez/eutils/elink.fcgi?dbfrom=pubmed&amp;retmode=ref&amp;cmd=prlinks&amp;id=19481975" TargetMode="External"/><Relationship Id="rId7" Type="http://schemas.openxmlformats.org/officeDocument/2006/relationships/chart" Target="charts/chart1.xml"/><Relationship Id="rId12" Type="http://schemas.openxmlformats.org/officeDocument/2006/relationships/hyperlink" Target="http://www.ncbi.nlm.nih.gov/books/nbk493173/" TargetMode="External"/><Relationship Id="rId17" Type="http://schemas.openxmlformats.org/officeDocument/2006/relationships/hyperlink" Target="https://pubmed.ncbi.nlm.nih.gov/?term=Raychaudhuri%20P%5BAuthor%5D"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ubmed.ncbi.nlm.nih.gov/?term=Banerjee%20AK%5BAuthor%5D" TargetMode="External"/><Relationship Id="rId20" Type="http://schemas.openxmlformats.org/officeDocument/2006/relationships/hyperlink" Target="https://doi.org/10.1016%2Fj.coph.2009.04.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32%2Foncotarget.2320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ubmed.ncbi.nlm.nih.gov/?term=Bhattacharya%20R%5BAuthor%5D" TargetMode="External"/><Relationship Id="rId23" Type="http://schemas.openxmlformats.org/officeDocument/2006/relationships/hyperlink" Target="https://doi.org/10.1016/j.lfs.2019.05.020" TargetMode="External"/><Relationship Id="rId28" Type="http://schemas.openxmlformats.org/officeDocument/2006/relationships/theme" Target="theme/theme1.xml"/><Relationship Id="rId10" Type="http://schemas.openxmlformats.org/officeDocument/2006/relationships/hyperlink" Target="https://doi.org/10.1111%2Fmcn.13217" TargetMode="External"/><Relationship Id="rId19" Type="http://schemas.openxmlformats.org/officeDocument/2006/relationships/hyperlink" Target="https://doi.org/10.4103%2F2277-9175.10014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term=Sinha%20PK%5BAuthor%5D" TargetMode="External"/><Relationship Id="rId22" Type="http://schemas.openxmlformats.org/officeDocument/2006/relationships/hyperlink" Target="https://www.ncbi.nlm.nih.gov/books/NBK138666/"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folder\sandra\Effect_of_dietary_habit_on_Malaria_-_all_versions_-_labels_-_2023-07-26-18-19-5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New%20folder\sandra\Effect_of_dietary_habit_on_Malaria_-_all_versions_-_labels_-_2023-07-26-18-19-5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New%20folder\sandra\Effect_of_dietary_habit_on_Malaria_-_all_versions_-_labels_-_2023-07-26-18-19-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8.3333333333333332E-3"/>
                  <c:y val="-4.6296296296296294E-2"/>
                </c:manualLayout>
              </c:layout>
              <c:tx>
                <c:rich>
                  <a:bodyPr/>
                  <a:lstStyle/>
                  <a:p>
                    <a:r>
                      <a:rPr lang="en-US"/>
                      <a:t>82.9%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27-427F-9722-277DDD501CD0}"/>
                </c:ext>
              </c:extLst>
            </c:dLbl>
            <c:dLbl>
              <c:idx val="1"/>
              <c:layout>
                <c:manualLayout>
                  <c:x val="8.3333333333333332E-3"/>
                  <c:y val="-4.6296296296296294E-2"/>
                </c:manualLayout>
              </c:layout>
              <c:tx>
                <c:rich>
                  <a:bodyPr/>
                  <a:lstStyle/>
                  <a:p>
                    <a:r>
                      <a:rPr lang="en-US"/>
                      <a:t>14.3%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27-427F-9722-277DDD501CD0}"/>
                </c:ext>
              </c:extLst>
            </c:dLbl>
            <c:dLbl>
              <c:idx val="2"/>
              <c:layout>
                <c:manualLayout>
                  <c:x val="5.5555555555555558E-3"/>
                  <c:y val="-5.0925925925925923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27-427F-9722-277DDD501CD0}"/>
                </c:ext>
              </c:extLst>
            </c:dLbl>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MUAC!$C$3:$C$5</c:f>
              <c:strCache>
                <c:ptCount val="3"/>
                <c:pt idx="0">
                  <c:v>Normal</c:v>
                </c:pt>
                <c:pt idx="1">
                  <c:v>Moderate Malnourishment</c:v>
                </c:pt>
                <c:pt idx="2">
                  <c:v>Severe Malnourishment</c:v>
                </c:pt>
              </c:strCache>
            </c:strRef>
          </c:cat>
          <c:val>
            <c:numRef>
              <c:f>MUAC!$D$3:$D$5</c:f>
              <c:numCache>
                <c:formatCode>###0.0</c:formatCode>
                <c:ptCount val="3"/>
                <c:pt idx="0">
                  <c:v>75.5</c:v>
                </c:pt>
                <c:pt idx="1">
                  <c:v>22.4</c:v>
                </c:pt>
                <c:pt idx="2">
                  <c:v>2</c:v>
                </c:pt>
              </c:numCache>
            </c:numRef>
          </c:val>
          <c:extLst>
            <c:ext xmlns:c16="http://schemas.microsoft.com/office/drawing/2014/chart" uri="{C3380CC4-5D6E-409C-BE32-E72D297353CC}">
              <c16:uniqueId val="{00000003-2327-427F-9722-277DDD501CD0}"/>
            </c:ext>
          </c:extLst>
        </c:ser>
        <c:dLbls>
          <c:showLegendKey val="0"/>
          <c:showVal val="1"/>
          <c:showCatName val="0"/>
          <c:showSerName val="0"/>
          <c:showPercent val="0"/>
          <c:showBubbleSize val="0"/>
        </c:dLbls>
        <c:gapWidth val="150"/>
        <c:shape val="box"/>
        <c:axId val="368891328"/>
        <c:axId val="368896424"/>
        <c:axId val="0"/>
      </c:bar3DChart>
      <c:catAx>
        <c:axId val="368891328"/>
        <c:scaling>
          <c:orientation val="minMax"/>
        </c:scaling>
        <c:delete val="0"/>
        <c:axPos val="b"/>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en-US"/>
          </a:p>
        </c:txPr>
        <c:crossAx val="368896424"/>
        <c:crosses val="autoZero"/>
        <c:auto val="1"/>
        <c:lblAlgn val="ctr"/>
        <c:lblOffset val="100"/>
        <c:noMultiLvlLbl val="0"/>
      </c:catAx>
      <c:valAx>
        <c:axId val="368896424"/>
        <c:scaling>
          <c:orientation val="minMax"/>
        </c:scaling>
        <c:delete val="1"/>
        <c:axPos val="l"/>
        <c:numFmt formatCode="###0.0" sourceLinked="1"/>
        <c:majorTickMark val="out"/>
        <c:minorTickMark val="none"/>
        <c:tickLblPos val="nextTo"/>
        <c:crossAx val="368891328"/>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spPr>
              <a:solidFill>
                <a:srgbClr val="00B050"/>
              </a:solidFill>
            </c:spPr>
            <c:extLst>
              <c:ext xmlns:c16="http://schemas.microsoft.com/office/drawing/2014/chart" uri="{C3380CC4-5D6E-409C-BE32-E72D297353CC}">
                <c16:uniqueId val="{00000001-6DAA-4BF1-BE73-7693BEE7CF80}"/>
              </c:ext>
            </c:extLst>
          </c:dPt>
          <c:dPt>
            <c:idx val="1"/>
            <c:bubble3D val="0"/>
            <c:spPr>
              <a:gradFill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gradFill>
            </c:spPr>
            <c:extLst>
              <c:ext xmlns:c16="http://schemas.microsoft.com/office/drawing/2014/chart" uri="{C3380CC4-5D6E-409C-BE32-E72D297353CC}">
                <c16:uniqueId val="{00000003-6DAA-4BF1-BE73-7693BEE7CF80}"/>
              </c:ext>
            </c:extLst>
          </c:dPt>
          <c:dLbls>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Sheet24!$O$3:$O$4</c:f>
              <c:strCache>
                <c:ptCount val="2"/>
                <c:pt idx="0">
                  <c:v>Negative</c:v>
                </c:pt>
                <c:pt idx="1">
                  <c:v>Positive</c:v>
                </c:pt>
              </c:strCache>
            </c:strRef>
          </c:cat>
          <c:val>
            <c:numRef>
              <c:f>Sheet24!$P$3:$P$4</c:f>
              <c:numCache>
                <c:formatCode>###0.0</c:formatCode>
                <c:ptCount val="2"/>
                <c:pt idx="0">
                  <c:v>78.740157480314963</c:v>
                </c:pt>
                <c:pt idx="1">
                  <c:v>21.259842519685041</c:v>
                </c:pt>
              </c:numCache>
            </c:numRef>
          </c:val>
          <c:extLst>
            <c:ext xmlns:c16="http://schemas.microsoft.com/office/drawing/2014/chart" uri="{C3380CC4-5D6E-409C-BE32-E72D297353CC}">
              <c16:uniqueId val="{00000004-6DAA-4BF1-BE73-7693BEE7CF80}"/>
            </c:ext>
          </c:extLst>
        </c:ser>
        <c:dLbls>
          <c:dLblPos val="outEnd"/>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5331030512377662E-2"/>
          <c:y val="4.4444444444444446E-2"/>
          <c:w val="0.94933793897524466"/>
          <c:h val="0.55014141414141415"/>
        </c:manualLayout>
      </c:layout>
      <c:bar3DChart>
        <c:barDir val="col"/>
        <c:grouping val="clustered"/>
        <c:varyColors val="0"/>
        <c:ser>
          <c:idx val="0"/>
          <c:order val="0"/>
          <c:invertIfNegative val="0"/>
          <c:dLbls>
            <c:dLbl>
              <c:idx val="0"/>
              <c:layout>
                <c:manualLayout>
                  <c:x val="0"/>
                  <c:y val="-2.7777777777777776E-2"/>
                </c:manualLayout>
              </c:layout>
              <c:tx>
                <c:rich>
                  <a:bodyPr/>
                  <a:lstStyle/>
                  <a:p>
                    <a:r>
                      <a:rPr lang="en-US"/>
                      <a:t>45.7%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46-4EEF-A104-9B5289730C1C}"/>
                </c:ext>
              </c:extLst>
            </c:dLbl>
            <c:dLbl>
              <c:idx val="1"/>
              <c:layout>
                <c:manualLayout>
                  <c:x val="0"/>
                  <c:y val="-4.1666666666666685E-2"/>
                </c:manualLayout>
              </c:layout>
              <c:tx>
                <c:rich>
                  <a:bodyPr/>
                  <a:lstStyle/>
                  <a:p>
                    <a:r>
                      <a:rPr lang="en-US"/>
                      <a:t>54.3%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46-4EEF-A104-9B5289730C1C}"/>
                </c:ext>
              </c:extLst>
            </c:dLbl>
            <c:dLbl>
              <c:idx val="2"/>
              <c:layout>
                <c:manualLayout>
                  <c:x val="8.3333333333333332E-3"/>
                  <c:y val="-4.1666666666666678E-2"/>
                </c:manualLayout>
              </c:layout>
              <c:tx>
                <c:rich>
                  <a:bodyPr/>
                  <a:lstStyle/>
                  <a:p>
                    <a:r>
                      <a:rPr lang="en-US"/>
                      <a:t>62.9%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46-4EEF-A104-9B5289730C1C}"/>
                </c:ext>
              </c:extLst>
            </c:dLbl>
            <c:dLbl>
              <c:idx val="3"/>
              <c:layout>
                <c:manualLayout>
                  <c:x val="1.6666666666666666E-2"/>
                  <c:y val="-5.5555555555555511E-2"/>
                </c:manualLayout>
              </c:layout>
              <c:tx>
                <c:rich>
                  <a:bodyPr/>
                  <a:lstStyle/>
                  <a:p>
                    <a:r>
                      <a:rPr lang="en-US"/>
                      <a:t>37.1%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046-4EEF-A104-9B5289730C1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'pcv and Hb'!$I$3:$J$6</c:f>
              <c:multiLvlStrCache>
                <c:ptCount val="4"/>
                <c:lvl>
                  <c:pt idx="0">
                    <c:v>Normal</c:v>
                  </c:pt>
                  <c:pt idx="1">
                    <c:v>Low</c:v>
                  </c:pt>
                  <c:pt idx="2">
                    <c:v>Normal</c:v>
                  </c:pt>
                  <c:pt idx="3">
                    <c:v>Low</c:v>
                  </c:pt>
                </c:lvl>
                <c:lvl>
                  <c:pt idx="0">
                    <c:v>PCV(%)</c:v>
                  </c:pt>
                  <c:pt idx="2">
                    <c:v>Hb(mg/dl)</c:v>
                  </c:pt>
                </c:lvl>
              </c:multiLvlStrCache>
            </c:multiLvlStrRef>
          </c:cat>
          <c:val>
            <c:numRef>
              <c:f>'pcv and Hb'!$K$3:$K$6</c:f>
              <c:numCache>
                <c:formatCode>General</c:formatCode>
                <c:ptCount val="4"/>
                <c:pt idx="0">
                  <c:v>45.7</c:v>
                </c:pt>
                <c:pt idx="1">
                  <c:v>54.3</c:v>
                </c:pt>
                <c:pt idx="2">
                  <c:v>62.9</c:v>
                </c:pt>
                <c:pt idx="3">
                  <c:v>37.1</c:v>
                </c:pt>
              </c:numCache>
            </c:numRef>
          </c:val>
          <c:extLst>
            <c:ext xmlns:c16="http://schemas.microsoft.com/office/drawing/2014/chart" uri="{C3380CC4-5D6E-409C-BE32-E72D297353CC}">
              <c16:uniqueId val="{00000004-7046-4EEF-A104-9B5289730C1C}"/>
            </c:ext>
          </c:extLst>
        </c:ser>
        <c:dLbls>
          <c:showLegendKey val="0"/>
          <c:showVal val="1"/>
          <c:showCatName val="0"/>
          <c:showSerName val="0"/>
          <c:showPercent val="0"/>
          <c:showBubbleSize val="0"/>
        </c:dLbls>
        <c:gapWidth val="150"/>
        <c:shape val="box"/>
        <c:axId val="372537256"/>
        <c:axId val="372535688"/>
        <c:axId val="0"/>
      </c:bar3DChart>
      <c:catAx>
        <c:axId val="372537256"/>
        <c:scaling>
          <c:orientation val="minMax"/>
        </c:scaling>
        <c:delete val="0"/>
        <c:axPos val="b"/>
        <c:numFmt formatCode="General" sourceLinked="0"/>
        <c:majorTickMark val="none"/>
        <c:minorTickMark val="none"/>
        <c:tickLblPos val="nextTo"/>
        <c:crossAx val="372535688"/>
        <c:crosses val="autoZero"/>
        <c:auto val="1"/>
        <c:lblAlgn val="ctr"/>
        <c:lblOffset val="100"/>
        <c:noMultiLvlLbl val="0"/>
      </c:catAx>
      <c:valAx>
        <c:axId val="372535688"/>
        <c:scaling>
          <c:orientation val="minMax"/>
        </c:scaling>
        <c:delete val="1"/>
        <c:axPos val="l"/>
        <c:numFmt formatCode="General" sourceLinked="1"/>
        <c:majorTickMark val="out"/>
        <c:minorTickMark val="none"/>
        <c:tickLblPos val="nextTo"/>
        <c:crossAx val="372537256"/>
        <c:crosses val="autoZero"/>
        <c:crossBetween val="between"/>
      </c:valAx>
    </c:plotArea>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0.10363</cdr:x>
      <cdr:y>0.78788</cdr:y>
    </cdr:from>
    <cdr:to>
      <cdr:x>0.31088</cdr:x>
      <cdr:y>0.89091</cdr:y>
    </cdr:to>
    <cdr:sp macro="" textlink="">
      <cdr:nvSpPr>
        <cdr:cNvPr id="31676961" name="TextBox 1"/>
        <cdr:cNvSpPr txBox="1"/>
      </cdr:nvSpPr>
      <cdr:spPr>
        <a:xfrm xmlns:a="http://schemas.openxmlformats.org/drawingml/2006/main">
          <a:off x="571501" y="2476500"/>
          <a:ext cx="114300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mean=32.5±3.1</a:t>
          </a:r>
        </a:p>
      </cdr:txBody>
    </cdr:sp>
  </cdr:relSizeAnchor>
  <cdr:relSizeAnchor xmlns:cdr="http://schemas.openxmlformats.org/drawingml/2006/chartDrawing">
    <cdr:from>
      <cdr:x>0.56362</cdr:x>
      <cdr:y>0.79192</cdr:y>
    </cdr:from>
    <cdr:to>
      <cdr:x>0.77087</cdr:x>
      <cdr:y>0.89495</cdr:y>
    </cdr:to>
    <cdr:sp macro="" textlink="">
      <cdr:nvSpPr>
        <cdr:cNvPr id="213395643" name="TextBox 1"/>
        <cdr:cNvSpPr txBox="1"/>
      </cdr:nvSpPr>
      <cdr:spPr>
        <a:xfrm xmlns:a="http://schemas.openxmlformats.org/drawingml/2006/main">
          <a:off x="3108325" y="2489200"/>
          <a:ext cx="1143000"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latin typeface="Times New Roman" pitchFamily="18" charset="0"/>
              <a:cs typeface="Times New Roman" pitchFamily="18" charset="0"/>
            </a:rPr>
            <a:t>mean=11.2±1.03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3076</Words>
  <Characters>17535</Characters>
  <Application>Microsoft Office Word</Application>
  <DocSecurity>0</DocSecurity>
  <Lines>146</Lines>
  <Paragraphs>41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2024-10-16T11:51:00Z</dcterms:created>
  <dcterms:modified xsi:type="dcterms:W3CDTF">2024-10-17T07:51:00Z</dcterms:modified>
</cp:coreProperties>
</file>